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6.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7.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8.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oter9.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10.xml" ContentType="application/vnd.openxmlformats-officedocument.wordprocessingml.footer+xml"/>
  <Override PartName="/word/header2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E4CCC64" w14:textId="77777777" w:rsidR="003E0F58" w:rsidRPr="007C705C" w:rsidRDefault="003E0F58" w:rsidP="003E0F58">
      <w:pPr>
        <w:jc w:val="center"/>
        <w:rPr>
          <w:rFonts w:cs="Times New Roman"/>
          <w:lang w:val="cs-CZ"/>
        </w:rPr>
      </w:pPr>
      <w:bookmarkStart w:id="0" w:name="_Hlk7418217"/>
      <w:bookmarkEnd w:id="0"/>
    </w:p>
    <w:p w14:paraId="5349ECFF" w14:textId="77777777" w:rsidR="003E0F58" w:rsidRPr="007C705C" w:rsidRDefault="003E0F58" w:rsidP="003E0F58">
      <w:pPr>
        <w:jc w:val="center"/>
        <w:rPr>
          <w:rFonts w:cs="Times New Roman"/>
          <w:lang w:val="cs-CZ"/>
        </w:rPr>
      </w:pPr>
      <w:bookmarkStart w:id="1" w:name="_Ref81341567"/>
      <w:bookmarkEnd w:id="1"/>
      <w:r w:rsidRPr="007C705C">
        <w:rPr>
          <w:rFonts w:cs="Times New Roman"/>
          <w:noProof/>
          <w:lang w:val="cs-CZ" w:eastAsia="cs-CZ"/>
        </w:rPr>
        <w:drawing>
          <wp:inline distT="0" distB="0" distL="0" distR="0" wp14:anchorId="302FA817" wp14:editId="2F5051F3">
            <wp:extent cx="1476375" cy="548115"/>
            <wp:effectExtent l="0" t="0" r="0" b="4445"/>
            <wp:docPr id="495988994"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pic:nvPicPr>
                  <pic:blipFill>
                    <a:blip r:embed="rId8">
                      <a:extLst>
                        <a:ext uri="{28A0092B-C50C-407E-A947-70E740481C1C}">
                          <a14:useLocalDpi xmlns:a14="http://schemas.microsoft.com/office/drawing/2010/main" val="0"/>
                        </a:ext>
                      </a:extLst>
                    </a:blip>
                    <a:stretch>
                      <a:fillRect/>
                    </a:stretch>
                  </pic:blipFill>
                  <pic:spPr>
                    <a:xfrm>
                      <a:off x="0" y="0"/>
                      <a:ext cx="1476375" cy="548115"/>
                    </a:xfrm>
                    <a:prstGeom prst="rect">
                      <a:avLst/>
                    </a:prstGeom>
                  </pic:spPr>
                </pic:pic>
              </a:graphicData>
            </a:graphic>
          </wp:inline>
        </w:drawing>
      </w:r>
    </w:p>
    <w:p w14:paraId="44AC6A8F" w14:textId="12C4654D" w:rsidR="0078394D" w:rsidRDefault="003E0F58" w:rsidP="0078394D">
      <w:pPr>
        <w:pStyle w:val="UZEI"/>
        <w:rPr>
          <w:rFonts w:ascii="Times New Roman" w:eastAsiaTheme="minorEastAsia" w:hAnsi="Times New Roman"/>
          <w:lang w:val="cs-CZ"/>
        </w:rPr>
      </w:pPr>
      <w:r w:rsidRPr="007C705C">
        <w:rPr>
          <w:rFonts w:ascii="Times New Roman" w:eastAsiaTheme="minorEastAsia" w:hAnsi="Times New Roman"/>
          <w:lang w:val="cs-CZ"/>
        </w:rPr>
        <w:t>Ústav zemědělské ekonomiky a informací</w:t>
      </w:r>
    </w:p>
    <w:p w14:paraId="136EEED3" w14:textId="21CCE2CE" w:rsidR="006105ED" w:rsidRDefault="006105ED" w:rsidP="006105ED">
      <w:pPr>
        <w:rPr>
          <w:lang w:val="cs-CZ" w:eastAsia="x-none"/>
        </w:rPr>
      </w:pPr>
    </w:p>
    <w:p w14:paraId="4C25BD9F" w14:textId="5EE84CDC" w:rsidR="006105ED" w:rsidRDefault="006105ED" w:rsidP="006105ED">
      <w:pPr>
        <w:rPr>
          <w:lang w:val="cs-CZ" w:eastAsia="x-none"/>
        </w:rPr>
      </w:pPr>
    </w:p>
    <w:p w14:paraId="10D9746F" w14:textId="01547801" w:rsidR="006105ED" w:rsidRDefault="006105ED" w:rsidP="006105ED">
      <w:pPr>
        <w:rPr>
          <w:lang w:val="cs-CZ" w:eastAsia="x-none"/>
        </w:rPr>
      </w:pPr>
    </w:p>
    <w:p w14:paraId="208C8240" w14:textId="496D9A75" w:rsidR="006105ED" w:rsidRDefault="006105ED" w:rsidP="006105ED">
      <w:pPr>
        <w:rPr>
          <w:lang w:val="cs-CZ" w:eastAsia="x-none"/>
        </w:rPr>
      </w:pPr>
    </w:p>
    <w:p w14:paraId="0CCB4B3E" w14:textId="6E124550" w:rsidR="006105ED" w:rsidRDefault="006105ED" w:rsidP="006105ED">
      <w:pPr>
        <w:rPr>
          <w:lang w:val="cs-CZ" w:eastAsia="x-none"/>
        </w:rPr>
      </w:pPr>
    </w:p>
    <w:p w14:paraId="4DFA0C51" w14:textId="0CB75BD1" w:rsidR="006105ED" w:rsidRDefault="006105ED" w:rsidP="006105ED">
      <w:pPr>
        <w:rPr>
          <w:lang w:val="cs-CZ" w:eastAsia="x-none"/>
        </w:rPr>
      </w:pPr>
    </w:p>
    <w:p w14:paraId="714A12FA" w14:textId="41C6E78C" w:rsidR="006105ED" w:rsidRDefault="006105ED" w:rsidP="006105ED">
      <w:pPr>
        <w:rPr>
          <w:lang w:val="cs-CZ" w:eastAsia="x-none"/>
        </w:rPr>
      </w:pPr>
    </w:p>
    <w:p w14:paraId="06ADC0E7" w14:textId="52CE05A1" w:rsidR="006105ED" w:rsidRDefault="006105ED" w:rsidP="006105ED">
      <w:pPr>
        <w:rPr>
          <w:lang w:val="cs-CZ" w:eastAsia="x-none"/>
        </w:rPr>
      </w:pPr>
    </w:p>
    <w:p w14:paraId="44BAD5AB" w14:textId="4EA3D557" w:rsidR="006105ED" w:rsidRDefault="006105ED" w:rsidP="006105ED">
      <w:pPr>
        <w:rPr>
          <w:lang w:val="cs-CZ" w:eastAsia="x-none"/>
        </w:rPr>
      </w:pPr>
    </w:p>
    <w:p w14:paraId="7E3C4ABC" w14:textId="6A0C1038" w:rsidR="006105ED" w:rsidRDefault="006105ED" w:rsidP="006105ED">
      <w:pPr>
        <w:rPr>
          <w:lang w:val="cs-CZ" w:eastAsia="x-none"/>
        </w:rPr>
      </w:pPr>
    </w:p>
    <w:p w14:paraId="6BD73358" w14:textId="39D9B29A" w:rsidR="006105ED" w:rsidRDefault="006105ED" w:rsidP="006105ED">
      <w:pPr>
        <w:rPr>
          <w:lang w:val="cs-CZ" w:eastAsia="x-none"/>
        </w:rPr>
      </w:pPr>
    </w:p>
    <w:p w14:paraId="6FA58CB1" w14:textId="3D135ED5" w:rsidR="006105ED" w:rsidRDefault="006105ED" w:rsidP="006105ED">
      <w:pPr>
        <w:rPr>
          <w:lang w:val="cs-CZ" w:eastAsia="x-none"/>
        </w:rPr>
      </w:pPr>
    </w:p>
    <w:p w14:paraId="2B29E706" w14:textId="01909C43" w:rsidR="006105ED" w:rsidRDefault="006105ED" w:rsidP="006105ED">
      <w:pPr>
        <w:rPr>
          <w:lang w:val="cs-CZ" w:eastAsia="x-none"/>
        </w:rPr>
      </w:pPr>
    </w:p>
    <w:p w14:paraId="23C769F8" w14:textId="34390857" w:rsidR="006105ED" w:rsidRDefault="006105ED" w:rsidP="006105ED">
      <w:pPr>
        <w:rPr>
          <w:lang w:val="cs-CZ" w:eastAsia="x-none"/>
        </w:rPr>
      </w:pPr>
    </w:p>
    <w:p w14:paraId="0B01CE42" w14:textId="77777777" w:rsidR="006105ED" w:rsidRPr="006105ED" w:rsidRDefault="006105ED" w:rsidP="006105ED">
      <w:pPr>
        <w:rPr>
          <w:lang w:val="cs-CZ" w:eastAsia="x-none"/>
        </w:rPr>
      </w:pPr>
    </w:p>
    <w:p w14:paraId="1EC7E52F" w14:textId="610E21F2" w:rsidR="003E0F58" w:rsidRPr="0078394D" w:rsidRDefault="003E0F58" w:rsidP="0078394D">
      <w:pPr>
        <w:pStyle w:val="UZEI"/>
        <w:rPr>
          <w:rFonts w:ascii="Times New Roman" w:eastAsiaTheme="minorEastAsia" w:hAnsi="Times New Roman"/>
          <w:sz w:val="32"/>
          <w:szCs w:val="32"/>
          <w:lang w:val="cs-CZ"/>
        </w:rPr>
      </w:pPr>
      <w:r w:rsidRPr="0078394D">
        <w:rPr>
          <w:rFonts w:ascii="Times New Roman" w:eastAsiaTheme="minorEastAsia" w:hAnsi="Times New Roman"/>
          <w:sz w:val="32"/>
          <w:szCs w:val="32"/>
          <w:lang w:val="cs-CZ"/>
        </w:rPr>
        <w:t>PODKLADOVÉ ANALÝZY PRO PŘÍPRAVU SZP V PROGRAMOVÉM OBDOBÍ 2021+</w:t>
      </w:r>
    </w:p>
    <w:p w14:paraId="75AFF072" w14:textId="3270952F" w:rsidR="003E0F58" w:rsidRPr="007C705C" w:rsidRDefault="003E0F58" w:rsidP="006105ED">
      <w:pPr>
        <w:pStyle w:val="st-rok"/>
        <w:spacing w:before="360"/>
        <w:rPr>
          <w:rFonts w:eastAsiaTheme="minorEastAsia"/>
        </w:rPr>
      </w:pPr>
      <w:r w:rsidRPr="007C705C">
        <w:rPr>
          <w:rFonts w:eastAsiaTheme="minorEastAsia"/>
        </w:rPr>
        <w:t>SC D: Příspěvek k přizpůsobení se změně klimatu a její zmírnění</w:t>
      </w:r>
    </w:p>
    <w:p w14:paraId="79A84457" w14:textId="77777777" w:rsidR="003E0F58" w:rsidRPr="007C705C" w:rsidRDefault="003E0F58" w:rsidP="003E0F58">
      <w:pPr>
        <w:rPr>
          <w:rFonts w:cs="Times New Roman"/>
          <w:lang w:val="cs-CZ"/>
        </w:rPr>
      </w:pPr>
    </w:p>
    <w:p w14:paraId="1C4791DD" w14:textId="77777777" w:rsidR="006105ED" w:rsidRDefault="006105ED" w:rsidP="003E0F58">
      <w:pPr>
        <w:jc w:val="center"/>
        <w:rPr>
          <w:rFonts w:cs="Times New Roman"/>
          <w:lang w:val="cs-CZ"/>
        </w:rPr>
      </w:pPr>
    </w:p>
    <w:p w14:paraId="6B8530F7" w14:textId="77777777" w:rsidR="006105ED" w:rsidRDefault="006105ED" w:rsidP="003E0F58">
      <w:pPr>
        <w:jc w:val="center"/>
        <w:rPr>
          <w:rFonts w:cs="Times New Roman"/>
          <w:lang w:val="cs-CZ"/>
        </w:rPr>
      </w:pPr>
    </w:p>
    <w:p w14:paraId="74443E05" w14:textId="77777777" w:rsidR="006105ED" w:rsidRDefault="006105ED" w:rsidP="003E0F58">
      <w:pPr>
        <w:jc w:val="center"/>
        <w:rPr>
          <w:rFonts w:cs="Times New Roman"/>
          <w:lang w:val="cs-CZ"/>
        </w:rPr>
      </w:pPr>
    </w:p>
    <w:p w14:paraId="4752B26B" w14:textId="6FB45596" w:rsidR="003E0F58" w:rsidRPr="007C705C" w:rsidRDefault="003E0F58" w:rsidP="003E0F58">
      <w:pPr>
        <w:jc w:val="center"/>
        <w:rPr>
          <w:rFonts w:cs="Times New Roman"/>
          <w:lang w:val="cs-CZ"/>
        </w:rPr>
      </w:pPr>
      <w:r w:rsidRPr="007C705C">
        <w:rPr>
          <w:rFonts w:cs="Times New Roman"/>
          <w:lang w:val="cs-CZ"/>
        </w:rPr>
        <w:t>Ing. Zdeněk Nesňal, (ÚZEI)</w:t>
      </w:r>
    </w:p>
    <w:p w14:paraId="4A93939A" w14:textId="77777777" w:rsidR="003E0F58" w:rsidRPr="007C705C" w:rsidRDefault="003E0F58" w:rsidP="003E0F58">
      <w:pPr>
        <w:jc w:val="center"/>
        <w:rPr>
          <w:rFonts w:cs="Times New Roman"/>
          <w:lang w:val="cs-CZ"/>
        </w:rPr>
      </w:pPr>
      <w:r w:rsidRPr="007C705C">
        <w:rPr>
          <w:rFonts w:cs="Times New Roman"/>
          <w:lang w:val="cs-CZ"/>
        </w:rPr>
        <w:t>Ing. Karel Klem, PhD., (CzechGlobe – Ústav výzkumu globální změny AV ČR, v.v.i.)</w:t>
      </w:r>
    </w:p>
    <w:p w14:paraId="1A9267E5" w14:textId="77777777" w:rsidR="003E0F58" w:rsidRPr="007C705C" w:rsidRDefault="003E0F58" w:rsidP="003E0F58">
      <w:pPr>
        <w:jc w:val="center"/>
        <w:rPr>
          <w:rFonts w:cs="Times New Roman"/>
          <w:lang w:val="cs-CZ"/>
        </w:rPr>
      </w:pPr>
      <w:r w:rsidRPr="007C705C">
        <w:rPr>
          <w:rFonts w:cs="Times New Roman"/>
          <w:lang w:val="cs-CZ"/>
        </w:rPr>
        <w:t>Doc., Ing. Petr Hlavinka, Ph.D., (CzechGlobe – Ústav výzkumu globální změny AV ČR, v.v.i.)</w:t>
      </w:r>
    </w:p>
    <w:p w14:paraId="7DA873B6" w14:textId="77777777" w:rsidR="003E0F58" w:rsidRPr="007C705C" w:rsidRDefault="003E0F58" w:rsidP="003E0F58">
      <w:pPr>
        <w:jc w:val="center"/>
        <w:rPr>
          <w:rFonts w:cs="Times New Roman"/>
          <w:lang w:val="cs-CZ"/>
        </w:rPr>
      </w:pPr>
      <w:r w:rsidRPr="007C705C">
        <w:rPr>
          <w:rFonts w:cs="Times New Roman"/>
          <w:lang w:val="cs-CZ"/>
        </w:rPr>
        <w:t>RNDr. Filip Chuchma, Ph.D., (Český hydrometeorologický ústav)</w:t>
      </w:r>
    </w:p>
    <w:p w14:paraId="426BFDCF" w14:textId="77777777" w:rsidR="003E0F58" w:rsidRPr="007C705C" w:rsidRDefault="003E0F58" w:rsidP="003E0F58">
      <w:pPr>
        <w:jc w:val="center"/>
        <w:rPr>
          <w:rFonts w:cs="Times New Roman"/>
          <w:lang w:val="cs-CZ"/>
        </w:rPr>
      </w:pPr>
      <w:r w:rsidRPr="007C705C">
        <w:rPr>
          <w:rFonts w:cs="Times New Roman"/>
          <w:lang w:val="cs-CZ"/>
        </w:rPr>
        <w:t>RNDr. Radim Tolasz, Ph.D., (Český hydrometeorologický ústav)</w:t>
      </w:r>
    </w:p>
    <w:p w14:paraId="43F4CF3B" w14:textId="77777777" w:rsidR="003E0F58" w:rsidRPr="007C705C" w:rsidRDefault="003E0F58" w:rsidP="003E0F58">
      <w:pPr>
        <w:jc w:val="center"/>
        <w:rPr>
          <w:rFonts w:cs="Times New Roman"/>
          <w:lang w:val="cs-CZ"/>
        </w:rPr>
      </w:pPr>
      <w:r w:rsidRPr="007C705C">
        <w:rPr>
          <w:rFonts w:cs="Times New Roman"/>
          <w:lang w:val="cs-CZ"/>
        </w:rPr>
        <w:t>Ing. Jan Vopravil, Ph.D., (Výzkumný ústav meliorací a ochrany půdy, v. v. i.)</w:t>
      </w:r>
    </w:p>
    <w:p w14:paraId="21BEECE4" w14:textId="77777777" w:rsidR="003E0F58" w:rsidRPr="007C705C" w:rsidRDefault="003E0F58" w:rsidP="003E0F58">
      <w:pPr>
        <w:jc w:val="center"/>
        <w:rPr>
          <w:rFonts w:cs="Times New Roman"/>
          <w:lang w:val="cs-CZ"/>
        </w:rPr>
      </w:pPr>
      <w:r w:rsidRPr="007C705C">
        <w:rPr>
          <w:rFonts w:cs="Times New Roman"/>
          <w:lang w:val="cs-CZ"/>
        </w:rPr>
        <w:t>Ing. Ondřej Holubík, (Výzkumný ústav meliorací a ochrany půdy, v. v. i.)</w:t>
      </w:r>
    </w:p>
    <w:p w14:paraId="3492B43B" w14:textId="77777777" w:rsidR="003E0F58" w:rsidRPr="007C705C" w:rsidRDefault="003E0F58" w:rsidP="003E0F58">
      <w:pPr>
        <w:jc w:val="center"/>
        <w:rPr>
          <w:rFonts w:cs="Times New Roman"/>
          <w:lang w:val="cs-CZ"/>
        </w:rPr>
      </w:pPr>
      <w:r w:rsidRPr="007C705C">
        <w:rPr>
          <w:rFonts w:cs="Times New Roman"/>
          <w:lang w:val="cs-CZ"/>
        </w:rPr>
        <w:t>Ing. Miroslav Češpiva, Ph.D., (Výzkumný ústav zemědělské techniky, v. v. i.)</w:t>
      </w:r>
    </w:p>
    <w:p w14:paraId="7B190742" w14:textId="36847E63" w:rsidR="003E0F58" w:rsidRPr="007C705C" w:rsidRDefault="003E0F58" w:rsidP="003E0F58">
      <w:pPr>
        <w:jc w:val="center"/>
        <w:rPr>
          <w:rFonts w:cs="Times New Roman"/>
          <w:lang w:val="cs-CZ"/>
        </w:rPr>
      </w:pPr>
      <w:r w:rsidRPr="007C705C">
        <w:rPr>
          <w:rFonts w:cs="Times New Roman"/>
          <w:lang w:val="cs-CZ"/>
        </w:rPr>
        <w:t>a kol.</w:t>
      </w:r>
    </w:p>
    <w:p w14:paraId="13F16852" w14:textId="2F3BC8CA" w:rsidR="003E0F58" w:rsidRPr="007C705C" w:rsidRDefault="003E0F58" w:rsidP="003E0F58">
      <w:pPr>
        <w:jc w:val="center"/>
        <w:rPr>
          <w:rFonts w:cs="Times New Roman"/>
          <w:lang w:val="cs-CZ"/>
        </w:rPr>
      </w:pPr>
    </w:p>
    <w:p w14:paraId="2392AD4C" w14:textId="4D0F1420" w:rsidR="003E0F58" w:rsidRPr="007C705C" w:rsidRDefault="003E0F58" w:rsidP="003E0F58">
      <w:pPr>
        <w:jc w:val="center"/>
        <w:rPr>
          <w:rFonts w:cs="Times New Roman"/>
          <w:lang w:val="cs-CZ"/>
        </w:rPr>
      </w:pPr>
    </w:p>
    <w:p w14:paraId="5683EF75" w14:textId="77777777" w:rsidR="003E0F58" w:rsidRPr="007C705C" w:rsidRDefault="003E0F58" w:rsidP="003E0F58">
      <w:pPr>
        <w:jc w:val="center"/>
        <w:rPr>
          <w:rFonts w:cs="Times New Roman"/>
          <w:lang w:val="cs-CZ"/>
        </w:rPr>
      </w:pPr>
    </w:p>
    <w:p w14:paraId="3A6F3152" w14:textId="77777777" w:rsidR="006105ED" w:rsidRDefault="006105ED" w:rsidP="003E0F58">
      <w:pPr>
        <w:jc w:val="center"/>
        <w:rPr>
          <w:rFonts w:eastAsiaTheme="minorEastAsia" w:cs="Times New Roman"/>
          <w:lang w:val="cs-CZ"/>
        </w:rPr>
      </w:pPr>
    </w:p>
    <w:p w14:paraId="334CC0AF" w14:textId="77777777" w:rsidR="006105ED" w:rsidRDefault="006105ED" w:rsidP="003E0F58">
      <w:pPr>
        <w:jc w:val="center"/>
        <w:rPr>
          <w:rFonts w:eastAsiaTheme="minorEastAsia" w:cs="Times New Roman"/>
          <w:lang w:val="cs-CZ"/>
        </w:rPr>
      </w:pPr>
    </w:p>
    <w:p w14:paraId="7257C6E4" w14:textId="77777777" w:rsidR="006105ED" w:rsidRDefault="006105ED" w:rsidP="003E0F58">
      <w:pPr>
        <w:jc w:val="center"/>
        <w:rPr>
          <w:rFonts w:eastAsiaTheme="minorEastAsia" w:cs="Times New Roman"/>
          <w:lang w:val="cs-CZ"/>
        </w:rPr>
      </w:pPr>
    </w:p>
    <w:p w14:paraId="45A04836" w14:textId="77777777" w:rsidR="006105ED" w:rsidRDefault="006105ED" w:rsidP="003E0F58">
      <w:pPr>
        <w:jc w:val="center"/>
        <w:rPr>
          <w:rFonts w:eastAsiaTheme="minorEastAsia" w:cs="Times New Roman"/>
          <w:lang w:val="cs-CZ"/>
        </w:rPr>
      </w:pPr>
    </w:p>
    <w:p w14:paraId="449799A7" w14:textId="77777777" w:rsidR="006105ED" w:rsidRDefault="006105ED" w:rsidP="003E0F58">
      <w:pPr>
        <w:jc w:val="center"/>
        <w:rPr>
          <w:rFonts w:eastAsiaTheme="minorEastAsia" w:cs="Times New Roman"/>
          <w:lang w:val="cs-CZ"/>
        </w:rPr>
      </w:pPr>
    </w:p>
    <w:p w14:paraId="0A38684A" w14:textId="34F1AA5C" w:rsidR="003E0F58" w:rsidRPr="007C705C" w:rsidRDefault="003E0F58" w:rsidP="003E0F58">
      <w:pPr>
        <w:jc w:val="center"/>
        <w:rPr>
          <w:rFonts w:eastAsiaTheme="minorEastAsia" w:cs="Times New Roman"/>
          <w:lang w:val="cs-CZ"/>
        </w:rPr>
      </w:pPr>
      <w:r w:rsidRPr="007C705C">
        <w:rPr>
          <w:rFonts w:eastAsiaTheme="minorEastAsia" w:cs="Times New Roman"/>
          <w:lang w:val="cs-CZ"/>
        </w:rPr>
        <w:t xml:space="preserve">Praha, </w:t>
      </w:r>
      <w:r w:rsidR="00D03038">
        <w:rPr>
          <w:rFonts w:eastAsiaTheme="minorEastAsia" w:cs="Times New Roman"/>
          <w:lang w:val="cs-CZ"/>
        </w:rPr>
        <w:t>srpen</w:t>
      </w:r>
      <w:r w:rsidR="006105ED">
        <w:rPr>
          <w:rFonts w:eastAsiaTheme="minorEastAsia" w:cs="Times New Roman"/>
          <w:lang w:val="cs-CZ"/>
        </w:rPr>
        <w:t xml:space="preserve"> 202</w:t>
      </w:r>
      <w:r w:rsidR="00D03038">
        <w:rPr>
          <w:rFonts w:eastAsiaTheme="minorEastAsia" w:cs="Times New Roman"/>
          <w:lang w:val="cs-CZ"/>
        </w:rPr>
        <w:t>1</w:t>
      </w:r>
    </w:p>
    <w:p w14:paraId="3105955B" w14:textId="77777777" w:rsidR="003E0F58" w:rsidRPr="007C705C" w:rsidRDefault="003E0F58" w:rsidP="003E0F58">
      <w:pPr>
        <w:jc w:val="center"/>
        <w:rPr>
          <w:rFonts w:eastAsiaTheme="minorEastAsia" w:cs="Times New Roman"/>
          <w:lang w:val="cs-CZ"/>
        </w:rPr>
      </w:pPr>
      <w:bookmarkStart w:id="2" w:name="_Toc313363000"/>
      <w:bookmarkStart w:id="3" w:name="_Toc521315957"/>
      <w:bookmarkStart w:id="4" w:name="_Toc522523034"/>
      <w:bookmarkStart w:id="5" w:name="_Toc523143753"/>
      <w:bookmarkStart w:id="6" w:name="_Toc523143771"/>
      <w:bookmarkStart w:id="7" w:name="_Toc523146688"/>
      <w:r w:rsidRPr="007C705C">
        <w:rPr>
          <w:rFonts w:eastAsiaTheme="minorEastAsia" w:cs="Times New Roman"/>
          <w:lang w:val="cs-CZ"/>
        </w:rPr>
        <w:br w:type="page"/>
      </w:r>
    </w:p>
    <w:p w14:paraId="29E6EEBD" w14:textId="362150BB" w:rsidR="003E0F58" w:rsidRPr="007C705C" w:rsidRDefault="003E0F58" w:rsidP="00647056">
      <w:pPr>
        <w:pStyle w:val="UZEINadpis1stbezsla"/>
        <w:rPr>
          <w:rFonts w:eastAsiaTheme="minorEastAsia"/>
        </w:rPr>
      </w:pPr>
      <w:bookmarkStart w:id="8" w:name="_Toc7429642"/>
      <w:bookmarkStart w:id="9" w:name="_Toc7429844"/>
      <w:bookmarkStart w:id="10" w:name="_Toc7430775"/>
      <w:bookmarkStart w:id="11" w:name="_Toc7432027"/>
      <w:bookmarkStart w:id="12" w:name="_Toc9611295"/>
      <w:bookmarkStart w:id="13" w:name="_Toc23326650"/>
      <w:bookmarkStart w:id="14" w:name="_Toc23327257"/>
      <w:bookmarkStart w:id="15" w:name="_Toc77245890"/>
      <w:bookmarkStart w:id="16" w:name="_Toc81343092"/>
      <w:bookmarkStart w:id="17" w:name="_Toc81343155"/>
      <w:bookmarkStart w:id="18" w:name="_Toc81343224"/>
      <w:bookmarkStart w:id="19" w:name="_Toc94181674"/>
      <w:r w:rsidRPr="007C705C">
        <w:lastRenderedPageBreak/>
        <w:t>Seznam zkratek</w: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12"/>
        <w:gridCol w:w="7750"/>
      </w:tblGrid>
      <w:tr w:rsidR="003E0F58" w:rsidRPr="007C705C" w14:paraId="7D82786E" w14:textId="77777777" w:rsidTr="004D2249">
        <w:trPr>
          <w:trHeight w:val="315"/>
        </w:trPr>
        <w:tc>
          <w:tcPr>
            <w:tcW w:w="724" w:type="pct"/>
            <w:shd w:val="clear" w:color="auto" w:fill="auto"/>
          </w:tcPr>
          <w:p w14:paraId="1B617F83" w14:textId="77777777" w:rsidR="003E0F58" w:rsidRPr="007C705C" w:rsidRDefault="003E0F58" w:rsidP="004D2249">
            <w:pPr>
              <w:pStyle w:val="Tabulka"/>
            </w:pPr>
            <w:bookmarkStart w:id="20" w:name="_Toc81342518"/>
            <w:r w:rsidRPr="007C705C">
              <w:rPr>
                <w:rFonts w:eastAsiaTheme="minorEastAsia"/>
                <w:lang w:eastAsia="en-US"/>
              </w:rPr>
              <w:t>AEO</w:t>
            </w:r>
            <w:bookmarkEnd w:id="20"/>
          </w:p>
        </w:tc>
        <w:tc>
          <w:tcPr>
            <w:tcW w:w="4276" w:type="pct"/>
            <w:shd w:val="clear" w:color="auto" w:fill="auto"/>
          </w:tcPr>
          <w:p w14:paraId="06657692" w14:textId="77777777" w:rsidR="003E0F58" w:rsidRPr="007C705C" w:rsidRDefault="003E0F58" w:rsidP="004D2249">
            <w:pPr>
              <w:pStyle w:val="Tabulka"/>
            </w:pPr>
            <w:bookmarkStart w:id="21" w:name="_Toc81342519"/>
            <w:r w:rsidRPr="007C705C">
              <w:t>Agroenvironmentální opatření</w:t>
            </w:r>
            <w:bookmarkEnd w:id="21"/>
          </w:p>
        </w:tc>
      </w:tr>
      <w:tr w:rsidR="003E0F58" w:rsidRPr="007C705C" w14:paraId="4A8C3811" w14:textId="77777777" w:rsidTr="004D2249">
        <w:trPr>
          <w:trHeight w:val="315"/>
        </w:trPr>
        <w:tc>
          <w:tcPr>
            <w:tcW w:w="724" w:type="pct"/>
            <w:shd w:val="clear" w:color="auto" w:fill="auto"/>
          </w:tcPr>
          <w:p w14:paraId="11531969" w14:textId="77777777" w:rsidR="003E0F58" w:rsidRPr="007C705C" w:rsidRDefault="003E0F58" w:rsidP="004D2249">
            <w:pPr>
              <w:pStyle w:val="Tabulka"/>
              <w:rPr>
                <w:rFonts w:eastAsiaTheme="minorEastAsia"/>
                <w:lang w:eastAsia="en-US"/>
              </w:rPr>
            </w:pPr>
            <w:bookmarkStart w:id="22" w:name="_Toc81342520"/>
            <w:r w:rsidRPr="007C705C">
              <w:rPr>
                <w:rFonts w:eastAsiaTheme="minorEastAsia"/>
                <w:lang w:eastAsia="en-US"/>
              </w:rPr>
              <w:t>AR</w:t>
            </w:r>
            <w:bookmarkEnd w:id="22"/>
          </w:p>
        </w:tc>
        <w:tc>
          <w:tcPr>
            <w:tcW w:w="4276" w:type="pct"/>
            <w:shd w:val="clear" w:color="auto" w:fill="auto"/>
          </w:tcPr>
          <w:p w14:paraId="3C0297F4" w14:textId="77777777" w:rsidR="003E0F58" w:rsidRPr="007C705C" w:rsidRDefault="003E0F58" w:rsidP="004D2249">
            <w:pPr>
              <w:pStyle w:val="Tabulka"/>
            </w:pPr>
            <w:bookmarkStart w:id="23" w:name="_Toc81342521"/>
            <w:r w:rsidRPr="007C705C">
              <w:t>Annual report</w:t>
            </w:r>
            <w:bookmarkEnd w:id="23"/>
          </w:p>
        </w:tc>
      </w:tr>
      <w:tr w:rsidR="003E0F58" w:rsidRPr="007C705C" w14:paraId="1B379AB6" w14:textId="77777777" w:rsidTr="004D2249">
        <w:trPr>
          <w:cantSplit/>
          <w:trHeight w:val="315"/>
        </w:trPr>
        <w:tc>
          <w:tcPr>
            <w:tcW w:w="724" w:type="pct"/>
            <w:shd w:val="clear" w:color="auto" w:fill="auto"/>
          </w:tcPr>
          <w:p w14:paraId="004FC882" w14:textId="77777777" w:rsidR="003E0F58" w:rsidRPr="007C705C" w:rsidRDefault="003E0F58" w:rsidP="004D2249">
            <w:pPr>
              <w:pStyle w:val="Tabulka"/>
            </w:pPr>
            <w:bookmarkStart w:id="24" w:name="_Toc81342522"/>
            <w:r w:rsidRPr="007C705C">
              <w:t>BPEJ</w:t>
            </w:r>
            <w:bookmarkEnd w:id="24"/>
          </w:p>
        </w:tc>
        <w:tc>
          <w:tcPr>
            <w:tcW w:w="4276" w:type="pct"/>
            <w:shd w:val="clear" w:color="auto" w:fill="auto"/>
          </w:tcPr>
          <w:p w14:paraId="0FCBDF06" w14:textId="77777777" w:rsidR="003E0F58" w:rsidRPr="007C705C" w:rsidRDefault="003E0F58" w:rsidP="004D2249">
            <w:pPr>
              <w:pStyle w:val="Tabulka"/>
              <w:rPr>
                <w:rFonts w:eastAsiaTheme="minorEastAsia"/>
                <w:lang w:eastAsia="en-US"/>
              </w:rPr>
            </w:pPr>
            <w:bookmarkStart w:id="25" w:name="_Toc81342523"/>
            <w:r w:rsidRPr="007C705C">
              <w:rPr>
                <w:rFonts w:eastAsiaTheme="minorEastAsia"/>
                <w:lang w:eastAsia="en-US"/>
              </w:rPr>
              <w:t>Bonitovaná půdně – ekologická jednotka</w:t>
            </w:r>
            <w:bookmarkEnd w:id="25"/>
          </w:p>
        </w:tc>
      </w:tr>
      <w:tr w:rsidR="003E0F58" w:rsidRPr="007C705C" w14:paraId="129CEE1D" w14:textId="77777777" w:rsidTr="004D2249">
        <w:trPr>
          <w:cantSplit/>
          <w:trHeight w:val="315"/>
        </w:trPr>
        <w:tc>
          <w:tcPr>
            <w:tcW w:w="724" w:type="pct"/>
            <w:shd w:val="clear" w:color="auto" w:fill="auto"/>
          </w:tcPr>
          <w:p w14:paraId="3F36FC6F" w14:textId="77777777" w:rsidR="003E0F58" w:rsidRPr="007C705C" w:rsidRDefault="003E0F58" w:rsidP="004D2249">
            <w:pPr>
              <w:pStyle w:val="Tabulka"/>
            </w:pPr>
            <w:bookmarkStart w:id="26" w:name="_Toc81342524"/>
            <w:r w:rsidRPr="007C705C">
              <w:t>BPS</w:t>
            </w:r>
            <w:bookmarkEnd w:id="26"/>
          </w:p>
        </w:tc>
        <w:tc>
          <w:tcPr>
            <w:tcW w:w="4276" w:type="pct"/>
            <w:shd w:val="clear" w:color="auto" w:fill="auto"/>
          </w:tcPr>
          <w:p w14:paraId="3B7F02D8" w14:textId="77777777" w:rsidR="003E0F58" w:rsidRPr="007C705C" w:rsidRDefault="003E0F58" w:rsidP="004D2249">
            <w:pPr>
              <w:pStyle w:val="Tabulka"/>
            </w:pPr>
            <w:bookmarkStart w:id="27" w:name="_Toc81342525"/>
            <w:r w:rsidRPr="007C705C">
              <w:t>Bioplynová stanice</w:t>
            </w:r>
            <w:bookmarkEnd w:id="27"/>
          </w:p>
        </w:tc>
      </w:tr>
      <w:tr w:rsidR="003E0F58" w:rsidRPr="007C705C" w14:paraId="02F723CB" w14:textId="77777777" w:rsidTr="004D2249">
        <w:trPr>
          <w:trHeight w:val="315"/>
        </w:trPr>
        <w:tc>
          <w:tcPr>
            <w:tcW w:w="724" w:type="pct"/>
            <w:shd w:val="clear" w:color="auto" w:fill="auto"/>
          </w:tcPr>
          <w:p w14:paraId="2967999D" w14:textId="77777777" w:rsidR="003E0F58" w:rsidRPr="007C705C" w:rsidRDefault="003E0F58" w:rsidP="004D2249">
            <w:pPr>
              <w:pStyle w:val="Tabulka"/>
            </w:pPr>
            <w:bookmarkStart w:id="28" w:name="_Toc81342526"/>
            <w:r w:rsidRPr="007C705C">
              <w:rPr>
                <w:rFonts w:eastAsiaTheme="minorEastAsia"/>
              </w:rPr>
              <w:t>BRKO</w:t>
            </w:r>
            <w:bookmarkEnd w:id="28"/>
          </w:p>
        </w:tc>
        <w:tc>
          <w:tcPr>
            <w:tcW w:w="4276" w:type="pct"/>
            <w:shd w:val="clear" w:color="auto" w:fill="auto"/>
          </w:tcPr>
          <w:p w14:paraId="067CF607" w14:textId="77777777" w:rsidR="003E0F58" w:rsidRPr="007C705C" w:rsidRDefault="003E0F58" w:rsidP="004D2249">
            <w:pPr>
              <w:pStyle w:val="Tabulka"/>
            </w:pPr>
            <w:bookmarkStart w:id="29" w:name="_Toc81342527"/>
            <w:r w:rsidRPr="007C705C">
              <w:t>Biologicky rozložitelný komunální odpad</w:t>
            </w:r>
            <w:bookmarkEnd w:id="29"/>
          </w:p>
        </w:tc>
      </w:tr>
      <w:tr w:rsidR="003E0F58" w:rsidRPr="007C705C" w14:paraId="6C87F050" w14:textId="77777777" w:rsidTr="004D2249">
        <w:trPr>
          <w:trHeight w:val="315"/>
        </w:trPr>
        <w:tc>
          <w:tcPr>
            <w:tcW w:w="724" w:type="pct"/>
            <w:shd w:val="clear" w:color="auto" w:fill="auto"/>
          </w:tcPr>
          <w:p w14:paraId="5E24CD87" w14:textId="77777777" w:rsidR="003E0F58" w:rsidRPr="007C705C" w:rsidRDefault="003E0F58" w:rsidP="004D2249">
            <w:pPr>
              <w:pStyle w:val="Tabulka"/>
              <w:rPr>
                <w:rFonts w:eastAsiaTheme="minorEastAsia"/>
                <w:lang w:eastAsia="en-US"/>
              </w:rPr>
            </w:pPr>
            <w:bookmarkStart w:id="30" w:name="_Toc81342528"/>
            <w:r w:rsidRPr="007C705C">
              <w:rPr>
                <w:rFonts w:eastAsiaTheme="minorEastAsia"/>
              </w:rPr>
              <w:t>ČHMÚ</w:t>
            </w:r>
            <w:bookmarkEnd w:id="30"/>
          </w:p>
        </w:tc>
        <w:tc>
          <w:tcPr>
            <w:tcW w:w="4276" w:type="pct"/>
            <w:shd w:val="clear" w:color="auto" w:fill="auto"/>
          </w:tcPr>
          <w:p w14:paraId="44EDA962" w14:textId="77777777" w:rsidR="003E0F58" w:rsidRPr="007C705C" w:rsidRDefault="003E0F58" w:rsidP="004D2249">
            <w:pPr>
              <w:pStyle w:val="Tabulka"/>
            </w:pPr>
            <w:bookmarkStart w:id="31" w:name="_Toc81342529"/>
            <w:r w:rsidRPr="007C705C">
              <w:t>Český hydrometeorologický ústav</w:t>
            </w:r>
            <w:bookmarkEnd w:id="31"/>
          </w:p>
        </w:tc>
      </w:tr>
      <w:tr w:rsidR="003E0F58" w:rsidRPr="007C705C" w14:paraId="4CB6E0BF" w14:textId="77777777" w:rsidTr="004D2249">
        <w:trPr>
          <w:trHeight w:val="315"/>
        </w:trPr>
        <w:tc>
          <w:tcPr>
            <w:tcW w:w="724" w:type="pct"/>
            <w:shd w:val="clear" w:color="auto" w:fill="auto"/>
          </w:tcPr>
          <w:p w14:paraId="361B137E" w14:textId="77777777" w:rsidR="003E0F58" w:rsidRPr="007C705C" w:rsidRDefault="003E0F58" w:rsidP="004D2249">
            <w:pPr>
              <w:pStyle w:val="Tabulka"/>
              <w:rPr>
                <w:rFonts w:eastAsiaTheme="minorEastAsia"/>
              </w:rPr>
            </w:pPr>
            <w:bookmarkStart w:id="32" w:name="_Toc81342530"/>
            <w:r w:rsidRPr="007C705C">
              <w:rPr>
                <w:rFonts w:eastAsiaTheme="minorEastAsia"/>
              </w:rPr>
              <w:t>ČSÚ</w:t>
            </w:r>
            <w:bookmarkEnd w:id="32"/>
          </w:p>
        </w:tc>
        <w:tc>
          <w:tcPr>
            <w:tcW w:w="4276" w:type="pct"/>
            <w:shd w:val="clear" w:color="auto" w:fill="auto"/>
          </w:tcPr>
          <w:p w14:paraId="47C787F0" w14:textId="77777777" w:rsidR="003E0F58" w:rsidRPr="007C705C" w:rsidRDefault="003E0F58" w:rsidP="004D2249">
            <w:pPr>
              <w:pStyle w:val="Tabulka"/>
            </w:pPr>
            <w:bookmarkStart w:id="33" w:name="_Toc81342531"/>
            <w:r w:rsidRPr="007C705C">
              <w:t>Český statistický úřad</w:t>
            </w:r>
            <w:bookmarkEnd w:id="33"/>
          </w:p>
        </w:tc>
      </w:tr>
      <w:tr w:rsidR="003E0F58" w:rsidRPr="007C705C" w14:paraId="2F31BC83" w14:textId="77777777" w:rsidTr="004D2249">
        <w:trPr>
          <w:trHeight w:val="315"/>
        </w:trPr>
        <w:tc>
          <w:tcPr>
            <w:tcW w:w="724" w:type="pct"/>
            <w:shd w:val="clear" w:color="auto" w:fill="auto"/>
          </w:tcPr>
          <w:p w14:paraId="1ED8E212" w14:textId="77777777" w:rsidR="003E0F58" w:rsidRPr="007C705C" w:rsidRDefault="003E0F58" w:rsidP="004D2249">
            <w:pPr>
              <w:pStyle w:val="Tabulka"/>
            </w:pPr>
            <w:bookmarkStart w:id="34" w:name="_Toc81342532"/>
            <w:r w:rsidRPr="007C705C">
              <w:rPr>
                <w:rFonts w:eastAsiaTheme="minorEastAsia"/>
              </w:rPr>
              <w:t>DZES</w:t>
            </w:r>
            <w:bookmarkEnd w:id="34"/>
          </w:p>
        </w:tc>
        <w:tc>
          <w:tcPr>
            <w:tcW w:w="4276" w:type="pct"/>
            <w:shd w:val="clear" w:color="auto" w:fill="auto"/>
          </w:tcPr>
          <w:p w14:paraId="0165887C" w14:textId="77777777" w:rsidR="003E0F58" w:rsidRPr="007C705C" w:rsidRDefault="003E0F58" w:rsidP="004D2249">
            <w:pPr>
              <w:pStyle w:val="Tabulka"/>
            </w:pPr>
            <w:bookmarkStart w:id="35" w:name="_Toc81342533"/>
            <w:r w:rsidRPr="007C705C">
              <w:t>Dobrý zemědělský a environmentální stav</w:t>
            </w:r>
            <w:bookmarkEnd w:id="35"/>
          </w:p>
        </w:tc>
      </w:tr>
      <w:tr w:rsidR="003E0F58" w:rsidRPr="007C705C" w14:paraId="6BEBBACE" w14:textId="77777777" w:rsidTr="004D2249">
        <w:trPr>
          <w:cantSplit/>
          <w:trHeight w:val="315"/>
        </w:trPr>
        <w:tc>
          <w:tcPr>
            <w:tcW w:w="724" w:type="pct"/>
            <w:shd w:val="clear" w:color="auto" w:fill="auto"/>
          </w:tcPr>
          <w:p w14:paraId="2219C1AA" w14:textId="77777777" w:rsidR="003E0F58" w:rsidRPr="007C705C" w:rsidRDefault="003E0F58" w:rsidP="004D2249">
            <w:pPr>
              <w:pStyle w:val="Tabulka"/>
            </w:pPr>
            <w:bookmarkStart w:id="36" w:name="_Toc81342534"/>
            <w:r w:rsidRPr="007C705C">
              <w:t>EFA</w:t>
            </w:r>
            <w:bookmarkEnd w:id="36"/>
          </w:p>
        </w:tc>
        <w:tc>
          <w:tcPr>
            <w:tcW w:w="4276" w:type="pct"/>
            <w:shd w:val="clear" w:color="auto" w:fill="auto"/>
          </w:tcPr>
          <w:p w14:paraId="51274E17" w14:textId="77777777" w:rsidR="003E0F58" w:rsidRPr="007C705C" w:rsidRDefault="003E0F58" w:rsidP="004D2249">
            <w:pPr>
              <w:pStyle w:val="Tabulka"/>
            </w:pPr>
            <w:bookmarkStart w:id="37" w:name="_Toc81342535"/>
            <w:r w:rsidRPr="007C705C">
              <w:t>Ekologicky zaměřená oblast</w:t>
            </w:r>
            <w:bookmarkEnd w:id="37"/>
            <w:r w:rsidRPr="007C705C">
              <w:t xml:space="preserve"> </w:t>
            </w:r>
          </w:p>
        </w:tc>
      </w:tr>
      <w:tr w:rsidR="003E0F58" w:rsidRPr="007C705C" w14:paraId="53FE2C3D" w14:textId="77777777" w:rsidTr="004D2249">
        <w:trPr>
          <w:cantSplit/>
          <w:trHeight w:val="315"/>
        </w:trPr>
        <w:tc>
          <w:tcPr>
            <w:tcW w:w="724" w:type="pct"/>
            <w:shd w:val="clear" w:color="auto" w:fill="auto"/>
          </w:tcPr>
          <w:p w14:paraId="4D6A6F50" w14:textId="77777777" w:rsidR="003E0F58" w:rsidRPr="007C705C" w:rsidRDefault="003E0F58" w:rsidP="004D2249">
            <w:pPr>
              <w:pStyle w:val="Tabulka"/>
            </w:pPr>
            <w:bookmarkStart w:id="38" w:name="_Toc81342536"/>
            <w:r w:rsidRPr="007C705C">
              <w:t>EHS</w:t>
            </w:r>
            <w:bookmarkEnd w:id="38"/>
          </w:p>
        </w:tc>
        <w:tc>
          <w:tcPr>
            <w:tcW w:w="4276" w:type="pct"/>
            <w:shd w:val="clear" w:color="auto" w:fill="auto"/>
          </w:tcPr>
          <w:p w14:paraId="073D4148" w14:textId="77777777" w:rsidR="003E0F58" w:rsidRPr="007C705C" w:rsidRDefault="003E0F58" w:rsidP="004D2249">
            <w:pPr>
              <w:pStyle w:val="Tabulka"/>
            </w:pPr>
            <w:bookmarkStart w:id="39" w:name="_Toc81342537"/>
            <w:r w:rsidRPr="007C705C">
              <w:t>Evropský hospodářský prostor</w:t>
            </w:r>
            <w:bookmarkEnd w:id="39"/>
          </w:p>
        </w:tc>
      </w:tr>
      <w:tr w:rsidR="003E0F58" w:rsidRPr="007C705C" w14:paraId="1185F06B" w14:textId="77777777" w:rsidTr="004D2249">
        <w:trPr>
          <w:trHeight w:val="315"/>
        </w:trPr>
        <w:tc>
          <w:tcPr>
            <w:tcW w:w="724" w:type="pct"/>
            <w:shd w:val="clear" w:color="auto" w:fill="auto"/>
          </w:tcPr>
          <w:p w14:paraId="58F40C21" w14:textId="77777777" w:rsidR="003E0F58" w:rsidRPr="007C705C" w:rsidRDefault="003E0F58" w:rsidP="004D2249">
            <w:pPr>
              <w:pStyle w:val="Tabulka"/>
            </w:pPr>
            <w:bookmarkStart w:id="40" w:name="_Toc81342538"/>
            <w:r w:rsidRPr="007C705C">
              <w:rPr>
                <w:rFonts w:eastAsiaTheme="minorEastAsia"/>
              </w:rPr>
              <w:t>EIP</w:t>
            </w:r>
            <w:bookmarkEnd w:id="40"/>
          </w:p>
        </w:tc>
        <w:tc>
          <w:tcPr>
            <w:tcW w:w="4276" w:type="pct"/>
            <w:shd w:val="clear" w:color="auto" w:fill="auto"/>
          </w:tcPr>
          <w:p w14:paraId="25824460" w14:textId="77777777" w:rsidR="003E0F58" w:rsidRPr="007C705C" w:rsidRDefault="003E0F58" w:rsidP="004D2249">
            <w:pPr>
              <w:pStyle w:val="Tabulka"/>
            </w:pPr>
            <w:bookmarkStart w:id="41" w:name="_Toc81342539"/>
            <w:r w:rsidRPr="007C705C">
              <w:t>Evropské inovační partnerství</w:t>
            </w:r>
            <w:bookmarkEnd w:id="41"/>
          </w:p>
        </w:tc>
      </w:tr>
      <w:tr w:rsidR="003E0F58" w:rsidRPr="007C705C" w14:paraId="3F7DA65D" w14:textId="77777777" w:rsidTr="004D2249">
        <w:trPr>
          <w:trHeight w:val="315"/>
        </w:trPr>
        <w:tc>
          <w:tcPr>
            <w:tcW w:w="724" w:type="pct"/>
            <w:shd w:val="clear" w:color="auto" w:fill="auto"/>
          </w:tcPr>
          <w:p w14:paraId="5A64EEAB" w14:textId="77777777" w:rsidR="003E0F58" w:rsidRPr="007C705C" w:rsidRDefault="003E0F58" w:rsidP="004D2249">
            <w:pPr>
              <w:pStyle w:val="Tabulka"/>
            </w:pPr>
            <w:bookmarkStart w:id="42" w:name="_Toc81342540"/>
            <w:r w:rsidRPr="007C705C">
              <w:rPr>
                <w:rFonts w:eastAsiaTheme="minorEastAsia"/>
              </w:rPr>
              <w:t>EZ</w:t>
            </w:r>
            <w:bookmarkEnd w:id="42"/>
          </w:p>
        </w:tc>
        <w:tc>
          <w:tcPr>
            <w:tcW w:w="4276" w:type="pct"/>
            <w:shd w:val="clear" w:color="auto" w:fill="auto"/>
          </w:tcPr>
          <w:p w14:paraId="6D24FFFE" w14:textId="77777777" w:rsidR="003E0F58" w:rsidRPr="007C705C" w:rsidRDefault="003E0F58" w:rsidP="004D2249">
            <w:pPr>
              <w:pStyle w:val="Tabulka"/>
            </w:pPr>
            <w:bookmarkStart w:id="43" w:name="_Toc81342541"/>
            <w:r w:rsidRPr="007C705C">
              <w:t>Ekologické zemědělství</w:t>
            </w:r>
            <w:bookmarkEnd w:id="43"/>
          </w:p>
        </w:tc>
      </w:tr>
      <w:tr w:rsidR="003E0F58" w:rsidRPr="007C705C" w14:paraId="2C3C3980" w14:textId="77777777" w:rsidTr="004D2249">
        <w:trPr>
          <w:trHeight w:val="315"/>
        </w:trPr>
        <w:tc>
          <w:tcPr>
            <w:tcW w:w="724" w:type="pct"/>
            <w:shd w:val="clear" w:color="auto" w:fill="auto"/>
          </w:tcPr>
          <w:p w14:paraId="526417A0" w14:textId="77777777" w:rsidR="003E0F58" w:rsidRPr="007C705C" w:rsidRDefault="003E0F58" w:rsidP="004D2249">
            <w:pPr>
              <w:pStyle w:val="Tabulka"/>
              <w:rPr>
                <w:rFonts w:eastAsiaTheme="minorEastAsia"/>
              </w:rPr>
            </w:pPr>
            <w:bookmarkStart w:id="44" w:name="_Toc81342542"/>
            <w:r w:rsidRPr="007C705C">
              <w:rPr>
                <w:rFonts w:eastAsiaTheme="minorEastAsia"/>
              </w:rPr>
              <w:t>FAME</w:t>
            </w:r>
            <w:bookmarkEnd w:id="44"/>
          </w:p>
        </w:tc>
        <w:tc>
          <w:tcPr>
            <w:tcW w:w="4276" w:type="pct"/>
            <w:shd w:val="clear" w:color="auto" w:fill="auto"/>
          </w:tcPr>
          <w:p w14:paraId="64EB26CB" w14:textId="77777777" w:rsidR="003E0F58" w:rsidRPr="007C705C" w:rsidRDefault="003E0F58" w:rsidP="004D2249">
            <w:pPr>
              <w:pStyle w:val="Tabulka"/>
            </w:pPr>
            <w:bookmarkStart w:id="45" w:name="_Toc81342543"/>
            <w:r w:rsidRPr="007C705C">
              <w:t>Metylester rostlinného oleje</w:t>
            </w:r>
            <w:bookmarkEnd w:id="45"/>
          </w:p>
        </w:tc>
      </w:tr>
      <w:tr w:rsidR="003E0F58" w:rsidRPr="007C705C" w14:paraId="541F5421" w14:textId="77777777" w:rsidTr="004D2249">
        <w:trPr>
          <w:cantSplit/>
          <w:trHeight w:val="315"/>
        </w:trPr>
        <w:tc>
          <w:tcPr>
            <w:tcW w:w="724" w:type="pct"/>
            <w:shd w:val="clear" w:color="auto" w:fill="auto"/>
          </w:tcPr>
          <w:p w14:paraId="1D76B1BA" w14:textId="77777777" w:rsidR="003E0F58" w:rsidRPr="007C705C" w:rsidRDefault="003E0F58" w:rsidP="004D2249">
            <w:pPr>
              <w:pStyle w:val="Tabulka"/>
              <w:rPr>
                <w:rFonts w:eastAsiaTheme="minorEastAsia"/>
              </w:rPr>
            </w:pPr>
            <w:bookmarkStart w:id="46" w:name="_Toc81342544"/>
            <w:r w:rsidRPr="007C705C">
              <w:rPr>
                <w:rFonts w:eastAsiaTheme="minorEastAsia"/>
              </w:rPr>
              <w:t>GHG</w:t>
            </w:r>
            <w:bookmarkEnd w:id="46"/>
          </w:p>
        </w:tc>
        <w:tc>
          <w:tcPr>
            <w:tcW w:w="4276" w:type="pct"/>
            <w:shd w:val="clear" w:color="auto" w:fill="auto"/>
          </w:tcPr>
          <w:p w14:paraId="6D8CF852" w14:textId="77777777" w:rsidR="003E0F58" w:rsidRPr="007C705C" w:rsidRDefault="003E0F58" w:rsidP="004D2249">
            <w:pPr>
              <w:pStyle w:val="Tabulka"/>
              <w:rPr>
                <w:rFonts w:eastAsiaTheme="minorEastAsia"/>
              </w:rPr>
            </w:pPr>
            <w:bookmarkStart w:id="47" w:name="_Toc81342545"/>
            <w:r w:rsidRPr="007C705C">
              <w:rPr>
                <w:rFonts w:eastAsiaTheme="minorEastAsia"/>
              </w:rPr>
              <w:t>Greenhouse gases</w:t>
            </w:r>
            <w:bookmarkEnd w:id="47"/>
          </w:p>
        </w:tc>
      </w:tr>
      <w:tr w:rsidR="003E0F58" w:rsidRPr="007C705C" w14:paraId="261973D5" w14:textId="77777777" w:rsidTr="004D2249">
        <w:trPr>
          <w:cantSplit/>
          <w:trHeight w:val="315"/>
        </w:trPr>
        <w:tc>
          <w:tcPr>
            <w:tcW w:w="724" w:type="pct"/>
            <w:shd w:val="clear" w:color="auto" w:fill="auto"/>
          </w:tcPr>
          <w:p w14:paraId="50EB5705" w14:textId="77777777" w:rsidR="003E0F58" w:rsidRPr="007C705C" w:rsidRDefault="003E0F58" w:rsidP="004D2249">
            <w:pPr>
              <w:pStyle w:val="Tabulka"/>
            </w:pPr>
            <w:bookmarkStart w:id="48" w:name="_Toc81342546"/>
            <w:r w:rsidRPr="007C705C">
              <w:rPr>
                <w:rFonts w:eastAsiaTheme="minorEastAsia"/>
              </w:rPr>
              <w:t>GIS</w:t>
            </w:r>
            <w:bookmarkEnd w:id="48"/>
          </w:p>
        </w:tc>
        <w:tc>
          <w:tcPr>
            <w:tcW w:w="4276" w:type="pct"/>
            <w:shd w:val="clear" w:color="auto" w:fill="auto"/>
          </w:tcPr>
          <w:p w14:paraId="6F763D45" w14:textId="77777777" w:rsidR="003E0F58" w:rsidRPr="007C705C" w:rsidRDefault="003E0F58" w:rsidP="004D2249">
            <w:pPr>
              <w:pStyle w:val="Tabulka"/>
            </w:pPr>
            <w:bookmarkStart w:id="49" w:name="_Toc81342547"/>
            <w:r w:rsidRPr="007C705C">
              <w:t>Geoinformační systém</w:t>
            </w:r>
            <w:bookmarkEnd w:id="49"/>
          </w:p>
        </w:tc>
      </w:tr>
      <w:tr w:rsidR="003E0F58" w:rsidRPr="007C705C" w14:paraId="408C0D2E" w14:textId="77777777" w:rsidTr="004D2249">
        <w:trPr>
          <w:trHeight w:val="315"/>
        </w:trPr>
        <w:tc>
          <w:tcPr>
            <w:tcW w:w="724" w:type="pct"/>
            <w:shd w:val="clear" w:color="auto" w:fill="auto"/>
          </w:tcPr>
          <w:p w14:paraId="397D7E48" w14:textId="77777777" w:rsidR="003E0F58" w:rsidRPr="007C705C" w:rsidRDefault="003E0F58" w:rsidP="004D2249">
            <w:pPr>
              <w:pStyle w:val="Tabulka"/>
              <w:rPr>
                <w:rFonts w:eastAsiaTheme="minorEastAsia"/>
              </w:rPr>
            </w:pPr>
            <w:bookmarkStart w:id="50" w:name="_Toc81342548"/>
            <w:r w:rsidRPr="007C705C">
              <w:rPr>
                <w:rFonts w:eastAsiaTheme="minorEastAsia"/>
              </w:rPr>
              <w:t>GVHK</w:t>
            </w:r>
            <w:bookmarkEnd w:id="50"/>
          </w:p>
        </w:tc>
        <w:tc>
          <w:tcPr>
            <w:tcW w:w="4276" w:type="pct"/>
            <w:shd w:val="clear" w:color="auto" w:fill="auto"/>
          </w:tcPr>
          <w:p w14:paraId="1E626A13" w14:textId="77777777" w:rsidR="003E0F58" w:rsidRPr="007C705C" w:rsidRDefault="003E0F58" w:rsidP="004D2249">
            <w:pPr>
              <w:pStyle w:val="Tabulka"/>
              <w:rPr>
                <w:rFonts w:eastAsiaTheme="minorEastAsia"/>
              </w:rPr>
            </w:pPr>
            <w:bookmarkStart w:id="51" w:name="_Toc81342549"/>
            <w:r w:rsidRPr="007C705C">
              <w:rPr>
                <w:rFonts w:eastAsiaTheme="minorEastAsia"/>
              </w:rPr>
              <w:t>Generel vodního hospodářství krajiny</w:t>
            </w:r>
            <w:bookmarkEnd w:id="51"/>
          </w:p>
        </w:tc>
      </w:tr>
      <w:tr w:rsidR="003E0F58" w:rsidRPr="007C705C" w14:paraId="35534840" w14:textId="77777777" w:rsidTr="004D2249">
        <w:trPr>
          <w:cantSplit/>
          <w:trHeight w:val="315"/>
        </w:trPr>
        <w:tc>
          <w:tcPr>
            <w:tcW w:w="724" w:type="pct"/>
            <w:shd w:val="clear" w:color="auto" w:fill="auto"/>
          </w:tcPr>
          <w:p w14:paraId="57E272FA" w14:textId="77777777" w:rsidR="003E0F58" w:rsidRPr="007C705C" w:rsidRDefault="003E0F58" w:rsidP="004D2249">
            <w:pPr>
              <w:pStyle w:val="Tabulka"/>
            </w:pPr>
            <w:bookmarkStart w:id="52" w:name="_Toc81342550"/>
            <w:r w:rsidRPr="007C705C">
              <w:rPr>
                <w:rFonts w:eastAsiaTheme="minorEastAsia"/>
              </w:rPr>
              <w:t>IPCC</w:t>
            </w:r>
            <w:bookmarkEnd w:id="52"/>
          </w:p>
        </w:tc>
        <w:tc>
          <w:tcPr>
            <w:tcW w:w="4276" w:type="pct"/>
            <w:shd w:val="clear" w:color="auto" w:fill="auto"/>
          </w:tcPr>
          <w:p w14:paraId="2561D5C9" w14:textId="77777777" w:rsidR="003E0F58" w:rsidRPr="007C705C" w:rsidRDefault="003E0F58" w:rsidP="004D2249">
            <w:pPr>
              <w:pStyle w:val="Tabulka"/>
            </w:pPr>
            <w:bookmarkStart w:id="53" w:name="_Toc81342551"/>
            <w:r w:rsidRPr="007C705C">
              <w:t>Mezivládní panel pro změnu klimatu</w:t>
            </w:r>
            <w:bookmarkEnd w:id="53"/>
          </w:p>
        </w:tc>
      </w:tr>
      <w:tr w:rsidR="003E0F58" w:rsidRPr="007C705C" w14:paraId="58483D3F" w14:textId="77777777" w:rsidTr="004D2249">
        <w:trPr>
          <w:cantSplit/>
          <w:trHeight w:val="315"/>
        </w:trPr>
        <w:tc>
          <w:tcPr>
            <w:tcW w:w="724" w:type="pct"/>
            <w:shd w:val="clear" w:color="auto" w:fill="auto"/>
          </w:tcPr>
          <w:p w14:paraId="57079CFC" w14:textId="77777777" w:rsidR="003E0F58" w:rsidRPr="007C705C" w:rsidRDefault="003E0F58" w:rsidP="004D2249">
            <w:pPr>
              <w:pStyle w:val="Tabulka"/>
            </w:pPr>
            <w:bookmarkStart w:id="54" w:name="_Toc81342552"/>
            <w:r w:rsidRPr="007C705C">
              <w:rPr>
                <w:rFonts w:eastAsiaTheme="minorEastAsia"/>
                <w:lang w:eastAsia="en-US"/>
              </w:rPr>
              <w:t>KPP</w:t>
            </w:r>
            <w:bookmarkEnd w:id="54"/>
          </w:p>
        </w:tc>
        <w:tc>
          <w:tcPr>
            <w:tcW w:w="4276" w:type="pct"/>
            <w:shd w:val="clear" w:color="auto" w:fill="auto"/>
          </w:tcPr>
          <w:p w14:paraId="5A1E524D" w14:textId="77777777" w:rsidR="003E0F58" w:rsidRPr="007C705C" w:rsidRDefault="003E0F58" w:rsidP="004D2249">
            <w:pPr>
              <w:pStyle w:val="Tabulka"/>
            </w:pPr>
            <w:bookmarkStart w:id="55" w:name="_Toc81342553"/>
            <w:r w:rsidRPr="007C705C">
              <w:rPr>
                <w:rFonts w:eastAsiaTheme="minorEastAsia"/>
                <w:lang w:eastAsia="en-US"/>
              </w:rPr>
              <w:t>Komplexní průzkum půd</w:t>
            </w:r>
            <w:bookmarkEnd w:id="55"/>
          </w:p>
        </w:tc>
      </w:tr>
      <w:tr w:rsidR="003E0F58" w:rsidRPr="007C705C" w14:paraId="1D392A6F" w14:textId="77777777" w:rsidTr="004D2249">
        <w:trPr>
          <w:cantSplit/>
          <w:trHeight w:val="315"/>
        </w:trPr>
        <w:tc>
          <w:tcPr>
            <w:tcW w:w="724" w:type="pct"/>
            <w:shd w:val="clear" w:color="auto" w:fill="auto"/>
          </w:tcPr>
          <w:p w14:paraId="66627B97" w14:textId="77777777" w:rsidR="003E0F58" w:rsidRPr="007C705C" w:rsidRDefault="003E0F58" w:rsidP="004D2249">
            <w:pPr>
              <w:pStyle w:val="Tabulka"/>
            </w:pPr>
            <w:bookmarkStart w:id="56" w:name="_Toc81342554"/>
            <w:r w:rsidRPr="007C705C">
              <w:t>KPÚ</w:t>
            </w:r>
            <w:bookmarkEnd w:id="56"/>
            <w:r w:rsidRPr="007C705C">
              <w:t xml:space="preserve"> </w:t>
            </w:r>
          </w:p>
        </w:tc>
        <w:tc>
          <w:tcPr>
            <w:tcW w:w="4276" w:type="pct"/>
            <w:shd w:val="clear" w:color="auto" w:fill="auto"/>
          </w:tcPr>
          <w:p w14:paraId="6B2C4AA9" w14:textId="77777777" w:rsidR="003E0F58" w:rsidRPr="007C705C" w:rsidRDefault="003E0F58" w:rsidP="004D2249">
            <w:pPr>
              <w:pStyle w:val="Tabulka"/>
            </w:pPr>
            <w:bookmarkStart w:id="57" w:name="_Toc81342555"/>
            <w:r w:rsidRPr="007C705C">
              <w:t>Komplexní pozemkové úpravy</w:t>
            </w:r>
            <w:bookmarkEnd w:id="57"/>
          </w:p>
        </w:tc>
      </w:tr>
      <w:tr w:rsidR="003E0F58" w:rsidRPr="007C705C" w14:paraId="6467F528" w14:textId="77777777" w:rsidTr="004D2249">
        <w:trPr>
          <w:cantSplit/>
          <w:trHeight w:val="315"/>
        </w:trPr>
        <w:tc>
          <w:tcPr>
            <w:tcW w:w="724" w:type="pct"/>
            <w:shd w:val="clear" w:color="auto" w:fill="auto"/>
          </w:tcPr>
          <w:p w14:paraId="351DB3AD" w14:textId="77777777" w:rsidR="003E0F58" w:rsidRPr="007C705C" w:rsidRDefault="003E0F58" w:rsidP="004D2249">
            <w:pPr>
              <w:pStyle w:val="Tabulka"/>
            </w:pPr>
            <w:bookmarkStart w:id="58" w:name="_Toc81342556"/>
            <w:r w:rsidRPr="007C705C">
              <w:t>kToe</w:t>
            </w:r>
            <w:bookmarkEnd w:id="58"/>
          </w:p>
        </w:tc>
        <w:tc>
          <w:tcPr>
            <w:tcW w:w="4276" w:type="pct"/>
            <w:shd w:val="clear" w:color="auto" w:fill="auto"/>
          </w:tcPr>
          <w:p w14:paraId="4F82B509" w14:textId="77777777" w:rsidR="003E0F58" w:rsidRPr="007C705C" w:rsidRDefault="003E0F58" w:rsidP="004D2249">
            <w:pPr>
              <w:pStyle w:val="Tabulka"/>
            </w:pPr>
            <w:bookmarkStart w:id="59" w:name="_Toc81342557"/>
            <w:r w:rsidRPr="007C705C">
              <w:t>kilotonnes (1000 tonnes of oil equivalent, kToe)</w:t>
            </w:r>
            <w:bookmarkEnd w:id="59"/>
          </w:p>
        </w:tc>
      </w:tr>
      <w:tr w:rsidR="003E0F58" w:rsidRPr="007C705C" w14:paraId="342B42FD" w14:textId="77777777" w:rsidTr="004D2249">
        <w:trPr>
          <w:cantSplit/>
          <w:trHeight w:val="315"/>
        </w:trPr>
        <w:tc>
          <w:tcPr>
            <w:tcW w:w="724" w:type="pct"/>
            <w:shd w:val="clear" w:color="auto" w:fill="auto"/>
          </w:tcPr>
          <w:p w14:paraId="0334E60A" w14:textId="77777777" w:rsidR="003E0F58" w:rsidRPr="007C705C" w:rsidRDefault="003E0F58" w:rsidP="004D2249">
            <w:pPr>
              <w:pStyle w:val="Tabulka"/>
              <w:rPr>
                <w:rFonts w:eastAsiaTheme="minorEastAsia"/>
              </w:rPr>
            </w:pPr>
            <w:bookmarkStart w:id="60" w:name="_Toc81342558"/>
            <w:r w:rsidRPr="007C705C">
              <w:rPr>
                <w:rFonts w:eastAsiaTheme="minorEastAsia"/>
              </w:rPr>
              <w:t>KVET</w:t>
            </w:r>
            <w:bookmarkEnd w:id="60"/>
          </w:p>
        </w:tc>
        <w:tc>
          <w:tcPr>
            <w:tcW w:w="4276" w:type="pct"/>
            <w:shd w:val="clear" w:color="auto" w:fill="auto"/>
          </w:tcPr>
          <w:p w14:paraId="1F69AD54" w14:textId="77777777" w:rsidR="003E0F58" w:rsidRPr="007C705C" w:rsidRDefault="003E0F58" w:rsidP="004D2249">
            <w:pPr>
              <w:pStyle w:val="Tabulka"/>
              <w:rPr>
                <w:rFonts w:eastAsiaTheme="minorEastAsia"/>
              </w:rPr>
            </w:pPr>
            <w:bookmarkStart w:id="61" w:name="_Toc81342559"/>
            <w:r w:rsidRPr="007C705C">
              <w:rPr>
                <w:rFonts w:eastAsiaTheme="minorEastAsia"/>
              </w:rPr>
              <w:t>Kombinovaná výroba elektřiny a tepla</w:t>
            </w:r>
            <w:bookmarkEnd w:id="61"/>
          </w:p>
        </w:tc>
      </w:tr>
      <w:tr w:rsidR="003E0F58" w:rsidRPr="007C705C" w14:paraId="0C701DA8" w14:textId="77777777" w:rsidTr="004D2249">
        <w:trPr>
          <w:cantSplit/>
          <w:trHeight w:val="315"/>
        </w:trPr>
        <w:tc>
          <w:tcPr>
            <w:tcW w:w="724" w:type="pct"/>
            <w:shd w:val="clear" w:color="auto" w:fill="auto"/>
          </w:tcPr>
          <w:p w14:paraId="7AB5BBB9" w14:textId="77777777" w:rsidR="003E0F58" w:rsidRPr="007C705C" w:rsidRDefault="003E0F58" w:rsidP="004D2249">
            <w:pPr>
              <w:pStyle w:val="Tabulka"/>
              <w:rPr>
                <w:rFonts w:eastAsiaTheme="minorEastAsia"/>
              </w:rPr>
            </w:pPr>
            <w:bookmarkStart w:id="62" w:name="_Toc81342560"/>
            <w:r w:rsidRPr="007C705C">
              <w:rPr>
                <w:rFonts w:eastAsiaTheme="minorEastAsia"/>
              </w:rPr>
              <w:t>LTZ</w:t>
            </w:r>
            <w:bookmarkEnd w:id="62"/>
          </w:p>
        </w:tc>
        <w:tc>
          <w:tcPr>
            <w:tcW w:w="4276" w:type="pct"/>
            <w:shd w:val="clear" w:color="auto" w:fill="auto"/>
          </w:tcPr>
          <w:p w14:paraId="28EFA3EA" w14:textId="77777777" w:rsidR="003E0F58" w:rsidRPr="007C705C" w:rsidRDefault="003E0F58" w:rsidP="004D2249">
            <w:pPr>
              <w:pStyle w:val="Tabulka"/>
              <w:rPr>
                <w:rFonts w:eastAsiaTheme="minorEastAsia"/>
              </w:rPr>
            </w:pPr>
            <w:bookmarkStart w:id="63" w:name="_Toc81342561"/>
            <w:r w:rsidRPr="007C705C">
              <w:rPr>
                <w:rFonts w:eastAsiaTheme="minorEastAsia"/>
              </w:rPr>
              <w:t>Lesní těžební zbytky</w:t>
            </w:r>
            <w:bookmarkEnd w:id="63"/>
          </w:p>
        </w:tc>
      </w:tr>
      <w:tr w:rsidR="003E0F58" w:rsidRPr="007C705C" w14:paraId="07F8E17D" w14:textId="77777777" w:rsidTr="004D2249">
        <w:trPr>
          <w:trHeight w:val="315"/>
        </w:trPr>
        <w:tc>
          <w:tcPr>
            <w:tcW w:w="724" w:type="pct"/>
            <w:shd w:val="clear" w:color="auto" w:fill="auto"/>
          </w:tcPr>
          <w:p w14:paraId="442E5ABF" w14:textId="77777777" w:rsidR="003E0F58" w:rsidRPr="007C705C" w:rsidRDefault="003E0F58" w:rsidP="004D2249">
            <w:pPr>
              <w:pStyle w:val="Tabulka"/>
            </w:pPr>
            <w:bookmarkStart w:id="64" w:name="_Toc81342562"/>
            <w:r w:rsidRPr="007C705C">
              <w:t>MEO, SEO</w:t>
            </w:r>
            <w:bookmarkEnd w:id="64"/>
          </w:p>
        </w:tc>
        <w:tc>
          <w:tcPr>
            <w:tcW w:w="4276" w:type="pct"/>
            <w:shd w:val="clear" w:color="auto" w:fill="auto"/>
          </w:tcPr>
          <w:p w14:paraId="415C2B60" w14:textId="77777777" w:rsidR="003E0F58" w:rsidRPr="007C705C" w:rsidRDefault="003E0F58" w:rsidP="004D2249">
            <w:pPr>
              <w:pStyle w:val="Tabulka"/>
            </w:pPr>
            <w:bookmarkStart w:id="65" w:name="_Toc81342563"/>
            <w:r w:rsidRPr="007C705C">
              <w:t>Mírně erozně ohrožený, Silně erozně ohrožený</w:t>
            </w:r>
            <w:bookmarkEnd w:id="65"/>
          </w:p>
        </w:tc>
      </w:tr>
      <w:tr w:rsidR="003E0F58" w:rsidRPr="007C705C" w14:paraId="13799DF1" w14:textId="77777777" w:rsidTr="004D2249">
        <w:trPr>
          <w:cantSplit/>
          <w:trHeight w:val="315"/>
        </w:trPr>
        <w:tc>
          <w:tcPr>
            <w:tcW w:w="724" w:type="pct"/>
            <w:shd w:val="clear" w:color="auto" w:fill="auto"/>
          </w:tcPr>
          <w:p w14:paraId="71EF2331" w14:textId="77777777" w:rsidR="003E0F58" w:rsidRPr="007C705C" w:rsidRDefault="003E0F58" w:rsidP="004D2249">
            <w:pPr>
              <w:pStyle w:val="Tabulka"/>
            </w:pPr>
            <w:bookmarkStart w:id="66" w:name="_Toc81342564"/>
            <w:r w:rsidRPr="007C705C">
              <w:rPr>
                <w:rFonts w:eastAsiaTheme="minorEastAsia"/>
              </w:rPr>
              <w:t>MPO</w:t>
            </w:r>
            <w:bookmarkEnd w:id="66"/>
          </w:p>
        </w:tc>
        <w:tc>
          <w:tcPr>
            <w:tcW w:w="4276" w:type="pct"/>
            <w:shd w:val="clear" w:color="auto" w:fill="auto"/>
          </w:tcPr>
          <w:p w14:paraId="7E260423" w14:textId="77777777" w:rsidR="003E0F58" w:rsidRPr="007C705C" w:rsidRDefault="003E0F58" w:rsidP="004D2249">
            <w:pPr>
              <w:pStyle w:val="Tabulka"/>
            </w:pPr>
            <w:bookmarkStart w:id="67" w:name="_Toc81342565"/>
            <w:r w:rsidRPr="007C705C">
              <w:t>Ministerstvo průmyslu a obchodu</w:t>
            </w:r>
            <w:bookmarkEnd w:id="67"/>
          </w:p>
        </w:tc>
      </w:tr>
      <w:tr w:rsidR="003E0F58" w:rsidRPr="007C705C" w14:paraId="19D5034F" w14:textId="77777777" w:rsidTr="004D2249">
        <w:trPr>
          <w:trHeight w:val="315"/>
        </w:trPr>
        <w:tc>
          <w:tcPr>
            <w:tcW w:w="724" w:type="pct"/>
            <w:shd w:val="clear" w:color="auto" w:fill="auto"/>
          </w:tcPr>
          <w:p w14:paraId="3BACD754" w14:textId="77777777" w:rsidR="003E0F58" w:rsidRPr="007C705C" w:rsidRDefault="003E0F58" w:rsidP="004D2249">
            <w:pPr>
              <w:pStyle w:val="Tabulka"/>
              <w:rPr>
                <w:rFonts w:eastAsiaTheme="minorEastAsia"/>
              </w:rPr>
            </w:pPr>
            <w:bookmarkStart w:id="68" w:name="_Toc81342566"/>
            <w:r w:rsidRPr="007C705C">
              <w:rPr>
                <w:rFonts w:eastAsiaTheme="minorEastAsia"/>
                <w:lang w:eastAsia="en-US"/>
              </w:rPr>
              <w:t>MŽP</w:t>
            </w:r>
            <w:bookmarkEnd w:id="68"/>
          </w:p>
        </w:tc>
        <w:tc>
          <w:tcPr>
            <w:tcW w:w="4276" w:type="pct"/>
            <w:shd w:val="clear" w:color="auto" w:fill="auto"/>
          </w:tcPr>
          <w:p w14:paraId="70CD94DE" w14:textId="77777777" w:rsidR="003E0F58" w:rsidRPr="007C705C" w:rsidRDefault="003E0F58" w:rsidP="004D2249">
            <w:pPr>
              <w:pStyle w:val="Tabulka"/>
            </w:pPr>
            <w:bookmarkStart w:id="69" w:name="_Toc81342567"/>
            <w:r w:rsidRPr="007C705C">
              <w:t>Ministerstvo životního prostředí</w:t>
            </w:r>
            <w:bookmarkEnd w:id="69"/>
          </w:p>
        </w:tc>
      </w:tr>
      <w:tr w:rsidR="003E0F58" w:rsidRPr="007C705C" w14:paraId="4425F2BE" w14:textId="77777777" w:rsidTr="004D2249">
        <w:trPr>
          <w:trHeight w:val="315"/>
        </w:trPr>
        <w:tc>
          <w:tcPr>
            <w:tcW w:w="724" w:type="pct"/>
            <w:shd w:val="clear" w:color="auto" w:fill="auto"/>
          </w:tcPr>
          <w:p w14:paraId="1BECAE84" w14:textId="77777777" w:rsidR="003E0F58" w:rsidRPr="007C705C" w:rsidRDefault="003E0F58" w:rsidP="004D2249">
            <w:pPr>
              <w:pStyle w:val="Tabulka"/>
              <w:rPr>
                <w:rFonts w:eastAsiaTheme="minorEastAsia"/>
              </w:rPr>
            </w:pPr>
            <w:bookmarkStart w:id="70" w:name="_Toc81342568"/>
            <w:r w:rsidRPr="007C705C">
              <w:rPr>
                <w:rFonts w:eastAsiaTheme="minorEastAsia"/>
              </w:rPr>
              <w:t>OSVČ</w:t>
            </w:r>
            <w:bookmarkEnd w:id="70"/>
          </w:p>
        </w:tc>
        <w:tc>
          <w:tcPr>
            <w:tcW w:w="4276" w:type="pct"/>
            <w:shd w:val="clear" w:color="auto" w:fill="auto"/>
          </w:tcPr>
          <w:p w14:paraId="61EFB5FF" w14:textId="77777777" w:rsidR="003E0F58" w:rsidRPr="007C705C" w:rsidRDefault="003E0F58" w:rsidP="004D2249">
            <w:pPr>
              <w:pStyle w:val="Tabulka"/>
            </w:pPr>
            <w:bookmarkStart w:id="71" w:name="_Toc81342569"/>
            <w:r w:rsidRPr="007C705C">
              <w:t>Osoba samostatně výdělečně činná</w:t>
            </w:r>
            <w:bookmarkEnd w:id="71"/>
          </w:p>
        </w:tc>
      </w:tr>
      <w:tr w:rsidR="003E0F58" w:rsidRPr="007C705C" w14:paraId="4E7ABD16" w14:textId="77777777" w:rsidTr="004D2249">
        <w:trPr>
          <w:cantSplit/>
          <w:trHeight w:val="315"/>
        </w:trPr>
        <w:tc>
          <w:tcPr>
            <w:tcW w:w="724" w:type="pct"/>
            <w:shd w:val="clear" w:color="auto" w:fill="auto"/>
          </w:tcPr>
          <w:p w14:paraId="7EDE4D91" w14:textId="77777777" w:rsidR="003E0F58" w:rsidRPr="007C705C" w:rsidRDefault="003E0F58" w:rsidP="004D2249">
            <w:pPr>
              <w:pStyle w:val="Tabulka"/>
              <w:rPr>
                <w:rFonts w:eastAsiaTheme="minorEastAsia"/>
              </w:rPr>
            </w:pPr>
            <w:bookmarkStart w:id="72" w:name="_Toc81342570"/>
            <w:r w:rsidRPr="007C705C">
              <w:rPr>
                <w:rFonts w:eastAsiaTheme="minorEastAsia"/>
              </w:rPr>
              <w:t>OZE</w:t>
            </w:r>
            <w:bookmarkEnd w:id="72"/>
          </w:p>
        </w:tc>
        <w:tc>
          <w:tcPr>
            <w:tcW w:w="4276" w:type="pct"/>
            <w:shd w:val="clear" w:color="auto" w:fill="auto"/>
          </w:tcPr>
          <w:p w14:paraId="3152BF1E" w14:textId="77777777" w:rsidR="003E0F58" w:rsidRPr="007C705C" w:rsidRDefault="003E0F58" w:rsidP="004D2249">
            <w:pPr>
              <w:pStyle w:val="Tabulka"/>
              <w:rPr>
                <w:rFonts w:eastAsiaTheme="minorEastAsia"/>
              </w:rPr>
            </w:pPr>
            <w:bookmarkStart w:id="73" w:name="_Toc81342571"/>
            <w:r w:rsidRPr="007C705C">
              <w:rPr>
                <w:rFonts w:eastAsiaTheme="minorEastAsia"/>
              </w:rPr>
              <w:t>Obnovitelné zdroje energií</w:t>
            </w:r>
            <w:bookmarkEnd w:id="73"/>
          </w:p>
        </w:tc>
      </w:tr>
      <w:tr w:rsidR="003E0F58" w:rsidRPr="007C705C" w14:paraId="156331F2" w14:textId="77777777" w:rsidTr="004D2249">
        <w:trPr>
          <w:cantSplit/>
          <w:trHeight w:val="315"/>
        </w:trPr>
        <w:tc>
          <w:tcPr>
            <w:tcW w:w="724" w:type="pct"/>
            <w:shd w:val="clear" w:color="auto" w:fill="auto"/>
          </w:tcPr>
          <w:p w14:paraId="55B4D101" w14:textId="77777777" w:rsidR="003E0F58" w:rsidRPr="007C705C" w:rsidRDefault="003E0F58" w:rsidP="004D2249">
            <w:pPr>
              <w:pStyle w:val="Tabulka"/>
              <w:rPr>
                <w:rFonts w:eastAsiaTheme="minorEastAsia"/>
              </w:rPr>
            </w:pPr>
            <w:bookmarkStart w:id="74" w:name="_Toc81342572"/>
            <w:r w:rsidRPr="007C705C">
              <w:rPr>
                <w:rFonts w:eastAsiaTheme="minorEastAsia"/>
              </w:rPr>
              <w:t>PEZ</w:t>
            </w:r>
            <w:bookmarkEnd w:id="74"/>
          </w:p>
        </w:tc>
        <w:tc>
          <w:tcPr>
            <w:tcW w:w="4276" w:type="pct"/>
            <w:shd w:val="clear" w:color="auto" w:fill="auto"/>
          </w:tcPr>
          <w:p w14:paraId="14C2EF4E" w14:textId="77777777" w:rsidR="003E0F58" w:rsidRPr="007C705C" w:rsidRDefault="003E0F58" w:rsidP="004D2249">
            <w:pPr>
              <w:pStyle w:val="Tabulka"/>
              <w:rPr>
                <w:rFonts w:eastAsiaTheme="minorEastAsia"/>
              </w:rPr>
            </w:pPr>
            <w:bookmarkStart w:id="75" w:name="_Toc81342573"/>
            <w:r w:rsidRPr="007C705C">
              <w:rPr>
                <w:rFonts w:eastAsiaTheme="minorEastAsia"/>
              </w:rPr>
              <w:t>Primární energetický zdroj</w:t>
            </w:r>
            <w:bookmarkEnd w:id="75"/>
          </w:p>
        </w:tc>
      </w:tr>
      <w:tr w:rsidR="003E0F58" w:rsidRPr="007C705C" w14:paraId="5AFF707B" w14:textId="77777777" w:rsidTr="004D2249">
        <w:trPr>
          <w:trHeight w:val="315"/>
        </w:trPr>
        <w:tc>
          <w:tcPr>
            <w:tcW w:w="724" w:type="pct"/>
            <w:shd w:val="clear" w:color="auto" w:fill="auto"/>
          </w:tcPr>
          <w:p w14:paraId="197FC3A5" w14:textId="77777777" w:rsidR="003E0F58" w:rsidRPr="007C705C" w:rsidRDefault="003E0F58" w:rsidP="004D2249">
            <w:pPr>
              <w:pStyle w:val="Tabulka"/>
              <w:rPr>
                <w:rFonts w:eastAsiaTheme="minorEastAsia"/>
              </w:rPr>
            </w:pPr>
            <w:bookmarkStart w:id="76" w:name="_Toc81342574"/>
            <w:r w:rsidRPr="007C705C">
              <w:rPr>
                <w:rFonts w:eastAsiaTheme="minorEastAsia"/>
              </w:rPr>
              <w:t>PO</w:t>
            </w:r>
            <w:bookmarkEnd w:id="76"/>
          </w:p>
        </w:tc>
        <w:tc>
          <w:tcPr>
            <w:tcW w:w="4276" w:type="pct"/>
            <w:shd w:val="clear" w:color="auto" w:fill="auto"/>
          </w:tcPr>
          <w:p w14:paraId="5581434B" w14:textId="77777777" w:rsidR="003E0F58" w:rsidRPr="007C705C" w:rsidRDefault="003E0F58" w:rsidP="004D2249">
            <w:pPr>
              <w:pStyle w:val="Tabulka"/>
              <w:rPr>
                <w:rFonts w:eastAsiaTheme="minorEastAsia"/>
              </w:rPr>
            </w:pPr>
            <w:bookmarkStart w:id="77" w:name="_Toc81342575"/>
            <w:r w:rsidRPr="007C705C">
              <w:rPr>
                <w:rFonts w:eastAsiaTheme="minorEastAsia"/>
              </w:rPr>
              <w:t>Prioritní oblast</w:t>
            </w:r>
            <w:bookmarkEnd w:id="77"/>
          </w:p>
        </w:tc>
      </w:tr>
      <w:tr w:rsidR="003E0F58" w:rsidRPr="007C705C" w14:paraId="58D79884" w14:textId="77777777" w:rsidTr="004D2249">
        <w:trPr>
          <w:trHeight w:val="315"/>
        </w:trPr>
        <w:tc>
          <w:tcPr>
            <w:tcW w:w="724" w:type="pct"/>
            <w:shd w:val="clear" w:color="auto" w:fill="auto"/>
          </w:tcPr>
          <w:p w14:paraId="148B0F87" w14:textId="77777777" w:rsidR="003E0F58" w:rsidRPr="007C705C" w:rsidRDefault="003E0F58" w:rsidP="004D2249">
            <w:pPr>
              <w:pStyle w:val="Tabulka"/>
            </w:pPr>
            <w:bookmarkStart w:id="78" w:name="_Toc81342576"/>
            <w:r w:rsidRPr="007C705C">
              <w:t>POH</w:t>
            </w:r>
            <w:bookmarkEnd w:id="78"/>
          </w:p>
        </w:tc>
        <w:tc>
          <w:tcPr>
            <w:tcW w:w="4276" w:type="pct"/>
            <w:shd w:val="clear" w:color="auto" w:fill="auto"/>
          </w:tcPr>
          <w:p w14:paraId="35DF76A6" w14:textId="77777777" w:rsidR="003E0F58" w:rsidRPr="007C705C" w:rsidRDefault="003E0F58" w:rsidP="004D2249">
            <w:pPr>
              <w:pStyle w:val="Tabulka"/>
            </w:pPr>
            <w:bookmarkStart w:id="79" w:name="_Toc81342577"/>
            <w:r w:rsidRPr="007C705C">
              <w:t>Půdní organická hmota</w:t>
            </w:r>
            <w:bookmarkEnd w:id="79"/>
          </w:p>
        </w:tc>
      </w:tr>
      <w:tr w:rsidR="003E0F58" w:rsidRPr="007C705C" w14:paraId="343CAD56" w14:textId="77777777" w:rsidTr="004D2249">
        <w:trPr>
          <w:trHeight w:val="315"/>
        </w:trPr>
        <w:tc>
          <w:tcPr>
            <w:tcW w:w="724" w:type="pct"/>
            <w:shd w:val="clear" w:color="auto" w:fill="auto"/>
          </w:tcPr>
          <w:p w14:paraId="6202F477" w14:textId="77777777" w:rsidR="003E0F58" w:rsidRPr="007C705C" w:rsidRDefault="003E0F58" w:rsidP="004D2249">
            <w:pPr>
              <w:pStyle w:val="Tabulka"/>
              <w:rPr>
                <w:rFonts w:eastAsiaTheme="minorEastAsia"/>
              </w:rPr>
            </w:pPr>
            <w:bookmarkStart w:id="80" w:name="_Toc81342578"/>
            <w:r w:rsidRPr="007C705C">
              <w:rPr>
                <w:rFonts w:eastAsiaTheme="minorEastAsia"/>
              </w:rPr>
              <w:t>PRV 14+</w:t>
            </w:r>
            <w:bookmarkEnd w:id="80"/>
          </w:p>
        </w:tc>
        <w:tc>
          <w:tcPr>
            <w:tcW w:w="4276" w:type="pct"/>
            <w:shd w:val="clear" w:color="auto" w:fill="auto"/>
          </w:tcPr>
          <w:p w14:paraId="26696461" w14:textId="77777777" w:rsidR="003E0F58" w:rsidRPr="007C705C" w:rsidRDefault="003E0F58" w:rsidP="004D2249">
            <w:pPr>
              <w:pStyle w:val="Tabulka"/>
              <w:rPr>
                <w:rFonts w:eastAsiaTheme="minorEastAsia"/>
              </w:rPr>
            </w:pPr>
            <w:bookmarkStart w:id="81" w:name="_Toc81342579"/>
            <w:r w:rsidRPr="007C705C">
              <w:rPr>
                <w:rFonts w:eastAsiaTheme="minorEastAsia"/>
              </w:rPr>
              <w:t>Program rozvoje venkova na období 2014 - 2020</w:t>
            </w:r>
            <w:bookmarkEnd w:id="81"/>
          </w:p>
        </w:tc>
      </w:tr>
      <w:tr w:rsidR="003E0F58" w:rsidRPr="007C705C" w14:paraId="731FB4A1" w14:textId="77777777" w:rsidTr="004D2249">
        <w:trPr>
          <w:cantSplit/>
          <w:trHeight w:val="315"/>
        </w:trPr>
        <w:tc>
          <w:tcPr>
            <w:tcW w:w="724" w:type="pct"/>
            <w:shd w:val="clear" w:color="auto" w:fill="auto"/>
          </w:tcPr>
          <w:p w14:paraId="16D29CC1" w14:textId="77777777" w:rsidR="003E0F58" w:rsidRPr="007C705C" w:rsidRDefault="003E0F58" w:rsidP="004D2249">
            <w:pPr>
              <w:pStyle w:val="Tabulka"/>
            </w:pPr>
            <w:bookmarkStart w:id="82" w:name="_Toc81342580"/>
            <w:r w:rsidRPr="007C705C">
              <w:rPr>
                <w:rFonts w:eastAsiaTheme="minorEastAsia"/>
              </w:rPr>
              <w:t>PUPFL</w:t>
            </w:r>
            <w:bookmarkEnd w:id="82"/>
          </w:p>
        </w:tc>
        <w:tc>
          <w:tcPr>
            <w:tcW w:w="4276" w:type="pct"/>
            <w:shd w:val="clear" w:color="auto" w:fill="auto"/>
          </w:tcPr>
          <w:p w14:paraId="28D449CB" w14:textId="77777777" w:rsidR="003E0F58" w:rsidRPr="007C705C" w:rsidRDefault="003E0F58" w:rsidP="004D2249">
            <w:pPr>
              <w:pStyle w:val="Tabulka"/>
            </w:pPr>
            <w:bookmarkStart w:id="83" w:name="_Toc81342581"/>
            <w:r w:rsidRPr="007C705C">
              <w:t>Pozemky určené k plnění funkcí lesa</w:t>
            </w:r>
            <w:bookmarkEnd w:id="83"/>
          </w:p>
        </w:tc>
      </w:tr>
      <w:tr w:rsidR="003E0F58" w:rsidRPr="007C705C" w14:paraId="275E74FE" w14:textId="77777777" w:rsidTr="004D2249">
        <w:trPr>
          <w:trHeight w:val="315"/>
        </w:trPr>
        <w:tc>
          <w:tcPr>
            <w:tcW w:w="724" w:type="pct"/>
            <w:shd w:val="clear" w:color="auto" w:fill="auto"/>
          </w:tcPr>
          <w:p w14:paraId="2261740F" w14:textId="77777777" w:rsidR="003E0F58" w:rsidRPr="007C705C" w:rsidRDefault="003E0F58" w:rsidP="004D2249">
            <w:pPr>
              <w:pStyle w:val="Tabulka"/>
              <w:rPr>
                <w:rFonts w:eastAsiaTheme="minorEastAsia"/>
              </w:rPr>
            </w:pPr>
            <w:bookmarkStart w:id="84" w:name="_Toc81342582"/>
            <w:r w:rsidRPr="007C705C">
              <w:rPr>
                <w:rFonts w:eastAsiaTheme="minorEastAsia"/>
              </w:rPr>
              <w:t>RCP</w:t>
            </w:r>
            <w:bookmarkEnd w:id="84"/>
          </w:p>
        </w:tc>
        <w:tc>
          <w:tcPr>
            <w:tcW w:w="4276" w:type="pct"/>
            <w:shd w:val="clear" w:color="auto" w:fill="auto"/>
          </w:tcPr>
          <w:p w14:paraId="0FAE28C3" w14:textId="77777777" w:rsidR="003E0F58" w:rsidRPr="007C705C" w:rsidRDefault="003E0F58" w:rsidP="004D2249">
            <w:pPr>
              <w:pStyle w:val="Tabulka"/>
              <w:rPr>
                <w:rFonts w:eastAsiaTheme="minorEastAsia"/>
              </w:rPr>
            </w:pPr>
            <w:bookmarkStart w:id="85" w:name="_Toc81342583"/>
            <w:r w:rsidRPr="007C705C">
              <w:rPr>
                <w:rFonts w:eastAsiaTheme="minorEastAsia"/>
              </w:rPr>
              <w:t>Reprezentativní směry vývoje koncentrací GHG</w:t>
            </w:r>
            <w:bookmarkEnd w:id="85"/>
          </w:p>
        </w:tc>
      </w:tr>
      <w:tr w:rsidR="003E0F58" w:rsidRPr="007C705C" w14:paraId="2E569B29" w14:textId="77777777" w:rsidTr="004D2249">
        <w:trPr>
          <w:trHeight w:val="293"/>
        </w:trPr>
        <w:tc>
          <w:tcPr>
            <w:tcW w:w="724" w:type="pct"/>
            <w:shd w:val="clear" w:color="auto" w:fill="auto"/>
          </w:tcPr>
          <w:p w14:paraId="6DBAF7EE" w14:textId="77777777" w:rsidR="003E0F58" w:rsidRPr="007C705C" w:rsidRDefault="003E0F58" w:rsidP="004D2249">
            <w:pPr>
              <w:pStyle w:val="Tabulka"/>
            </w:pPr>
            <w:bookmarkStart w:id="86" w:name="_Toc81342584"/>
            <w:r w:rsidRPr="007C705C">
              <w:rPr>
                <w:rFonts w:eastAsiaTheme="minorEastAsia"/>
              </w:rPr>
              <w:t>RRD</w:t>
            </w:r>
            <w:bookmarkEnd w:id="86"/>
          </w:p>
        </w:tc>
        <w:tc>
          <w:tcPr>
            <w:tcW w:w="4276" w:type="pct"/>
            <w:shd w:val="clear" w:color="auto" w:fill="auto"/>
          </w:tcPr>
          <w:p w14:paraId="38C6667D" w14:textId="77777777" w:rsidR="003E0F58" w:rsidRPr="007C705C" w:rsidRDefault="003E0F58" w:rsidP="004D2249">
            <w:pPr>
              <w:pStyle w:val="Tabulka"/>
            </w:pPr>
            <w:bookmarkStart w:id="87" w:name="_Toc81342585"/>
            <w:r w:rsidRPr="007C705C">
              <w:t>Rychle rostoucí dřeviny</w:t>
            </w:r>
            <w:bookmarkEnd w:id="87"/>
          </w:p>
        </w:tc>
      </w:tr>
      <w:tr w:rsidR="003E0F58" w:rsidRPr="007C705C" w14:paraId="16F695F4" w14:textId="77777777" w:rsidTr="004D2249">
        <w:trPr>
          <w:trHeight w:val="315"/>
        </w:trPr>
        <w:tc>
          <w:tcPr>
            <w:tcW w:w="724" w:type="pct"/>
            <w:shd w:val="clear" w:color="auto" w:fill="auto"/>
          </w:tcPr>
          <w:p w14:paraId="4B8B2DE3" w14:textId="77777777" w:rsidR="003E0F58" w:rsidRPr="007C705C" w:rsidRDefault="003E0F58" w:rsidP="004D2249">
            <w:pPr>
              <w:pStyle w:val="Tabulka"/>
            </w:pPr>
            <w:bookmarkStart w:id="88" w:name="_Toc81342586"/>
            <w:r w:rsidRPr="007C705C">
              <w:rPr>
                <w:rFonts w:eastAsiaTheme="minorEastAsia"/>
                <w:lang w:eastAsia="en-US"/>
              </w:rPr>
              <w:t>RV, ŽV</w:t>
            </w:r>
            <w:bookmarkEnd w:id="88"/>
          </w:p>
        </w:tc>
        <w:tc>
          <w:tcPr>
            <w:tcW w:w="4276" w:type="pct"/>
            <w:shd w:val="clear" w:color="auto" w:fill="auto"/>
          </w:tcPr>
          <w:p w14:paraId="356C4DEF" w14:textId="77777777" w:rsidR="003E0F58" w:rsidRPr="007C705C" w:rsidRDefault="003E0F58" w:rsidP="004D2249">
            <w:pPr>
              <w:pStyle w:val="Tabulka"/>
            </w:pPr>
            <w:bookmarkStart w:id="89" w:name="_Toc81342587"/>
            <w:r w:rsidRPr="007C705C">
              <w:t>Rostlinná, živočišná výroba</w:t>
            </w:r>
            <w:bookmarkEnd w:id="89"/>
          </w:p>
        </w:tc>
      </w:tr>
      <w:tr w:rsidR="003E0F58" w:rsidRPr="007C705C" w14:paraId="7A6BE8D0" w14:textId="77777777" w:rsidTr="004D2249">
        <w:trPr>
          <w:trHeight w:val="315"/>
        </w:trPr>
        <w:tc>
          <w:tcPr>
            <w:tcW w:w="724" w:type="pct"/>
            <w:shd w:val="clear" w:color="auto" w:fill="auto"/>
          </w:tcPr>
          <w:p w14:paraId="0CE37A1A" w14:textId="77777777" w:rsidR="003E0F58" w:rsidRPr="007C705C" w:rsidRDefault="003E0F58" w:rsidP="004D2249">
            <w:pPr>
              <w:pStyle w:val="Tabulka"/>
              <w:rPr>
                <w:rFonts w:eastAsiaTheme="minorEastAsia"/>
              </w:rPr>
            </w:pPr>
            <w:bookmarkStart w:id="90" w:name="_Toc81342588"/>
            <w:r w:rsidRPr="007C705C">
              <w:rPr>
                <w:rFonts w:eastAsiaTheme="minorEastAsia"/>
              </w:rPr>
              <w:t>SMN</w:t>
            </w:r>
            <w:bookmarkEnd w:id="90"/>
          </w:p>
        </w:tc>
        <w:tc>
          <w:tcPr>
            <w:tcW w:w="4276" w:type="pct"/>
            <w:shd w:val="clear" w:color="auto" w:fill="auto"/>
          </w:tcPr>
          <w:p w14:paraId="0DCFDD5D" w14:textId="77777777" w:rsidR="003E0F58" w:rsidRPr="007C705C" w:rsidRDefault="003E0F58" w:rsidP="004D2249">
            <w:pPr>
              <w:pStyle w:val="Tabulka"/>
            </w:pPr>
            <w:bookmarkStart w:id="91" w:name="_Toc81342589"/>
            <w:r w:rsidRPr="007C705C">
              <w:t>Směsná motorová nafta</w:t>
            </w:r>
            <w:bookmarkEnd w:id="91"/>
          </w:p>
        </w:tc>
      </w:tr>
      <w:tr w:rsidR="003E0F58" w:rsidRPr="007C705C" w14:paraId="525FC795" w14:textId="77777777" w:rsidTr="004D2249">
        <w:trPr>
          <w:cantSplit/>
          <w:trHeight w:val="315"/>
        </w:trPr>
        <w:tc>
          <w:tcPr>
            <w:tcW w:w="724" w:type="pct"/>
            <w:shd w:val="clear" w:color="auto" w:fill="auto"/>
          </w:tcPr>
          <w:p w14:paraId="18CF5DF7" w14:textId="77777777" w:rsidR="003E0F58" w:rsidRPr="007C705C" w:rsidRDefault="003E0F58" w:rsidP="004D2249">
            <w:pPr>
              <w:pStyle w:val="Tabulka"/>
            </w:pPr>
            <w:bookmarkStart w:id="92" w:name="_Toc81342590"/>
            <w:r w:rsidRPr="007C705C">
              <w:rPr>
                <w:rFonts w:eastAsiaTheme="minorEastAsia"/>
              </w:rPr>
              <w:lastRenderedPageBreak/>
              <w:t>SPÚ</w:t>
            </w:r>
            <w:bookmarkEnd w:id="92"/>
          </w:p>
        </w:tc>
        <w:tc>
          <w:tcPr>
            <w:tcW w:w="4276" w:type="pct"/>
            <w:shd w:val="clear" w:color="auto" w:fill="auto"/>
          </w:tcPr>
          <w:p w14:paraId="66547D82" w14:textId="77777777" w:rsidR="003E0F58" w:rsidRPr="007C705C" w:rsidRDefault="003E0F58" w:rsidP="004D2249">
            <w:pPr>
              <w:pStyle w:val="Tabulka"/>
            </w:pPr>
            <w:bookmarkStart w:id="93" w:name="_Toc81342591"/>
            <w:r w:rsidRPr="007C705C">
              <w:t>Státní pozemkový úřad</w:t>
            </w:r>
            <w:bookmarkEnd w:id="93"/>
          </w:p>
        </w:tc>
      </w:tr>
      <w:tr w:rsidR="003E0F58" w:rsidRPr="007C705C" w14:paraId="556803AF" w14:textId="77777777" w:rsidTr="004D2249">
        <w:trPr>
          <w:trHeight w:val="315"/>
        </w:trPr>
        <w:tc>
          <w:tcPr>
            <w:tcW w:w="724" w:type="pct"/>
            <w:shd w:val="clear" w:color="auto" w:fill="auto"/>
          </w:tcPr>
          <w:p w14:paraId="3F78736C" w14:textId="77777777" w:rsidR="003E0F58" w:rsidRPr="007C705C" w:rsidRDefault="003E0F58" w:rsidP="004D2249">
            <w:pPr>
              <w:pStyle w:val="Tabulka"/>
              <w:rPr>
                <w:rFonts w:eastAsiaTheme="minorEastAsia"/>
              </w:rPr>
            </w:pPr>
            <w:bookmarkStart w:id="94" w:name="_Toc81342592"/>
            <w:r w:rsidRPr="007C705C">
              <w:rPr>
                <w:rFonts w:eastAsiaTheme="minorEastAsia"/>
              </w:rPr>
              <w:t>SVB</w:t>
            </w:r>
            <w:bookmarkEnd w:id="94"/>
          </w:p>
        </w:tc>
        <w:tc>
          <w:tcPr>
            <w:tcW w:w="4276" w:type="pct"/>
            <w:shd w:val="clear" w:color="auto" w:fill="auto"/>
          </w:tcPr>
          <w:p w14:paraId="0AF0DD57" w14:textId="77777777" w:rsidR="003E0F58" w:rsidRPr="007C705C" w:rsidRDefault="003E0F58" w:rsidP="004D2249">
            <w:pPr>
              <w:pStyle w:val="Tabulka"/>
            </w:pPr>
            <w:bookmarkStart w:id="95" w:name="_Toc81342593"/>
            <w:r w:rsidRPr="007C705C">
              <w:t>Sdružení pro výrobu bionafty</w:t>
            </w:r>
            <w:bookmarkEnd w:id="95"/>
          </w:p>
        </w:tc>
      </w:tr>
      <w:tr w:rsidR="003E0F58" w:rsidRPr="007C705C" w14:paraId="5BBABB85" w14:textId="77777777" w:rsidTr="004D2249">
        <w:trPr>
          <w:trHeight w:val="315"/>
        </w:trPr>
        <w:tc>
          <w:tcPr>
            <w:tcW w:w="724" w:type="pct"/>
            <w:shd w:val="clear" w:color="auto" w:fill="auto"/>
          </w:tcPr>
          <w:p w14:paraId="12622971" w14:textId="77777777" w:rsidR="003E0F58" w:rsidRPr="007C705C" w:rsidRDefault="003E0F58" w:rsidP="004D2249">
            <w:pPr>
              <w:pStyle w:val="Tabulka"/>
            </w:pPr>
            <w:bookmarkStart w:id="96" w:name="_Toc81342594"/>
            <w:r w:rsidRPr="007C705C">
              <w:t>SZIF</w:t>
            </w:r>
            <w:bookmarkEnd w:id="96"/>
          </w:p>
        </w:tc>
        <w:tc>
          <w:tcPr>
            <w:tcW w:w="4276" w:type="pct"/>
            <w:shd w:val="clear" w:color="auto" w:fill="auto"/>
          </w:tcPr>
          <w:p w14:paraId="5ADC97DC" w14:textId="77777777" w:rsidR="003E0F58" w:rsidRPr="007C705C" w:rsidRDefault="003E0F58" w:rsidP="004D2249">
            <w:pPr>
              <w:pStyle w:val="Tabulka"/>
            </w:pPr>
            <w:bookmarkStart w:id="97" w:name="_Toc81342595"/>
            <w:r w:rsidRPr="007C705C">
              <w:t>Státní zemědělský intervenční fond</w:t>
            </w:r>
            <w:bookmarkEnd w:id="97"/>
          </w:p>
        </w:tc>
      </w:tr>
      <w:tr w:rsidR="003E0F58" w:rsidRPr="007C705C" w14:paraId="0A3DAB5B" w14:textId="77777777" w:rsidTr="004D2249">
        <w:trPr>
          <w:cantSplit/>
          <w:trHeight w:val="315"/>
        </w:trPr>
        <w:tc>
          <w:tcPr>
            <w:tcW w:w="724" w:type="pct"/>
            <w:shd w:val="clear" w:color="auto" w:fill="auto"/>
          </w:tcPr>
          <w:p w14:paraId="25B8CD09" w14:textId="77777777" w:rsidR="003E0F58" w:rsidRPr="007C705C" w:rsidRDefault="003E0F58" w:rsidP="004D2249">
            <w:pPr>
              <w:pStyle w:val="Tabulka"/>
            </w:pPr>
            <w:bookmarkStart w:id="98" w:name="_Toc81342596"/>
            <w:r w:rsidRPr="007C705C">
              <w:t>SZP</w:t>
            </w:r>
            <w:bookmarkEnd w:id="98"/>
          </w:p>
        </w:tc>
        <w:tc>
          <w:tcPr>
            <w:tcW w:w="4276" w:type="pct"/>
            <w:shd w:val="clear" w:color="auto" w:fill="auto"/>
          </w:tcPr>
          <w:p w14:paraId="3D9EA571" w14:textId="77777777" w:rsidR="003E0F58" w:rsidRPr="007C705C" w:rsidRDefault="003E0F58" w:rsidP="004D2249">
            <w:pPr>
              <w:pStyle w:val="Tabulka"/>
            </w:pPr>
            <w:bookmarkStart w:id="99" w:name="_Toc81342597"/>
            <w:r w:rsidRPr="007C705C">
              <w:t>Společná zemědělská politika</w:t>
            </w:r>
            <w:bookmarkEnd w:id="99"/>
          </w:p>
        </w:tc>
      </w:tr>
      <w:tr w:rsidR="003E0F58" w:rsidRPr="007C705C" w14:paraId="29B335CB" w14:textId="77777777" w:rsidTr="004D2249">
        <w:trPr>
          <w:cantSplit/>
          <w:trHeight w:val="315"/>
        </w:trPr>
        <w:tc>
          <w:tcPr>
            <w:tcW w:w="724" w:type="pct"/>
            <w:shd w:val="clear" w:color="auto" w:fill="auto"/>
          </w:tcPr>
          <w:p w14:paraId="7AE38A96" w14:textId="77777777" w:rsidR="003E0F58" w:rsidRPr="007C705C" w:rsidRDefault="003E0F58" w:rsidP="004D2249">
            <w:pPr>
              <w:pStyle w:val="Tabulka"/>
            </w:pPr>
            <w:bookmarkStart w:id="100" w:name="_Toc81342598"/>
            <w:r w:rsidRPr="007C705C">
              <w:t>SZT</w:t>
            </w:r>
            <w:bookmarkEnd w:id="100"/>
          </w:p>
        </w:tc>
        <w:tc>
          <w:tcPr>
            <w:tcW w:w="4276" w:type="pct"/>
            <w:shd w:val="clear" w:color="auto" w:fill="auto"/>
          </w:tcPr>
          <w:p w14:paraId="0648961B" w14:textId="77777777" w:rsidR="003E0F58" w:rsidRPr="007C705C" w:rsidRDefault="003E0F58" w:rsidP="004D2249">
            <w:pPr>
              <w:pStyle w:val="Tabulka"/>
            </w:pPr>
            <w:bookmarkStart w:id="101" w:name="_Toc81342599"/>
            <w:r w:rsidRPr="007C705C">
              <w:t>Soustava zásobování teplem</w:t>
            </w:r>
            <w:bookmarkEnd w:id="101"/>
          </w:p>
        </w:tc>
      </w:tr>
      <w:tr w:rsidR="003E0F58" w:rsidRPr="007C705C" w14:paraId="53EA21C0" w14:textId="77777777" w:rsidTr="004D2249">
        <w:trPr>
          <w:cantSplit/>
          <w:trHeight w:val="315"/>
        </w:trPr>
        <w:tc>
          <w:tcPr>
            <w:tcW w:w="724" w:type="pct"/>
            <w:shd w:val="clear" w:color="auto" w:fill="auto"/>
          </w:tcPr>
          <w:p w14:paraId="5B23781F" w14:textId="77777777" w:rsidR="003E0F58" w:rsidRPr="007C705C" w:rsidRDefault="003E0F58" w:rsidP="004D2249">
            <w:pPr>
              <w:pStyle w:val="Tabulka"/>
              <w:rPr>
                <w:rFonts w:eastAsiaTheme="minorEastAsia"/>
              </w:rPr>
            </w:pPr>
            <w:bookmarkStart w:id="102" w:name="_Toc81342600"/>
            <w:r w:rsidRPr="007C705C">
              <w:rPr>
                <w:rFonts w:eastAsiaTheme="minorEastAsia"/>
              </w:rPr>
              <w:t>TUV</w:t>
            </w:r>
            <w:bookmarkEnd w:id="102"/>
          </w:p>
        </w:tc>
        <w:tc>
          <w:tcPr>
            <w:tcW w:w="4276" w:type="pct"/>
            <w:shd w:val="clear" w:color="auto" w:fill="auto"/>
          </w:tcPr>
          <w:p w14:paraId="7AC4331F" w14:textId="77777777" w:rsidR="003E0F58" w:rsidRPr="007C705C" w:rsidRDefault="003E0F58" w:rsidP="004D2249">
            <w:pPr>
              <w:pStyle w:val="Tabulka"/>
            </w:pPr>
            <w:bookmarkStart w:id="103" w:name="_Toc81342601"/>
            <w:r w:rsidRPr="007C705C">
              <w:t>Teplá užitková voda</w:t>
            </w:r>
            <w:bookmarkEnd w:id="103"/>
          </w:p>
        </w:tc>
      </w:tr>
      <w:tr w:rsidR="003E0F58" w:rsidRPr="007C705C" w14:paraId="4EF144EE" w14:textId="77777777" w:rsidTr="004D2249">
        <w:trPr>
          <w:cantSplit/>
          <w:trHeight w:val="315"/>
        </w:trPr>
        <w:tc>
          <w:tcPr>
            <w:tcW w:w="724" w:type="pct"/>
            <w:shd w:val="clear" w:color="auto" w:fill="auto"/>
          </w:tcPr>
          <w:p w14:paraId="581D9565" w14:textId="77777777" w:rsidR="003E0F58" w:rsidRPr="007C705C" w:rsidRDefault="003E0F58" w:rsidP="004D2249">
            <w:pPr>
              <w:pStyle w:val="Tabulka"/>
            </w:pPr>
            <w:bookmarkStart w:id="104" w:name="_Toc81342602"/>
            <w:r w:rsidRPr="007C705C">
              <w:rPr>
                <w:rFonts w:eastAsiaTheme="minorEastAsia"/>
              </w:rPr>
              <w:t>ÚKZÚZ</w:t>
            </w:r>
            <w:bookmarkEnd w:id="104"/>
          </w:p>
        </w:tc>
        <w:tc>
          <w:tcPr>
            <w:tcW w:w="4276" w:type="pct"/>
            <w:shd w:val="clear" w:color="auto" w:fill="auto"/>
          </w:tcPr>
          <w:p w14:paraId="01F92AF2" w14:textId="77777777" w:rsidR="003E0F58" w:rsidRPr="007C705C" w:rsidRDefault="003E0F58" w:rsidP="004D2249">
            <w:pPr>
              <w:pStyle w:val="Tabulka"/>
            </w:pPr>
            <w:bookmarkStart w:id="105" w:name="_Toc81342603"/>
            <w:r w:rsidRPr="007C705C">
              <w:t>Ústřední kontrolní a zkušební ústav zemědělský</w:t>
            </w:r>
            <w:bookmarkEnd w:id="105"/>
          </w:p>
        </w:tc>
      </w:tr>
      <w:tr w:rsidR="003E0F58" w:rsidRPr="007C705C" w14:paraId="52803213" w14:textId="77777777" w:rsidTr="004D2249">
        <w:trPr>
          <w:cantSplit/>
          <w:trHeight w:val="315"/>
        </w:trPr>
        <w:tc>
          <w:tcPr>
            <w:tcW w:w="724" w:type="pct"/>
            <w:shd w:val="clear" w:color="auto" w:fill="auto"/>
          </w:tcPr>
          <w:p w14:paraId="18EE2F17" w14:textId="77777777" w:rsidR="003E0F58" w:rsidRPr="007C705C" w:rsidRDefault="003E0F58" w:rsidP="004D2249">
            <w:pPr>
              <w:pStyle w:val="Tabulka"/>
            </w:pPr>
            <w:bookmarkStart w:id="106" w:name="_Toc81342604"/>
            <w:r w:rsidRPr="007C705C">
              <w:rPr>
                <w:rFonts w:eastAsiaTheme="minorEastAsia"/>
              </w:rPr>
              <w:t>UNFCCC</w:t>
            </w:r>
            <w:bookmarkEnd w:id="106"/>
          </w:p>
        </w:tc>
        <w:tc>
          <w:tcPr>
            <w:tcW w:w="4276" w:type="pct"/>
            <w:shd w:val="clear" w:color="auto" w:fill="auto"/>
          </w:tcPr>
          <w:p w14:paraId="04913A8F" w14:textId="77777777" w:rsidR="003E0F58" w:rsidRPr="007C705C" w:rsidRDefault="003E0F58" w:rsidP="004D2249">
            <w:pPr>
              <w:pStyle w:val="Tabulka"/>
            </w:pPr>
            <w:bookmarkStart w:id="107" w:name="_Toc81342605"/>
            <w:r w:rsidRPr="007C705C">
              <w:t>Rámcová úmluva OSN o změně klimatu</w:t>
            </w:r>
            <w:bookmarkEnd w:id="107"/>
          </w:p>
        </w:tc>
      </w:tr>
      <w:tr w:rsidR="003E0F58" w:rsidRPr="007C705C" w14:paraId="5E54C114" w14:textId="77777777" w:rsidTr="004D2249">
        <w:trPr>
          <w:cantSplit/>
          <w:trHeight w:val="315"/>
        </w:trPr>
        <w:tc>
          <w:tcPr>
            <w:tcW w:w="724" w:type="pct"/>
            <w:shd w:val="clear" w:color="auto" w:fill="auto"/>
          </w:tcPr>
          <w:p w14:paraId="1B0DF09A" w14:textId="77777777" w:rsidR="003E0F58" w:rsidRPr="007C705C" w:rsidRDefault="003E0F58" w:rsidP="004D2249">
            <w:pPr>
              <w:pStyle w:val="Tabulka"/>
            </w:pPr>
            <w:bookmarkStart w:id="108" w:name="_Toc81342606"/>
            <w:r w:rsidRPr="007C705C">
              <w:rPr>
                <w:rFonts w:eastAsiaTheme="minorEastAsia"/>
              </w:rPr>
              <w:t>VÚMOP</w:t>
            </w:r>
            <w:bookmarkEnd w:id="108"/>
          </w:p>
        </w:tc>
        <w:tc>
          <w:tcPr>
            <w:tcW w:w="4276" w:type="pct"/>
            <w:shd w:val="clear" w:color="auto" w:fill="auto"/>
          </w:tcPr>
          <w:p w14:paraId="00D3F46E" w14:textId="77777777" w:rsidR="003E0F58" w:rsidRPr="007C705C" w:rsidRDefault="003E0F58" w:rsidP="004D2249">
            <w:pPr>
              <w:pStyle w:val="Tabulka"/>
            </w:pPr>
            <w:bookmarkStart w:id="109" w:name="_Toc81342607"/>
            <w:r w:rsidRPr="007C705C">
              <w:t>Výzkumný ústav meliorací a ochrany půdy, v.v.i.</w:t>
            </w:r>
            <w:bookmarkEnd w:id="109"/>
          </w:p>
        </w:tc>
      </w:tr>
      <w:tr w:rsidR="003E0F58" w:rsidRPr="007C705C" w14:paraId="5203E766" w14:textId="77777777" w:rsidTr="004D2249">
        <w:trPr>
          <w:trHeight w:val="315"/>
        </w:trPr>
        <w:tc>
          <w:tcPr>
            <w:tcW w:w="724" w:type="pct"/>
            <w:shd w:val="clear" w:color="auto" w:fill="auto"/>
          </w:tcPr>
          <w:p w14:paraId="7480010B" w14:textId="77777777" w:rsidR="003E0F58" w:rsidRPr="007C705C" w:rsidRDefault="003E0F58" w:rsidP="004D2249">
            <w:pPr>
              <w:pStyle w:val="Tabulka"/>
              <w:rPr>
                <w:rFonts w:eastAsiaTheme="minorEastAsia"/>
              </w:rPr>
            </w:pPr>
            <w:bookmarkStart w:id="110" w:name="_Toc81342608"/>
            <w:r w:rsidRPr="007C705C">
              <w:rPr>
                <w:rFonts w:eastAsiaTheme="minorEastAsia"/>
              </w:rPr>
              <w:t>VÚZT</w:t>
            </w:r>
            <w:bookmarkEnd w:id="110"/>
          </w:p>
        </w:tc>
        <w:tc>
          <w:tcPr>
            <w:tcW w:w="4276" w:type="pct"/>
            <w:shd w:val="clear" w:color="auto" w:fill="auto"/>
          </w:tcPr>
          <w:p w14:paraId="6DB4F40F" w14:textId="77777777" w:rsidR="003E0F58" w:rsidRPr="007C705C" w:rsidRDefault="003E0F58" w:rsidP="004D2249">
            <w:pPr>
              <w:pStyle w:val="Tabulka"/>
            </w:pPr>
            <w:bookmarkStart w:id="111" w:name="_Toc81342609"/>
            <w:r w:rsidRPr="007C705C">
              <w:t>Výzkumný ústav zemědělské techniky, v.v.i.</w:t>
            </w:r>
            <w:bookmarkEnd w:id="111"/>
          </w:p>
        </w:tc>
      </w:tr>
      <w:tr w:rsidR="003E0F58" w:rsidRPr="007C705C" w14:paraId="03EE39E5" w14:textId="77777777" w:rsidTr="004D2249">
        <w:trPr>
          <w:trHeight w:val="315"/>
        </w:trPr>
        <w:tc>
          <w:tcPr>
            <w:tcW w:w="724" w:type="pct"/>
            <w:shd w:val="clear" w:color="auto" w:fill="auto"/>
          </w:tcPr>
          <w:p w14:paraId="7AD108F2" w14:textId="77777777" w:rsidR="003E0F58" w:rsidRPr="007C705C" w:rsidRDefault="003E0F58" w:rsidP="004D2249">
            <w:pPr>
              <w:pStyle w:val="Tabulka"/>
            </w:pPr>
            <w:bookmarkStart w:id="112" w:name="_Toc81342610"/>
            <w:r w:rsidRPr="007C705C">
              <w:rPr>
                <w:rFonts w:eastAsiaTheme="minorEastAsia"/>
              </w:rPr>
              <w:t>ZPF</w:t>
            </w:r>
            <w:bookmarkEnd w:id="112"/>
          </w:p>
        </w:tc>
        <w:tc>
          <w:tcPr>
            <w:tcW w:w="4276" w:type="pct"/>
            <w:shd w:val="clear" w:color="auto" w:fill="auto"/>
          </w:tcPr>
          <w:p w14:paraId="40512466" w14:textId="77777777" w:rsidR="003E0F58" w:rsidRPr="007C705C" w:rsidRDefault="003E0F58" w:rsidP="004D2249">
            <w:pPr>
              <w:pStyle w:val="Tabulka"/>
            </w:pPr>
            <w:bookmarkStart w:id="113" w:name="_Toc81342611"/>
            <w:r w:rsidRPr="007C705C">
              <w:t>Zemědělský půdní fond</w:t>
            </w:r>
            <w:bookmarkEnd w:id="113"/>
          </w:p>
        </w:tc>
      </w:tr>
    </w:tbl>
    <w:p w14:paraId="652FBBB0" w14:textId="77777777" w:rsidR="003E0F58" w:rsidRPr="007C705C" w:rsidRDefault="003E0F58" w:rsidP="003E0F58">
      <w:pPr>
        <w:jc w:val="center"/>
        <w:rPr>
          <w:rFonts w:cs="Times New Roman"/>
          <w:lang w:val="cs-CZ"/>
        </w:rPr>
      </w:pPr>
    </w:p>
    <w:p w14:paraId="4691C4D3" w14:textId="068DD23A" w:rsidR="00D8312B" w:rsidRDefault="00D8312B" w:rsidP="00647056">
      <w:pPr>
        <w:pStyle w:val="UZEINadpis1stbezsla"/>
      </w:pPr>
      <w:bookmarkStart w:id="114" w:name="_Toc81343093"/>
      <w:bookmarkStart w:id="115" w:name="_Toc81343156"/>
      <w:bookmarkStart w:id="116" w:name="_Toc81343225"/>
      <w:bookmarkStart w:id="117" w:name="_Toc94181675"/>
      <w:r w:rsidRPr="007C705C">
        <w:lastRenderedPageBreak/>
        <w:t>Seznam tabulek</w:t>
      </w:r>
      <w:bookmarkEnd w:id="114"/>
      <w:bookmarkEnd w:id="115"/>
      <w:bookmarkEnd w:id="116"/>
      <w:bookmarkEnd w:id="117"/>
    </w:p>
    <w:p w14:paraId="2E332F54" w14:textId="372DC9C6" w:rsidR="00315A11" w:rsidRDefault="00D03038">
      <w:pPr>
        <w:pStyle w:val="Obsah4"/>
        <w:rPr>
          <w:rFonts w:asciiTheme="minorHAnsi" w:eastAsiaTheme="minorEastAsia" w:hAnsiTheme="minorHAnsi"/>
          <w:noProof/>
          <w:sz w:val="22"/>
          <w:szCs w:val="22"/>
          <w:lang w:val="cs-CZ" w:eastAsia="cs-CZ"/>
        </w:rPr>
      </w:pPr>
      <w:r>
        <w:rPr>
          <w:szCs w:val="20"/>
        </w:rPr>
        <w:fldChar w:fldCharType="begin"/>
      </w:r>
      <w:r>
        <w:rPr>
          <w:szCs w:val="20"/>
        </w:rPr>
        <w:instrText xml:space="preserve"> TOC \h \z \t "UZEI TaB;4" </w:instrText>
      </w:r>
      <w:r>
        <w:rPr>
          <w:szCs w:val="20"/>
        </w:rPr>
        <w:fldChar w:fldCharType="separate"/>
      </w:r>
      <w:hyperlink w:anchor="_Toc94181552" w:history="1">
        <w:r w:rsidR="00315A11" w:rsidRPr="00354A74">
          <w:rPr>
            <w:rStyle w:val="Hypertextovodkaz"/>
            <w:rFonts w:cs="Times New Roman"/>
            <w:noProof/>
          </w:rPr>
          <w:t>Tabulka 1</w:t>
        </w:r>
        <w:r w:rsidR="00315A11">
          <w:rPr>
            <w:rFonts w:asciiTheme="minorHAnsi" w:eastAsiaTheme="minorEastAsia" w:hAnsiTheme="minorHAnsi"/>
            <w:noProof/>
            <w:sz w:val="22"/>
            <w:szCs w:val="22"/>
            <w:lang w:val="cs-CZ" w:eastAsia="cs-CZ"/>
          </w:rPr>
          <w:tab/>
        </w:r>
        <w:r w:rsidR="00315A11" w:rsidRPr="00354A74">
          <w:rPr>
            <w:rStyle w:val="Hypertextovodkaz"/>
            <w:rFonts w:cs="Times New Roman"/>
            <w:noProof/>
          </w:rPr>
          <w:t>Celkové roční emise ze zemědělství a lesnictví v ČR v letech 2009 - 2018</w:t>
        </w:r>
        <w:r w:rsidR="00315A11">
          <w:rPr>
            <w:noProof/>
            <w:webHidden/>
          </w:rPr>
          <w:tab/>
        </w:r>
        <w:r w:rsidR="00315A11">
          <w:rPr>
            <w:noProof/>
            <w:webHidden/>
          </w:rPr>
          <w:fldChar w:fldCharType="begin"/>
        </w:r>
        <w:r w:rsidR="00315A11">
          <w:rPr>
            <w:noProof/>
            <w:webHidden/>
          </w:rPr>
          <w:instrText xml:space="preserve"> PAGEREF _Toc94181552 \h </w:instrText>
        </w:r>
        <w:r w:rsidR="00315A11">
          <w:rPr>
            <w:noProof/>
            <w:webHidden/>
          </w:rPr>
        </w:r>
        <w:r w:rsidR="00315A11">
          <w:rPr>
            <w:noProof/>
            <w:webHidden/>
          </w:rPr>
          <w:fldChar w:fldCharType="separate"/>
        </w:r>
        <w:r w:rsidR="00315A11">
          <w:rPr>
            <w:noProof/>
            <w:webHidden/>
          </w:rPr>
          <w:t>13</w:t>
        </w:r>
        <w:r w:rsidR="00315A11">
          <w:rPr>
            <w:noProof/>
            <w:webHidden/>
          </w:rPr>
          <w:fldChar w:fldCharType="end"/>
        </w:r>
      </w:hyperlink>
    </w:p>
    <w:p w14:paraId="7CAB6814" w14:textId="1964CBFE" w:rsidR="00315A11" w:rsidRDefault="00315A11">
      <w:pPr>
        <w:pStyle w:val="Obsah4"/>
        <w:rPr>
          <w:rFonts w:asciiTheme="minorHAnsi" w:eastAsiaTheme="minorEastAsia" w:hAnsiTheme="minorHAnsi"/>
          <w:noProof/>
          <w:sz w:val="22"/>
          <w:szCs w:val="22"/>
          <w:lang w:val="cs-CZ" w:eastAsia="cs-CZ"/>
        </w:rPr>
      </w:pPr>
      <w:hyperlink w:anchor="_Toc94181553" w:history="1">
        <w:r w:rsidRPr="00354A74">
          <w:rPr>
            <w:rStyle w:val="Hypertextovodkaz"/>
            <w:rFonts w:cs="Times New Roman"/>
            <w:noProof/>
          </w:rPr>
          <w:t>Tabulka 2</w:t>
        </w:r>
        <w:r>
          <w:rPr>
            <w:rFonts w:asciiTheme="minorHAnsi" w:eastAsiaTheme="minorEastAsia" w:hAnsiTheme="minorHAnsi"/>
            <w:noProof/>
            <w:sz w:val="22"/>
            <w:szCs w:val="22"/>
            <w:lang w:val="cs-CZ" w:eastAsia="cs-CZ"/>
          </w:rPr>
          <w:tab/>
        </w:r>
        <w:r w:rsidRPr="00354A74">
          <w:rPr>
            <w:rStyle w:val="Hypertextovodkaz"/>
            <w:rFonts w:cs="Times New Roman"/>
            <w:noProof/>
          </w:rPr>
          <w:t>Trends of the livestock population in the period 1990-2019 (thousands of heads),</w:t>
        </w:r>
        <w:r>
          <w:rPr>
            <w:noProof/>
            <w:webHidden/>
          </w:rPr>
          <w:tab/>
        </w:r>
        <w:r>
          <w:rPr>
            <w:noProof/>
            <w:webHidden/>
          </w:rPr>
          <w:fldChar w:fldCharType="begin"/>
        </w:r>
        <w:r>
          <w:rPr>
            <w:noProof/>
            <w:webHidden/>
          </w:rPr>
          <w:instrText xml:space="preserve"> PAGEREF _Toc94181553 \h </w:instrText>
        </w:r>
        <w:r>
          <w:rPr>
            <w:noProof/>
            <w:webHidden/>
          </w:rPr>
        </w:r>
        <w:r>
          <w:rPr>
            <w:noProof/>
            <w:webHidden/>
          </w:rPr>
          <w:fldChar w:fldCharType="separate"/>
        </w:r>
        <w:r>
          <w:rPr>
            <w:noProof/>
            <w:webHidden/>
          </w:rPr>
          <w:t>14</w:t>
        </w:r>
        <w:r>
          <w:rPr>
            <w:noProof/>
            <w:webHidden/>
          </w:rPr>
          <w:fldChar w:fldCharType="end"/>
        </w:r>
      </w:hyperlink>
    </w:p>
    <w:p w14:paraId="56C4BACE" w14:textId="32EEDB9C" w:rsidR="00315A11" w:rsidRDefault="00315A11">
      <w:pPr>
        <w:pStyle w:val="Obsah4"/>
        <w:rPr>
          <w:rFonts w:asciiTheme="minorHAnsi" w:eastAsiaTheme="minorEastAsia" w:hAnsiTheme="minorHAnsi"/>
          <w:noProof/>
          <w:sz w:val="22"/>
          <w:szCs w:val="22"/>
          <w:lang w:val="cs-CZ" w:eastAsia="cs-CZ"/>
        </w:rPr>
      </w:pPr>
      <w:hyperlink w:anchor="_Toc94181554" w:history="1">
        <w:r w:rsidRPr="00354A74">
          <w:rPr>
            <w:rStyle w:val="Hypertextovodkaz"/>
            <w:rFonts w:cs="Times New Roman"/>
            <w:noProof/>
          </w:rPr>
          <w:t>Tabulka 3</w:t>
        </w:r>
        <w:r>
          <w:rPr>
            <w:rFonts w:asciiTheme="minorHAnsi" w:eastAsiaTheme="minorEastAsia" w:hAnsiTheme="minorHAnsi"/>
            <w:noProof/>
            <w:sz w:val="22"/>
            <w:szCs w:val="22"/>
            <w:lang w:val="cs-CZ" w:eastAsia="cs-CZ"/>
          </w:rPr>
          <w:tab/>
        </w:r>
        <w:r w:rsidRPr="00354A74">
          <w:rPr>
            <w:rStyle w:val="Hypertextovodkaz"/>
            <w:rFonts w:cs="Times New Roman"/>
            <w:noProof/>
          </w:rPr>
          <w:t>Detailní rozbor emisí GHG ze zemědělství v ČR v letech 2009 - 2018</w:t>
        </w:r>
        <w:r>
          <w:rPr>
            <w:noProof/>
            <w:webHidden/>
          </w:rPr>
          <w:tab/>
        </w:r>
        <w:r>
          <w:rPr>
            <w:noProof/>
            <w:webHidden/>
          </w:rPr>
          <w:fldChar w:fldCharType="begin"/>
        </w:r>
        <w:r>
          <w:rPr>
            <w:noProof/>
            <w:webHidden/>
          </w:rPr>
          <w:instrText xml:space="preserve"> PAGEREF _Toc94181554 \h </w:instrText>
        </w:r>
        <w:r>
          <w:rPr>
            <w:noProof/>
            <w:webHidden/>
          </w:rPr>
        </w:r>
        <w:r>
          <w:rPr>
            <w:noProof/>
            <w:webHidden/>
          </w:rPr>
          <w:fldChar w:fldCharType="separate"/>
        </w:r>
        <w:r>
          <w:rPr>
            <w:noProof/>
            <w:webHidden/>
          </w:rPr>
          <w:t>14</w:t>
        </w:r>
        <w:r>
          <w:rPr>
            <w:noProof/>
            <w:webHidden/>
          </w:rPr>
          <w:fldChar w:fldCharType="end"/>
        </w:r>
      </w:hyperlink>
    </w:p>
    <w:p w14:paraId="543F4E45" w14:textId="13C37AB2" w:rsidR="00315A11" w:rsidRDefault="00315A11">
      <w:pPr>
        <w:pStyle w:val="Obsah4"/>
        <w:rPr>
          <w:rFonts w:asciiTheme="minorHAnsi" w:eastAsiaTheme="minorEastAsia" w:hAnsiTheme="minorHAnsi"/>
          <w:noProof/>
          <w:sz w:val="22"/>
          <w:szCs w:val="22"/>
          <w:lang w:val="cs-CZ" w:eastAsia="cs-CZ"/>
        </w:rPr>
      </w:pPr>
      <w:hyperlink w:anchor="_Toc94181555" w:history="1">
        <w:r w:rsidRPr="00354A74">
          <w:rPr>
            <w:rStyle w:val="Hypertextovodkaz"/>
            <w:rFonts w:cs="Times New Roman"/>
            <w:noProof/>
          </w:rPr>
          <w:t>Tabulka 4</w:t>
        </w:r>
        <w:r>
          <w:rPr>
            <w:rFonts w:asciiTheme="minorHAnsi" w:eastAsiaTheme="minorEastAsia" w:hAnsiTheme="minorHAnsi"/>
            <w:noProof/>
            <w:sz w:val="22"/>
            <w:szCs w:val="22"/>
            <w:lang w:val="cs-CZ" w:eastAsia="cs-CZ"/>
          </w:rPr>
          <w:tab/>
        </w:r>
        <w:r w:rsidRPr="00354A74">
          <w:rPr>
            <w:rStyle w:val="Hypertextovodkaz"/>
            <w:rFonts w:cs="Times New Roman"/>
            <w:noProof/>
          </w:rPr>
          <w:t>Methane emissions from enteric fermentation (cattle)</w:t>
        </w:r>
        <w:r>
          <w:rPr>
            <w:noProof/>
            <w:webHidden/>
          </w:rPr>
          <w:tab/>
        </w:r>
        <w:r>
          <w:rPr>
            <w:noProof/>
            <w:webHidden/>
          </w:rPr>
          <w:fldChar w:fldCharType="begin"/>
        </w:r>
        <w:r>
          <w:rPr>
            <w:noProof/>
            <w:webHidden/>
          </w:rPr>
          <w:instrText xml:space="preserve"> PAGEREF _Toc94181555 \h </w:instrText>
        </w:r>
        <w:r>
          <w:rPr>
            <w:noProof/>
            <w:webHidden/>
          </w:rPr>
        </w:r>
        <w:r>
          <w:rPr>
            <w:noProof/>
            <w:webHidden/>
          </w:rPr>
          <w:fldChar w:fldCharType="separate"/>
        </w:r>
        <w:r>
          <w:rPr>
            <w:noProof/>
            <w:webHidden/>
          </w:rPr>
          <w:t>14</w:t>
        </w:r>
        <w:r>
          <w:rPr>
            <w:noProof/>
            <w:webHidden/>
          </w:rPr>
          <w:fldChar w:fldCharType="end"/>
        </w:r>
      </w:hyperlink>
    </w:p>
    <w:p w14:paraId="1BAA9A50" w14:textId="57D9C0EF" w:rsidR="00315A11" w:rsidRDefault="00315A11">
      <w:pPr>
        <w:pStyle w:val="Obsah4"/>
        <w:rPr>
          <w:rFonts w:asciiTheme="minorHAnsi" w:eastAsiaTheme="minorEastAsia" w:hAnsiTheme="minorHAnsi"/>
          <w:noProof/>
          <w:sz w:val="22"/>
          <w:szCs w:val="22"/>
          <w:lang w:val="cs-CZ" w:eastAsia="cs-CZ"/>
        </w:rPr>
      </w:pPr>
      <w:hyperlink w:anchor="_Toc94181556" w:history="1">
        <w:r w:rsidRPr="00354A74">
          <w:rPr>
            <w:rStyle w:val="Hypertextovodkaz"/>
            <w:rFonts w:cs="Times New Roman"/>
            <w:noProof/>
          </w:rPr>
          <w:t>Tabulka 5</w:t>
        </w:r>
        <w:r>
          <w:rPr>
            <w:rFonts w:asciiTheme="minorHAnsi" w:eastAsiaTheme="minorEastAsia" w:hAnsiTheme="minorHAnsi"/>
            <w:noProof/>
            <w:sz w:val="22"/>
            <w:szCs w:val="22"/>
            <w:lang w:val="cs-CZ" w:eastAsia="cs-CZ"/>
          </w:rPr>
          <w:tab/>
        </w:r>
        <w:r w:rsidRPr="00354A74">
          <w:rPr>
            <w:rStyle w:val="Hypertextovodkaz"/>
            <w:rFonts w:cs="Times New Roman"/>
            <w:noProof/>
          </w:rPr>
          <w:t>Methane emissions from enteric fermentation (others)</w:t>
        </w:r>
        <w:r>
          <w:rPr>
            <w:noProof/>
            <w:webHidden/>
          </w:rPr>
          <w:tab/>
        </w:r>
        <w:r>
          <w:rPr>
            <w:noProof/>
            <w:webHidden/>
          </w:rPr>
          <w:fldChar w:fldCharType="begin"/>
        </w:r>
        <w:r>
          <w:rPr>
            <w:noProof/>
            <w:webHidden/>
          </w:rPr>
          <w:instrText xml:space="preserve"> PAGEREF _Toc94181556 \h </w:instrText>
        </w:r>
        <w:r>
          <w:rPr>
            <w:noProof/>
            <w:webHidden/>
          </w:rPr>
        </w:r>
        <w:r>
          <w:rPr>
            <w:noProof/>
            <w:webHidden/>
          </w:rPr>
          <w:fldChar w:fldCharType="separate"/>
        </w:r>
        <w:r>
          <w:rPr>
            <w:noProof/>
            <w:webHidden/>
          </w:rPr>
          <w:t>14</w:t>
        </w:r>
        <w:r>
          <w:rPr>
            <w:noProof/>
            <w:webHidden/>
          </w:rPr>
          <w:fldChar w:fldCharType="end"/>
        </w:r>
      </w:hyperlink>
    </w:p>
    <w:p w14:paraId="7AEEC274" w14:textId="0ECE0B89" w:rsidR="00315A11" w:rsidRDefault="00315A11">
      <w:pPr>
        <w:pStyle w:val="Obsah4"/>
        <w:rPr>
          <w:rFonts w:asciiTheme="minorHAnsi" w:eastAsiaTheme="minorEastAsia" w:hAnsiTheme="minorHAnsi"/>
          <w:noProof/>
          <w:sz w:val="22"/>
          <w:szCs w:val="22"/>
          <w:lang w:val="cs-CZ" w:eastAsia="cs-CZ"/>
        </w:rPr>
      </w:pPr>
      <w:hyperlink w:anchor="_Toc94181557" w:history="1">
        <w:r w:rsidRPr="00354A74">
          <w:rPr>
            <w:rStyle w:val="Hypertextovodkaz"/>
            <w:noProof/>
          </w:rPr>
          <w:t>Tabulka 6</w:t>
        </w:r>
        <w:r>
          <w:rPr>
            <w:rFonts w:asciiTheme="minorHAnsi" w:eastAsiaTheme="minorEastAsia" w:hAnsiTheme="minorHAnsi"/>
            <w:noProof/>
            <w:sz w:val="22"/>
            <w:szCs w:val="22"/>
            <w:lang w:val="cs-CZ" w:eastAsia="cs-CZ"/>
          </w:rPr>
          <w:tab/>
        </w:r>
        <w:r w:rsidRPr="00354A74">
          <w:rPr>
            <w:rStyle w:val="Hypertextovodkaz"/>
            <w:noProof/>
          </w:rPr>
          <w:t>Overview of emissions from manure management (1990-2018, kt CO2 eq)</w:t>
        </w:r>
        <w:r>
          <w:rPr>
            <w:noProof/>
            <w:webHidden/>
          </w:rPr>
          <w:tab/>
        </w:r>
        <w:r>
          <w:rPr>
            <w:noProof/>
            <w:webHidden/>
          </w:rPr>
          <w:fldChar w:fldCharType="begin"/>
        </w:r>
        <w:r>
          <w:rPr>
            <w:noProof/>
            <w:webHidden/>
          </w:rPr>
          <w:instrText xml:space="preserve"> PAGEREF _Toc94181557 \h </w:instrText>
        </w:r>
        <w:r>
          <w:rPr>
            <w:noProof/>
            <w:webHidden/>
          </w:rPr>
        </w:r>
        <w:r>
          <w:rPr>
            <w:noProof/>
            <w:webHidden/>
          </w:rPr>
          <w:fldChar w:fldCharType="separate"/>
        </w:r>
        <w:r>
          <w:rPr>
            <w:noProof/>
            <w:webHidden/>
          </w:rPr>
          <w:t>15</w:t>
        </w:r>
        <w:r>
          <w:rPr>
            <w:noProof/>
            <w:webHidden/>
          </w:rPr>
          <w:fldChar w:fldCharType="end"/>
        </w:r>
      </w:hyperlink>
    </w:p>
    <w:p w14:paraId="34A6E2B6" w14:textId="19636ADE" w:rsidR="00315A11" w:rsidRDefault="00315A11">
      <w:pPr>
        <w:pStyle w:val="Obsah4"/>
        <w:rPr>
          <w:rFonts w:asciiTheme="minorHAnsi" w:eastAsiaTheme="minorEastAsia" w:hAnsiTheme="minorHAnsi"/>
          <w:noProof/>
          <w:sz w:val="22"/>
          <w:szCs w:val="22"/>
          <w:lang w:val="cs-CZ" w:eastAsia="cs-CZ"/>
        </w:rPr>
      </w:pPr>
      <w:hyperlink w:anchor="_Toc94181558" w:history="1">
        <w:r w:rsidRPr="00354A74">
          <w:rPr>
            <w:rStyle w:val="Hypertextovodkaz"/>
            <w:noProof/>
          </w:rPr>
          <w:t>Tabulka 7</w:t>
        </w:r>
        <w:r>
          <w:rPr>
            <w:rFonts w:asciiTheme="minorHAnsi" w:eastAsiaTheme="minorEastAsia" w:hAnsiTheme="minorHAnsi"/>
            <w:noProof/>
            <w:sz w:val="22"/>
            <w:szCs w:val="22"/>
            <w:lang w:val="cs-CZ" w:eastAsia="cs-CZ"/>
          </w:rPr>
          <w:tab/>
        </w:r>
        <w:r w:rsidRPr="00354A74">
          <w:rPr>
            <w:rStyle w:val="Hypertextovodkaz"/>
            <w:noProof/>
          </w:rPr>
          <w:t>Overview of the Czech country specific AWMS, cattle categories, 1990-2018, fraction of manure management system, %</w:t>
        </w:r>
        <w:r>
          <w:rPr>
            <w:noProof/>
            <w:webHidden/>
          </w:rPr>
          <w:tab/>
        </w:r>
        <w:r>
          <w:rPr>
            <w:noProof/>
            <w:webHidden/>
          </w:rPr>
          <w:fldChar w:fldCharType="begin"/>
        </w:r>
        <w:r>
          <w:rPr>
            <w:noProof/>
            <w:webHidden/>
          </w:rPr>
          <w:instrText xml:space="preserve"> PAGEREF _Toc94181558 \h </w:instrText>
        </w:r>
        <w:r>
          <w:rPr>
            <w:noProof/>
            <w:webHidden/>
          </w:rPr>
        </w:r>
        <w:r>
          <w:rPr>
            <w:noProof/>
            <w:webHidden/>
          </w:rPr>
          <w:fldChar w:fldCharType="separate"/>
        </w:r>
        <w:r>
          <w:rPr>
            <w:noProof/>
            <w:webHidden/>
          </w:rPr>
          <w:t>15</w:t>
        </w:r>
        <w:r>
          <w:rPr>
            <w:noProof/>
            <w:webHidden/>
          </w:rPr>
          <w:fldChar w:fldCharType="end"/>
        </w:r>
      </w:hyperlink>
    </w:p>
    <w:p w14:paraId="015442A7" w14:textId="1D6C7EDA" w:rsidR="00315A11" w:rsidRDefault="00315A11">
      <w:pPr>
        <w:pStyle w:val="Obsah4"/>
        <w:rPr>
          <w:rFonts w:asciiTheme="minorHAnsi" w:eastAsiaTheme="minorEastAsia" w:hAnsiTheme="minorHAnsi"/>
          <w:noProof/>
          <w:sz w:val="22"/>
          <w:szCs w:val="22"/>
          <w:lang w:val="cs-CZ" w:eastAsia="cs-CZ"/>
        </w:rPr>
      </w:pPr>
      <w:hyperlink w:anchor="_Toc94181559" w:history="1">
        <w:r w:rsidRPr="00354A74">
          <w:rPr>
            <w:rStyle w:val="Hypertextovodkaz"/>
            <w:noProof/>
          </w:rPr>
          <w:t>Tabulka 8</w:t>
        </w:r>
        <w:r>
          <w:rPr>
            <w:rFonts w:asciiTheme="minorHAnsi" w:eastAsiaTheme="minorEastAsia" w:hAnsiTheme="minorHAnsi"/>
            <w:noProof/>
            <w:sz w:val="22"/>
            <w:szCs w:val="22"/>
            <w:lang w:val="cs-CZ" w:eastAsia="cs-CZ"/>
          </w:rPr>
          <w:tab/>
        </w:r>
        <w:r w:rsidRPr="00354A74">
          <w:rPr>
            <w:rStyle w:val="Hypertextovodkaz"/>
            <w:noProof/>
          </w:rPr>
          <w:t>Overview of the Czech country specific AWMS systems for swine and poultry, 1990-2018, fraction of manure management system, %.</w:t>
        </w:r>
        <w:r>
          <w:rPr>
            <w:noProof/>
            <w:webHidden/>
          </w:rPr>
          <w:tab/>
        </w:r>
        <w:r>
          <w:rPr>
            <w:noProof/>
            <w:webHidden/>
          </w:rPr>
          <w:fldChar w:fldCharType="begin"/>
        </w:r>
        <w:r>
          <w:rPr>
            <w:noProof/>
            <w:webHidden/>
          </w:rPr>
          <w:instrText xml:space="preserve"> PAGEREF _Toc94181559 \h </w:instrText>
        </w:r>
        <w:r>
          <w:rPr>
            <w:noProof/>
            <w:webHidden/>
          </w:rPr>
        </w:r>
        <w:r>
          <w:rPr>
            <w:noProof/>
            <w:webHidden/>
          </w:rPr>
          <w:fldChar w:fldCharType="separate"/>
        </w:r>
        <w:r>
          <w:rPr>
            <w:noProof/>
            <w:webHidden/>
          </w:rPr>
          <w:t>15</w:t>
        </w:r>
        <w:r>
          <w:rPr>
            <w:noProof/>
            <w:webHidden/>
          </w:rPr>
          <w:fldChar w:fldCharType="end"/>
        </w:r>
      </w:hyperlink>
    </w:p>
    <w:p w14:paraId="188DAEAD" w14:textId="0D650A40" w:rsidR="00315A11" w:rsidRDefault="00315A11">
      <w:pPr>
        <w:pStyle w:val="Obsah4"/>
        <w:rPr>
          <w:rFonts w:asciiTheme="minorHAnsi" w:eastAsiaTheme="minorEastAsia" w:hAnsiTheme="minorHAnsi"/>
          <w:noProof/>
          <w:sz w:val="22"/>
          <w:szCs w:val="22"/>
          <w:lang w:val="cs-CZ" w:eastAsia="cs-CZ"/>
        </w:rPr>
      </w:pPr>
      <w:hyperlink w:anchor="_Toc94181560" w:history="1">
        <w:r w:rsidRPr="00354A74">
          <w:rPr>
            <w:rStyle w:val="Hypertextovodkaz"/>
            <w:noProof/>
          </w:rPr>
          <w:t>Tabulka 9</w:t>
        </w:r>
        <w:r>
          <w:rPr>
            <w:rFonts w:asciiTheme="minorHAnsi" w:eastAsiaTheme="minorEastAsia" w:hAnsiTheme="minorHAnsi"/>
            <w:noProof/>
            <w:sz w:val="22"/>
            <w:szCs w:val="22"/>
            <w:lang w:val="cs-CZ" w:eastAsia="cs-CZ"/>
          </w:rPr>
          <w:tab/>
        </w:r>
        <w:r w:rsidRPr="00354A74">
          <w:rPr>
            <w:rStyle w:val="Hypertextovodkaz"/>
            <w:noProof/>
          </w:rPr>
          <w:t>Tabulka 1 Overview of the Czech country specific AWMS systems for sheep, goats and horses, 1990-2018, fraction of manure management system, %</w:t>
        </w:r>
        <w:r>
          <w:rPr>
            <w:noProof/>
            <w:webHidden/>
          </w:rPr>
          <w:tab/>
        </w:r>
        <w:r>
          <w:rPr>
            <w:noProof/>
            <w:webHidden/>
          </w:rPr>
          <w:fldChar w:fldCharType="begin"/>
        </w:r>
        <w:r>
          <w:rPr>
            <w:noProof/>
            <w:webHidden/>
          </w:rPr>
          <w:instrText xml:space="preserve"> PAGEREF _Toc94181560 \h </w:instrText>
        </w:r>
        <w:r>
          <w:rPr>
            <w:noProof/>
            <w:webHidden/>
          </w:rPr>
        </w:r>
        <w:r>
          <w:rPr>
            <w:noProof/>
            <w:webHidden/>
          </w:rPr>
          <w:fldChar w:fldCharType="separate"/>
        </w:r>
        <w:r>
          <w:rPr>
            <w:noProof/>
            <w:webHidden/>
          </w:rPr>
          <w:t>15</w:t>
        </w:r>
        <w:r>
          <w:rPr>
            <w:noProof/>
            <w:webHidden/>
          </w:rPr>
          <w:fldChar w:fldCharType="end"/>
        </w:r>
      </w:hyperlink>
    </w:p>
    <w:p w14:paraId="0E72EA8F" w14:textId="6856028E" w:rsidR="00315A11" w:rsidRDefault="00315A11">
      <w:pPr>
        <w:pStyle w:val="Obsah4"/>
        <w:rPr>
          <w:rFonts w:asciiTheme="minorHAnsi" w:eastAsiaTheme="minorEastAsia" w:hAnsiTheme="minorHAnsi"/>
          <w:noProof/>
          <w:sz w:val="22"/>
          <w:szCs w:val="22"/>
          <w:lang w:val="cs-CZ" w:eastAsia="cs-CZ"/>
        </w:rPr>
      </w:pPr>
      <w:hyperlink w:anchor="_Toc94181561" w:history="1">
        <w:r w:rsidRPr="00354A74">
          <w:rPr>
            <w:rStyle w:val="Hypertextovodkaz"/>
            <w:noProof/>
          </w:rPr>
          <w:t>Tabulka 10</w:t>
        </w:r>
        <w:r>
          <w:rPr>
            <w:rFonts w:asciiTheme="minorHAnsi" w:eastAsiaTheme="minorEastAsia" w:hAnsiTheme="minorHAnsi"/>
            <w:noProof/>
            <w:sz w:val="22"/>
            <w:szCs w:val="22"/>
            <w:lang w:val="cs-CZ" w:eastAsia="cs-CZ"/>
          </w:rPr>
          <w:tab/>
        </w:r>
        <w:r w:rsidRPr="00354A74">
          <w:rPr>
            <w:rStyle w:val="Hypertextovodkaz"/>
            <w:noProof/>
          </w:rPr>
          <w:t>Direct and indirect N2O emissions from Agricultural Soils in period 1990-2018 in kt N2O</w:t>
        </w:r>
        <w:r>
          <w:rPr>
            <w:noProof/>
            <w:webHidden/>
          </w:rPr>
          <w:tab/>
        </w:r>
        <w:r>
          <w:rPr>
            <w:noProof/>
            <w:webHidden/>
          </w:rPr>
          <w:fldChar w:fldCharType="begin"/>
        </w:r>
        <w:r>
          <w:rPr>
            <w:noProof/>
            <w:webHidden/>
          </w:rPr>
          <w:instrText xml:space="preserve"> PAGEREF _Toc94181561 \h </w:instrText>
        </w:r>
        <w:r>
          <w:rPr>
            <w:noProof/>
            <w:webHidden/>
          </w:rPr>
        </w:r>
        <w:r>
          <w:rPr>
            <w:noProof/>
            <w:webHidden/>
          </w:rPr>
          <w:fldChar w:fldCharType="separate"/>
        </w:r>
        <w:r>
          <w:rPr>
            <w:noProof/>
            <w:webHidden/>
          </w:rPr>
          <w:t>16</w:t>
        </w:r>
        <w:r>
          <w:rPr>
            <w:noProof/>
            <w:webHidden/>
          </w:rPr>
          <w:fldChar w:fldCharType="end"/>
        </w:r>
      </w:hyperlink>
    </w:p>
    <w:p w14:paraId="699D2868" w14:textId="55313DFA" w:rsidR="00315A11" w:rsidRDefault="00315A11">
      <w:pPr>
        <w:pStyle w:val="Obsah4"/>
        <w:rPr>
          <w:rFonts w:asciiTheme="minorHAnsi" w:eastAsiaTheme="minorEastAsia" w:hAnsiTheme="minorHAnsi"/>
          <w:noProof/>
          <w:sz w:val="22"/>
          <w:szCs w:val="22"/>
          <w:lang w:val="cs-CZ" w:eastAsia="cs-CZ"/>
        </w:rPr>
      </w:pPr>
      <w:hyperlink w:anchor="_Toc94181562" w:history="1">
        <w:r w:rsidRPr="00354A74">
          <w:rPr>
            <w:rStyle w:val="Hypertextovodkaz"/>
            <w:noProof/>
          </w:rPr>
          <w:t>Tabulka 11</w:t>
        </w:r>
        <w:r>
          <w:rPr>
            <w:rFonts w:asciiTheme="minorHAnsi" w:eastAsiaTheme="minorEastAsia" w:hAnsiTheme="minorHAnsi"/>
            <w:noProof/>
            <w:sz w:val="22"/>
            <w:szCs w:val="22"/>
            <w:lang w:val="cs-CZ" w:eastAsia="cs-CZ"/>
          </w:rPr>
          <w:tab/>
        </w:r>
        <w:r w:rsidRPr="00354A74">
          <w:rPr>
            <w:rStyle w:val="Hypertextovodkaz"/>
            <w:noProof/>
          </w:rPr>
          <w:t>Přehled výměr jednotlivých kultur</w:t>
        </w:r>
        <w:r>
          <w:rPr>
            <w:noProof/>
            <w:webHidden/>
          </w:rPr>
          <w:tab/>
        </w:r>
        <w:r>
          <w:rPr>
            <w:noProof/>
            <w:webHidden/>
          </w:rPr>
          <w:fldChar w:fldCharType="begin"/>
        </w:r>
        <w:r>
          <w:rPr>
            <w:noProof/>
            <w:webHidden/>
          </w:rPr>
          <w:instrText xml:space="preserve"> PAGEREF _Toc94181562 \h </w:instrText>
        </w:r>
        <w:r>
          <w:rPr>
            <w:noProof/>
            <w:webHidden/>
          </w:rPr>
        </w:r>
        <w:r>
          <w:rPr>
            <w:noProof/>
            <w:webHidden/>
          </w:rPr>
          <w:fldChar w:fldCharType="separate"/>
        </w:r>
        <w:r>
          <w:rPr>
            <w:noProof/>
            <w:webHidden/>
          </w:rPr>
          <w:t>16</w:t>
        </w:r>
        <w:r>
          <w:rPr>
            <w:noProof/>
            <w:webHidden/>
          </w:rPr>
          <w:fldChar w:fldCharType="end"/>
        </w:r>
      </w:hyperlink>
    </w:p>
    <w:p w14:paraId="4D2405AB" w14:textId="0F953722" w:rsidR="00315A11" w:rsidRDefault="00315A11">
      <w:pPr>
        <w:pStyle w:val="Obsah4"/>
        <w:rPr>
          <w:rFonts w:asciiTheme="minorHAnsi" w:eastAsiaTheme="minorEastAsia" w:hAnsiTheme="minorHAnsi"/>
          <w:noProof/>
          <w:sz w:val="22"/>
          <w:szCs w:val="22"/>
          <w:lang w:val="cs-CZ" w:eastAsia="cs-CZ"/>
        </w:rPr>
      </w:pPr>
      <w:hyperlink w:anchor="_Toc94181563" w:history="1">
        <w:r w:rsidRPr="00354A74">
          <w:rPr>
            <w:rStyle w:val="Hypertextovodkaz"/>
            <w:noProof/>
          </w:rPr>
          <w:t>Tabulka 12</w:t>
        </w:r>
        <w:r>
          <w:rPr>
            <w:rFonts w:asciiTheme="minorHAnsi" w:eastAsiaTheme="minorEastAsia" w:hAnsiTheme="minorHAnsi"/>
            <w:noProof/>
            <w:sz w:val="22"/>
            <w:szCs w:val="22"/>
            <w:lang w:val="cs-CZ" w:eastAsia="cs-CZ"/>
          </w:rPr>
          <w:tab/>
        </w:r>
        <w:r w:rsidRPr="00354A74">
          <w:rPr>
            <w:rStyle w:val="Hypertextovodkaz"/>
            <w:noProof/>
          </w:rPr>
          <w:t>Vývoj ploch zemědělských kultur T, G vs. R (Výměra DPB [ha])</w:t>
        </w:r>
        <w:r>
          <w:rPr>
            <w:noProof/>
            <w:webHidden/>
          </w:rPr>
          <w:tab/>
        </w:r>
        <w:r>
          <w:rPr>
            <w:noProof/>
            <w:webHidden/>
          </w:rPr>
          <w:fldChar w:fldCharType="begin"/>
        </w:r>
        <w:r>
          <w:rPr>
            <w:noProof/>
            <w:webHidden/>
          </w:rPr>
          <w:instrText xml:space="preserve"> PAGEREF _Toc94181563 \h </w:instrText>
        </w:r>
        <w:r>
          <w:rPr>
            <w:noProof/>
            <w:webHidden/>
          </w:rPr>
        </w:r>
        <w:r>
          <w:rPr>
            <w:noProof/>
            <w:webHidden/>
          </w:rPr>
          <w:fldChar w:fldCharType="separate"/>
        </w:r>
        <w:r>
          <w:rPr>
            <w:noProof/>
            <w:webHidden/>
          </w:rPr>
          <w:t>17</w:t>
        </w:r>
        <w:r>
          <w:rPr>
            <w:noProof/>
            <w:webHidden/>
          </w:rPr>
          <w:fldChar w:fldCharType="end"/>
        </w:r>
      </w:hyperlink>
    </w:p>
    <w:p w14:paraId="79FA5838" w14:textId="038774A1" w:rsidR="00315A11" w:rsidRDefault="00315A11">
      <w:pPr>
        <w:pStyle w:val="Obsah4"/>
        <w:rPr>
          <w:rFonts w:asciiTheme="minorHAnsi" w:eastAsiaTheme="minorEastAsia" w:hAnsiTheme="minorHAnsi"/>
          <w:noProof/>
          <w:sz w:val="22"/>
          <w:szCs w:val="22"/>
          <w:lang w:val="cs-CZ" w:eastAsia="cs-CZ"/>
        </w:rPr>
      </w:pPr>
      <w:hyperlink w:anchor="_Toc94181564" w:history="1">
        <w:r w:rsidRPr="00354A74">
          <w:rPr>
            <w:rStyle w:val="Hypertextovodkaz"/>
            <w:noProof/>
          </w:rPr>
          <w:t>Tabulka 13</w:t>
        </w:r>
        <w:r>
          <w:rPr>
            <w:rFonts w:asciiTheme="minorHAnsi" w:eastAsiaTheme="minorEastAsia" w:hAnsiTheme="minorHAnsi"/>
            <w:noProof/>
            <w:sz w:val="22"/>
            <w:szCs w:val="22"/>
            <w:lang w:val="cs-CZ" w:eastAsia="cs-CZ"/>
          </w:rPr>
          <w:tab/>
        </w:r>
        <w:r w:rsidRPr="00354A74">
          <w:rPr>
            <w:rStyle w:val="Hypertextovodkaz"/>
            <w:noProof/>
          </w:rPr>
          <w:t>Doplňující informace k obhospodařování trvalých travních porostů</w:t>
        </w:r>
        <w:r>
          <w:rPr>
            <w:noProof/>
            <w:webHidden/>
          </w:rPr>
          <w:tab/>
        </w:r>
        <w:r>
          <w:rPr>
            <w:noProof/>
            <w:webHidden/>
          </w:rPr>
          <w:fldChar w:fldCharType="begin"/>
        </w:r>
        <w:r>
          <w:rPr>
            <w:noProof/>
            <w:webHidden/>
          </w:rPr>
          <w:instrText xml:space="preserve"> PAGEREF _Toc94181564 \h </w:instrText>
        </w:r>
        <w:r>
          <w:rPr>
            <w:noProof/>
            <w:webHidden/>
          </w:rPr>
        </w:r>
        <w:r>
          <w:rPr>
            <w:noProof/>
            <w:webHidden/>
          </w:rPr>
          <w:fldChar w:fldCharType="separate"/>
        </w:r>
        <w:r>
          <w:rPr>
            <w:noProof/>
            <w:webHidden/>
          </w:rPr>
          <w:t>17</w:t>
        </w:r>
        <w:r>
          <w:rPr>
            <w:noProof/>
            <w:webHidden/>
          </w:rPr>
          <w:fldChar w:fldCharType="end"/>
        </w:r>
      </w:hyperlink>
    </w:p>
    <w:p w14:paraId="14175A27" w14:textId="4E790F5C" w:rsidR="00315A11" w:rsidRDefault="00315A11">
      <w:pPr>
        <w:pStyle w:val="Obsah4"/>
        <w:rPr>
          <w:rFonts w:asciiTheme="minorHAnsi" w:eastAsiaTheme="minorEastAsia" w:hAnsiTheme="minorHAnsi"/>
          <w:noProof/>
          <w:sz w:val="22"/>
          <w:szCs w:val="22"/>
          <w:lang w:val="cs-CZ" w:eastAsia="cs-CZ"/>
        </w:rPr>
      </w:pPr>
      <w:hyperlink w:anchor="_Toc94181565" w:history="1">
        <w:r w:rsidRPr="00354A74">
          <w:rPr>
            <w:rStyle w:val="Hypertextovodkaz"/>
            <w:noProof/>
          </w:rPr>
          <w:t>Tabulka 14</w:t>
        </w:r>
        <w:r>
          <w:rPr>
            <w:rFonts w:asciiTheme="minorHAnsi" w:eastAsiaTheme="minorEastAsia" w:hAnsiTheme="minorHAnsi"/>
            <w:noProof/>
            <w:sz w:val="22"/>
            <w:szCs w:val="22"/>
            <w:lang w:val="cs-CZ" w:eastAsia="cs-CZ"/>
          </w:rPr>
          <w:tab/>
        </w:r>
        <w:r w:rsidRPr="00354A74">
          <w:rPr>
            <w:rStyle w:val="Hypertextovodkaz"/>
            <w:noProof/>
          </w:rPr>
          <w:t>Detailní rozbor emisí GHG z lesnictví v ČR v letech 2009 - 2018</w:t>
        </w:r>
        <w:r>
          <w:rPr>
            <w:noProof/>
            <w:webHidden/>
          </w:rPr>
          <w:tab/>
        </w:r>
        <w:r>
          <w:rPr>
            <w:noProof/>
            <w:webHidden/>
          </w:rPr>
          <w:fldChar w:fldCharType="begin"/>
        </w:r>
        <w:r>
          <w:rPr>
            <w:noProof/>
            <w:webHidden/>
          </w:rPr>
          <w:instrText xml:space="preserve"> PAGEREF _Toc94181565 \h </w:instrText>
        </w:r>
        <w:r>
          <w:rPr>
            <w:noProof/>
            <w:webHidden/>
          </w:rPr>
        </w:r>
        <w:r>
          <w:rPr>
            <w:noProof/>
            <w:webHidden/>
          </w:rPr>
          <w:fldChar w:fldCharType="separate"/>
        </w:r>
        <w:r>
          <w:rPr>
            <w:noProof/>
            <w:webHidden/>
          </w:rPr>
          <w:t>18</w:t>
        </w:r>
        <w:r>
          <w:rPr>
            <w:noProof/>
            <w:webHidden/>
          </w:rPr>
          <w:fldChar w:fldCharType="end"/>
        </w:r>
      </w:hyperlink>
    </w:p>
    <w:p w14:paraId="5EEA3CBE" w14:textId="30C1DAD4" w:rsidR="00315A11" w:rsidRDefault="00315A11">
      <w:pPr>
        <w:pStyle w:val="Obsah4"/>
        <w:rPr>
          <w:rFonts w:asciiTheme="minorHAnsi" w:eastAsiaTheme="minorEastAsia" w:hAnsiTheme="minorHAnsi"/>
          <w:noProof/>
          <w:sz w:val="22"/>
          <w:szCs w:val="22"/>
          <w:lang w:val="cs-CZ" w:eastAsia="cs-CZ"/>
        </w:rPr>
      </w:pPr>
      <w:hyperlink w:anchor="_Toc94181566" w:history="1">
        <w:r w:rsidRPr="00354A74">
          <w:rPr>
            <w:rStyle w:val="Hypertextovodkaz"/>
            <w:noProof/>
          </w:rPr>
          <w:t>Tabulka 15</w:t>
        </w:r>
        <w:r>
          <w:rPr>
            <w:rFonts w:asciiTheme="minorHAnsi" w:eastAsiaTheme="minorEastAsia" w:hAnsiTheme="minorHAnsi"/>
            <w:noProof/>
            <w:sz w:val="22"/>
            <w:szCs w:val="22"/>
            <w:lang w:val="cs-CZ" w:eastAsia="cs-CZ"/>
          </w:rPr>
          <w:tab/>
        </w:r>
        <w:r w:rsidRPr="00354A74">
          <w:rPr>
            <w:rStyle w:val="Hypertextovodkaz"/>
            <w:noProof/>
          </w:rPr>
          <w:t>Annual initial and final areas of particular land-use categories and the identified annual land-use conversions among these categories, shown for 1990 and 2018.</w:t>
        </w:r>
        <w:r>
          <w:rPr>
            <w:noProof/>
            <w:webHidden/>
          </w:rPr>
          <w:tab/>
        </w:r>
        <w:r>
          <w:rPr>
            <w:noProof/>
            <w:webHidden/>
          </w:rPr>
          <w:fldChar w:fldCharType="begin"/>
        </w:r>
        <w:r>
          <w:rPr>
            <w:noProof/>
            <w:webHidden/>
          </w:rPr>
          <w:instrText xml:space="preserve"> PAGEREF _Toc94181566 \h </w:instrText>
        </w:r>
        <w:r>
          <w:rPr>
            <w:noProof/>
            <w:webHidden/>
          </w:rPr>
        </w:r>
        <w:r>
          <w:rPr>
            <w:noProof/>
            <w:webHidden/>
          </w:rPr>
          <w:fldChar w:fldCharType="separate"/>
        </w:r>
        <w:r>
          <w:rPr>
            <w:noProof/>
            <w:webHidden/>
          </w:rPr>
          <w:t>18</w:t>
        </w:r>
        <w:r>
          <w:rPr>
            <w:noProof/>
            <w:webHidden/>
          </w:rPr>
          <w:fldChar w:fldCharType="end"/>
        </w:r>
      </w:hyperlink>
    </w:p>
    <w:p w14:paraId="5B29362A" w14:textId="7CF0EDFE" w:rsidR="00315A11" w:rsidRDefault="00315A11">
      <w:pPr>
        <w:pStyle w:val="Obsah4"/>
        <w:rPr>
          <w:rFonts w:asciiTheme="minorHAnsi" w:eastAsiaTheme="minorEastAsia" w:hAnsiTheme="minorHAnsi"/>
          <w:noProof/>
          <w:sz w:val="22"/>
          <w:szCs w:val="22"/>
          <w:lang w:val="cs-CZ" w:eastAsia="cs-CZ"/>
        </w:rPr>
      </w:pPr>
      <w:hyperlink w:anchor="_Toc94181567" w:history="1">
        <w:r w:rsidRPr="00354A74">
          <w:rPr>
            <w:rStyle w:val="Hypertextovodkaz"/>
            <w:noProof/>
          </w:rPr>
          <w:t>Tabulka 16</w:t>
        </w:r>
        <w:r>
          <w:rPr>
            <w:rFonts w:asciiTheme="minorHAnsi" w:eastAsiaTheme="minorEastAsia" w:hAnsiTheme="minorHAnsi"/>
            <w:noProof/>
            <w:sz w:val="22"/>
            <w:szCs w:val="22"/>
            <w:lang w:val="cs-CZ" w:eastAsia="cs-CZ"/>
          </w:rPr>
          <w:tab/>
        </w:r>
        <w:r w:rsidRPr="00354A74">
          <w:rPr>
            <w:rStyle w:val="Hypertextovodkaz"/>
            <w:noProof/>
          </w:rPr>
          <w:t>Podíl zemědělství (včetně půd) na celkových čistých emisích v ČR v letech 2009 - 2018</w:t>
        </w:r>
        <w:r>
          <w:rPr>
            <w:noProof/>
            <w:webHidden/>
          </w:rPr>
          <w:tab/>
        </w:r>
        <w:r>
          <w:rPr>
            <w:noProof/>
            <w:webHidden/>
          </w:rPr>
          <w:fldChar w:fldCharType="begin"/>
        </w:r>
        <w:r>
          <w:rPr>
            <w:noProof/>
            <w:webHidden/>
          </w:rPr>
          <w:instrText xml:space="preserve"> PAGEREF _Toc94181567 \h </w:instrText>
        </w:r>
        <w:r>
          <w:rPr>
            <w:noProof/>
            <w:webHidden/>
          </w:rPr>
        </w:r>
        <w:r>
          <w:rPr>
            <w:noProof/>
            <w:webHidden/>
          </w:rPr>
          <w:fldChar w:fldCharType="separate"/>
        </w:r>
        <w:r>
          <w:rPr>
            <w:noProof/>
            <w:webHidden/>
          </w:rPr>
          <w:t>19</w:t>
        </w:r>
        <w:r>
          <w:rPr>
            <w:noProof/>
            <w:webHidden/>
          </w:rPr>
          <w:fldChar w:fldCharType="end"/>
        </w:r>
      </w:hyperlink>
    </w:p>
    <w:p w14:paraId="570FCDBC" w14:textId="7724B3C8" w:rsidR="00315A11" w:rsidRDefault="00315A11">
      <w:pPr>
        <w:pStyle w:val="Obsah4"/>
        <w:rPr>
          <w:rFonts w:asciiTheme="minorHAnsi" w:eastAsiaTheme="minorEastAsia" w:hAnsiTheme="minorHAnsi"/>
          <w:noProof/>
          <w:sz w:val="22"/>
          <w:szCs w:val="22"/>
          <w:lang w:val="cs-CZ" w:eastAsia="cs-CZ"/>
        </w:rPr>
      </w:pPr>
      <w:hyperlink w:anchor="_Toc94181568" w:history="1">
        <w:r w:rsidRPr="00354A74">
          <w:rPr>
            <w:rStyle w:val="Hypertextovodkaz"/>
            <w:rFonts w:cs="Times New Roman"/>
            <w:noProof/>
          </w:rPr>
          <w:t>Tabulka 17</w:t>
        </w:r>
        <w:r>
          <w:rPr>
            <w:rFonts w:asciiTheme="minorHAnsi" w:eastAsiaTheme="minorEastAsia" w:hAnsiTheme="minorHAnsi"/>
            <w:noProof/>
            <w:sz w:val="22"/>
            <w:szCs w:val="22"/>
            <w:lang w:val="cs-CZ" w:eastAsia="cs-CZ"/>
          </w:rPr>
          <w:tab/>
        </w:r>
        <w:r w:rsidRPr="00354A74">
          <w:rPr>
            <w:rStyle w:val="Hypertextovodkaz"/>
            <w:noProof/>
          </w:rPr>
          <w:t>4. GHG emissions from agriculture including cropland and grassland</w:t>
        </w:r>
        <w:r>
          <w:rPr>
            <w:noProof/>
            <w:webHidden/>
          </w:rPr>
          <w:tab/>
        </w:r>
        <w:r>
          <w:rPr>
            <w:noProof/>
            <w:webHidden/>
          </w:rPr>
          <w:fldChar w:fldCharType="begin"/>
        </w:r>
        <w:r>
          <w:rPr>
            <w:noProof/>
            <w:webHidden/>
          </w:rPr>
          <w:instrText xml:space="preserve"> PAGEREF _Toc94181568 \h </w:instrText>
        </w:r>
        <w:r>
          <w:rPr>
            <w:noProof/>
            <w:webHidden/>
          </w:rPr>
        </w:r>
        <w:r>
          <w:rPr>
            <w:noProof/>
            <w:webHidden/>
          </w:rPr>
          <w:fldChar w:fldCharType="separate"/>
        </w:r>
        <w:r>
          <w:rPr>
            <w:noProof/>
            <w:webHidden/>
          </w:rPr>
          <w:t>19</w:t>
        </w:r>
        <w:r>
          <w:rPr>
            <w:noProof/>
            <w:webHidden/>
          </w:rPr>
          <w:fldChar w:fldCharType="end"/>
        </w:r>
      </w:hyperlink>
    </w:p>
    <w:p w14:paraId="14549565" w14:textId="7FFDE0B1" w:rsidR="00315A11" w:rsidRDefault="00315A11">
      <w:pPr>
        <w:pStyle w:val="Obsah4"/>
        <w:rPr>
          <w:rFonts w:asciiTheme="minorHAnsi" w:eastAsiaTheme="minorEastAsia" w:hAnsiTheme="minorHAnsi"/>
          <w:noProof/>
          <w:sz w:val="22"/>
          <w:szCs w:val="22"/>
          <w:lang w:val="cs-CZ" w:eastAsia="cs-CZ"/>
        </w:rPr>
      </w:pPr>
      <w:hyperlink w:anchor="_Toc94181569" w:history="1">
        <w:r w:rsidRPr="00354A74">
          <w:rPr>
            <w:rStyle w:val="Hypertextovodkaz"/>
            <w:noProof/>
          </w:rPr>
          <w:t>Tabulka 18</w:t>
        </w:r>
        <w:r>
          <w:rPr>
            <w:rFonts w:asciiTheme="minorHAnsi" w:eastAsiaTheme="minorEastAsia" w:hAnsiTheme="minorHAnsi"/>
            <w:noProof/>
            <w:sz w:val="22"/>
            <w:szCs w:val="22"/>
            <w:lang w:val="cs-CZ" w:eastAsia="cs-CZ"/>
          </w:rPr>
          <w:tab/>
        </w:r>
        <w:r w:rsidRPr="00354A74">
          <w:rPr>
            <w:rStyle w:val="Hypertextovodkaz"/>
            <w:noProof/>
          </w:rPr>
          <w:t>Celkové roční emise NH</w:t>
        </w:r>
        <w:r w:rsidRPr="00354A74">
          <w:rPr>
            <w:rStyle w:val="Hypertextovodkaz"/>
            <w:noProof/>
            <w:vertAlign w:val="subscript"/>
          </w:rPr>
          <w:t>3</w:t>
        </w:r>
        <w:r w:rsidRPr="00354A74">
          <w:rPr>
            <w:rStyle w:val="Hypertextovodkaz"/>
            <w:noProof/>
          </w:rPr>
          <w:t xml:space="preserve"> z minerálních dusíkatých hnojiv v ČR v letech 2009 - 2018</w:t>
        </w:r>
        <w:r>
          <w:rPr>
            <w:noProof/>
            <w:webHidden/>
          </w:rPr>
          <w:tab/>
        </w:r>
        <w:r>
          <w:rPr>
            <w:noProof/>
            <w:webHidden/>
          </w:rPr>
          <w:fldChar w:fldCharType="begin"/>
        </w:r>
        <w:r>
          <w:rPr>
            <w:noProof/>
            <w:webHidden/>
          </w:rPr>
          <w:instrText xml:space="preserve"> PAGEREF _Toc94181569 \h </w:instrText>
        </w:r>
        <w:r>
          <w:rPr>
            <w:noProof/>
            <w:webHidden/>
          </w:rPr>
        </w:r>
        <w:r>
          <w:rPr>
            <w:noProof/>
            <w:webHidden/>
          </w:rPr>
          <w:fldChar w:fldCharType="separate"/>
        </w:r>
        <w:r>
          <w:rPr>
            <w:noProof/>
            <w:webHidden/>
          </w:rPr>
          <w:t>20</w:t>
        </w:r>
        <w:r>
          <w:rPr>
            <w:noProof/>
            <w:webHidden/>
          </w:rPr>
          <w:fldChar w:fldCharType="end"/>
        </w:r>
      </w:hyperlink>
    </w:p>
    <w:p w14:paraId="0BF3ECFB" w14:textId="5AF2A009" w:rsidR="00315A11" w:rsidRDefault="00315A11">
      <w:pPr>
        <w:pStyle w:val="Obsah4"/>
        <w:rPr>
          <w:rFonts w:asciiTheme="minorHAnsi" w:eastAsiaTheme="minorEastAsia" w:hAnsiTheme="minorHAnsi"/>
          <w:noProof/>
          <w:sz w:val="22"/>
          <w:szCs w:val="22"/>
          <w:lang w:val="cs-CZ" w:eastAsia="cs-CZ"/>
        </w:rPr>
      </w:pPr>
      <w:hyperlink w:anchor="_Toc94181570" w:history="1">
        <w:r w:rsidRPr="00354A74">
          <w:rPr>
            <w:rStyle w:val="Hypertextovodkaz"/>
            <w:noProof/>
          </w:rPr>
          <w:t>Tabulka 19</w:t>
        </w:r>
        <w:r>
          <w:rPr>
            <w:rFonts w:asciiTheme="minorHAnsi" w:eastAsiaTheme="minorEastAsia" w:hAnsiTheme="minorHAnsi"/>
            <w:noProof/>
            <w:sz w:val="22"/>
            <w:szCs w:val="22"/>
            <w:lang w:val="cs-CZ" w:eastAsia="cs-CZ"/>
          </w:rPr>
          <w:tab/>
        </w:r>
        <w:r w:rsidRPr="00354A74">
          <w:rPr>
            <w:rStyle w:val="Hypertextovodkaz"/>
            <w:noProof/>
          </w:rPr>
          <w:t>Celkové roční emise NH</w:t>
        </w:r>
        <w:r w:rsidRPr="00354A74">
          <w:rPr>
            <w:rStyle w:val="Hypertextovodkaz"/>
            <w:noProof/>
            <w:vertAlign w:val="subscript"/>
          </w:rPr>
          <w:t>3</w:t>
        </w:r>
        <w:r w:rsidRPr="00354A74">
          <w:rPr>
            <w:rStyle w:val="Hypertextovodkaz"/>
            <w:noProof/>
          </w:rPr>
          <w:t xml:space="preserve"> ze zemědělství v ČR v letech 2009 - 2018</w:t>
        </w:r>
        <w:r>
          <w:rPr>
            <w:noProof/>
            <w:webHidden/>
          </w:rPr>
          <w:tab/>
        </w:r>
        <w:r>
          <w:rPr>
            <w:noProof/>
            <w:webHidden/>
          </w:rPr>
          <w:fldChar w:fldCharType="begin"/>
        </w:r>
        <w:r>
          <w:rPr>
            <w:noProof/>
            <w:webHidden/>
          </w:rPr>
          <w:instrText xml:space="preserve"> PAGEREF _Toc94181570 \h </w:instrText>
        </w:r>
        <w:r>
          <w:rPr>
            <w:noProof/>
            <w:webHidden/>
          </w:rPr>
        </w:r>
        <w:r>
          <w:rPr>
            <w:noProof/>
            <w:webHidden/>
          </w:rPr>
          <w:fldChar w:fldCharType="separate"/>
        </w:r>
        <w:r>
          <w:rPr>
            <w:noProof/>
            <w:webHidden/>
          </w:rPr>
          <w:t>20</w:t>
        </w:r>
        <w:r>
          <w:rPr>
            <w:noProof/>
            <w:webHidden/>
          </w:rPr>
          <w:fldChar w:fldCharType="end"/>
        </w:r>
      </w:hyperlink>
    </w:p>
    <w:p w14:paraId="27D70FE2" w14:textId="0BCF86BF" w:rsidR="00315A11" w:rsidRDefault="00315A11">
      <w:pPr>
        <w:pStyle w:val="Obsah4"/>
        <w:rPr>
          <w:rFonts w:asciiTheme="minorHAnsi" w:eastAsiaTheme="minorEastAsia" w:hAnsiTheme="minorHAnsi"/>
          <w:noProof/>
          <w:sz w:val="22"/>
          <w:szCs w:val="22"/>
          <w:lang w:val="cs-CZ" w:eastAsia="cs-CZ"/>
        </w:rPr>
      </w:pPr>
      <w:hyperlink w:anchor="_Toc94181571" w:history="1">
        <w:r w:rsidRPr="00354A74">
          <w:rPr>
            <w:rStyle w:val="Hypertextovodkaz"/>
            <w:noProof/>
          </w:rPr>
          <w:t>Tabulka 20</w:t>
        </w:r>
        <w:r>
          <w:rPr>
            <w:rFonts w:asciiTheme="minorHAnsi" w:eastAsiaTheme="minorEastAsia" w:hAnsiTheme="minorHAnsi"/>
            <w:noProof/>
            <w:sz w:val="22"/>
            <w:szCs w:val="22"/>
            <w:lang w:val="cs-CZ" w:eastAsia="cs-CZ"/>
          </w:rPr>
          <w:tab/>
        </w:r>
        <w:r w:rsidRPr="00354A74">
          <w:rPr>
            <w:rStyle w:val="Hypertextovodkaz"/>
            <w:noProof/>
          </w:rPr>
          <w:t>Change in ammonia emissions compared to 2005</w:t>
        </w:r>
        <w:r>
          <w:rPr>
            <w:noProof/>
            <w:webHidden/>
          </w:rPr>
          <w:tab/>
        </w:r>
        <w:r>
          <w:rPr>
            <w:noProof/>
            <w:webHidden/>
          </w:rPr>
          <w:fldChar w:fldCharType="begin"/>
        </w:r>
        <w:r>
          <w:rPr>
            <w:noProof/>
            <w:webHidden/>
          </w:rPr>
          <w:instrText xml:space="preserve"> PAGEREF _Toc94181571 \h </w:instrText>
        </w:r>
        <w:r>
          <w:rPr>
            <w:noProof/>
            <w:webHidden/>
          </w:rPr>
        </w:r>
        <w:r>
          <w:rPr>
            <w:noProof/>
            <w:webHidden/>
          </w:rPr>
          <w:fldChar w:fldCharType="separate"/>
        </w:r>
        <w:r>
          <w:rPr>
            <w:noProof/>
            <w:webHidden/>
          </w:rPr>
          <w:t>20</w:t>
        </w:r>
        <w:r>
          <w:rPr>
            <w:noProof/>
            <w:webHidden/>
          </w:rPr>
          <w:fldChar w:fldCharType="end"/>
        </w:r>
      </w:hyperlink>
    </w:p>
    <w:p w14:paraId="00891B82" w14:textId="2899068E" w:rsidR="00315A11" w:rsidRDefault="00315A11">
      <w:pPr>
        <w:pStyle w:val="Obsah4"/>
        <w:rPr>
          <w:rFonts w:asciiTheme="minorHAnsi" w:eastAsiaTheme="minorEastAsia" w:hAnsiTheme="minorHAnsi"/>
          <w:noProof/>
          <w:sz w:val="22"/>
          <w:szCs w:val="22"/>
          <w:lang w:val="cs-CZ" w:eastAsia="cs-CZ"/>
        </w:rPr>
      </w:pPr>
      <w:hyperlink w:anchor="_Toc94181572" w:history="1">
        <w:r w:rsidRPr="00354A74">
          <w:rPr>
            <w:rStyle w:val="Hypertextovodkaz"/>
            <w:noProof/>
          </w:rPr>
          <w:t>Tabulka 21</w:t>
        </w:r>
        <w:r>
          <w:rPr>
            <w:rFonts w:asciiTheme="minorHAnsi" w:eastAsiaTheme="minorEastAsia" w:hAnsiTheme="minorHAnsi"/>
            <w:noProof/>
            <w:sz w:val="22"/>
            <w:szCs w:val="22"/>
            <w:lang w:val="cs-CZ" w:eastAsia="cs-CZ"/>
          </w:rPr>
          <w:tab/>
        </w:r>
        <w:r w:rsidRPr="00354A74">
          <w:rPr>
            <w:rStyle w:val="Hypertextovodkaz"/>
            <w:noProof/>
          </w:rPr>
          <w:t>Obsah organického uhlíku v orné půdě (ČR)</w:t>
        </w:r>
        <w:r>
          <w:rPr>
            <w:noProof/>
            <w:webHidden/>
          </w:rPr>
          <w:tab/>
        </w:r>
        <w:r>
          <w:rPr>
            <w:noProof/>
            <w:webHidden/>
          </w:rPr>
          <w:fldChar w:fldCharType="begin"/>
        </w:r>
        <w:r>
          <w:rPr>
            <w:noProof/>
            <w:webHidden/>
          </w:rPr>
          <w:instrText xml:space="preserve"> PAGEREF _Toc94181572 \h </w:instrText>
        </w:r>
        <w:r>
          <w:rPr>
            <w:noProof/>
            <w:webHidden/>
          </w:rPr>
        </w:r>
        <w:r>
          <w:rPr>
            <w:noProof/>
            <w:webHidden/>
          </w:rPr>
          <w:fldChar w:fldCharType="separate"/>
        </w:r>
        <w:r>
          <w:rPr>
            <w:noProof/>
            <w:webHidden/>
          </w:rPr>
          <w:t>20</w:t>
        </w:r>
        <w:r>
          <w:rPr>
            <w:noProof/>
            <w:webHidden/>
          </w:rPr>
          <w:fldChar w:fldCharType="end"/>
        </w:r>
      </w:hyperlink>
    </w:p>
    <w:p w14:paraId="26F10BDE" w14:textId="775B8E4A" w:rsidR="00315A11" w:rsidRDefault="00315A11">
      <w:pPr>
        <w:pStyle w:val="Obsah4"/>
        <w:rPr>
          <w:rFonts w:asciiTheme="minorHAnsi" w:eastAsiaTheme="minorEastAsia" w:hAnsiTheme="minorHAnsi"/>
          <w:noProof/>
          <w:sz w:val="22"/>
          <w:szCs w:val="22"/>
          <w:lang w:val="cs-CZ" w:eastAsia="cs-CZ"/>
        </w:rPr>
      </w:pPr>
      <w:hyperlink w:anchor="_Toc94181573" w:history="1">
        <w:r w:rsidRPr="00354A74">
          <w:rPr>
            <w:rStyle w:val="Hypertextovodkaz"/>
            <w:noProof/>
          </w:rPr>
          <w:t>Tabulka 22</w:t>
        </w:r>
        <w:r>
          <w:rPr>
            <w:rFonts w:asciiTheme="minorHAnsi" w:eastAsiaTheme="minorEastAsia" w:hAnsiTheme="minorHAnsi"/>
            <w:noProof/>
            <w:sz w:val="22"/>
            <w:szCs w:val="22"/>
            <w:lang w:val="cs-CZ" w:eastAsia="cs-CZ"/>
          </w:rPr>
          <w:tab/>
        </w:r>
        <w:r w:rsidRPr="00354A74">
          <w:rPr>
            <w:rStyle w:val="Hypertextovodkaz"/>
            <w:noProof/>
          </w:rPr>
          <w:t>Výroba obnovitelné energie v zemědělství v ČR v letech 2009 - 2018</w:t>
        </w:r>
        <w:r>
          <w:rPr>
            <w:noProof/>
            <w:webHidden/>
          </w:rPr>
          <w:tab/>
        </w:r>
        <w:r>
          <w:rPr>
            <w:noProof/>
            <w:webHidden/>
          </w:rPr>
          <w:fldChar w:fldCharType="begin"/>
        </w:r>
        <w:r>
          <w:rPr>
            <w:noProof/>
            <w:webHidden/>
          </w:rPr>
          <w:instrText xml:space="preserve"> PAGEREF _Toc94181573 \h </w:instrText>
        </w:r>
        <w:r>
          <w:rPr>
            <w:noProof/>
            <w:webHidden/>
          </w:rPr>
        </w:r>
        <w:r>
          <w:rPr>
            <w:noProof/>
            <w:webHidden/>
          </w:rPr>
          <w:fldChar w:fldCharType="separate"/>
        </w:r>
        <w:r>
          <w:rPr>
            <w:noProof/>
            <w:webHidden/>
          </w:rPr>
          <w:t>22</w:t>
        </w:r>
        <w:r>
          <w:rPr>
            <w:noProof/>
            <w:webHidden/>
          </w:rPr>
          <w:fldChar w:fldCharType="end"/>
        </w:r>
      </w:hyperlink>
    </w:p>
    <w:p w14:paraId="0860FBA0" w14:textId="193944C2" w:rsidR="00315A11" w:rsidRDefault="00315A11">
      <w:pPr>
        <w:pStyle w:val="Obsah4"/>
        <w:rPr>
          <w:rFonts w:asciiTheme="minorHAnsi" w:eastAsiaTheme="minorEastAsia" w:hAnsiTheme="minorHAnsi"/>
          <w:noProof/>
          <w:sz w:val="22"/>
          <w:szCs w:val="22"/>
          <w:lang w:val="cs-CZ" w:eastAsia="cs-CZ"/>
        </w:rPr>
      </w:pPr>
      <w:hyperlink w:anchor="_Toc94181574" w:history="1">
        <w:r w:rsidRPr="00354A74">
          <w:rPr>
            <w:rStyle w:val="Hypertextovodkaz"/>
            <w:noProof/>
          </w:rPr>
          <w:t>Tabulka 23</w:t>
        </w:r>
        <w:r>
          <w:rPr>
            <w:rFonts w:asciiTheme="minorHAnsi" w:eastAsiaTheme="minorEastAsia" w:hAnsiTheme="minorHAnsi"/>
            <w:noProof/>
            <w:sz w:val="22"/>
            <w:szCs w:val="22"/>
            <w:lang w:val="cs-CZ" w:eastAsia="cs-CZ"/>
          </w:rPr>
          <w:tab/>
        </w:r>
        <w:r w:rsidRPr="00354A74">
          <w:rPr>
            <w:rStyle w:val="Hypertextovodkaz"/>
            <w:noProof/>
          </w:rPr>
          <w:t>Podíl výroby obnovitelné energie v zemědělství v ČR v letech 2009 - 2018</w:t>
        </w:r>
        <w:r>
          <w:rPr>
            <w:noProof/>
            <w:webHidden/>
          </w:rPr>
          <w:tab/>
        </w:r>
        <w:r>
          <w:rPr>
            <w:noProof/>
            <w:webHidden/>
          </w:rPr>
          <w:fldChar w:fldCharType="begin"/>
        </w:r>
        <w:r>
          <w:rPr>
            <w:noProof/>
            <w:webHidden/>
          </w:rPr>
          <w:instrText xml:space="preserve"> PAGEREF _Toc94181574 \h </w:instrText>
        </w:r>
        <w:r>
          <w:rPr>
            <w:noProof/>
            <w:webHidden/>
          </w:rPr>
        </w:r>
        <w:r>
          <w:rPr>
            <w:noProof/>
            <w:webHidden/>
          </w:rPr>
          <w:fldChar w:fldCharType="separate"/>
        </w:r>
        <w:r>
          <w:rPr>
            <w:noProof/>
            <w:webHidden/>
          </w:rPr>
          <w:t>23</w:t>
        </w:r>
        <w:r>
          <w:rPr>
            <w:noProof/>
            <w:webHidden/>
          </w:rPr>
          <w:fldChar w:fldCharType="end"/>
        </w:r>
      </w:hyperlink>
    </w:p>
    <w:p w14:paraId="0BA1DC0B" w14:textId="4E7C0AF5" w:rsidR="00315A11" w:rsidRDefault="00315A11">
      <w:pPr>
        <w:pStyle w:val="Obsah4"/>
        <w:rPr>
          <w:rFonts w:asciiTheme="minorHAnsi" w:eastAsiaTheme="minorEastAsia" w:hAnsiTheme="minorHAnsi"/>
          <w:noProof/>
          <w:sz w:val="22"/>
          <w:szCs w:val="22"/>
          <w:lang w:val="cs-CZ" w:eastAsia="cs-CZ"/>
        </w:rPr>
      </w:pPr>
      <w:hyperlink w:anchor="_Toc94181575" w:history="1">
        <w:r w:rsidRPr="00354A74">
          <w:rPr>
            <w:rStyle w:val="Hypertextovodkaz"/>
            <w:noProof/>
          </w:rPr>
          <w:t>Tabulka 24</w:t>
        </w:r>
        <w:r>
          <w:rPr>
            <w:rFonts w:asciiTheme="minorHAnsi" w:eastAsiaTheme="minorEastAsia" w:hAnsiTheme="minorHAnsi"/>
            <w:noProof/>
            <w:sz w:val="22"/>
            <w:szCs w:val="22"/>
            <w:lang w:val="cs-CZ" w:eastAsia="cs-CZ"/>
          </w:rPr>
          <w:tab/>
        </w:r>
        <w:r w:rsidRPr="00354A74">
          <w:rPr>
            <w:rStyle w:val="Hypertextovodkaz"/>
            <w:noProof/>
          </w:rPr>
          <w:t>Výroba obnovitelné energie v lesnictví v ČR v letech 2009 - 2018</w:t>
        </w:r>
        <w:r>
          <w:rPr>
            <w:noProof/>
            <w:webHidden/>
          </w:rPr>
          <w:tab/>
        </w:r>
        <w:r>
          <w:rPr>
            <w:noProof/>
            <w:webHidden/>
          </w:rPr>
          <w:fldChar w:fldCharType="begin"/>
        </w:r>
        <w:r>
          <w:rPr>
            <w:noProof/>
            <w:webHidden/>
          </w:rPr>
          <w:instrText xml:space="preserve"> PAGEREF _Toc94181575 \h </w:instrText>
        </w:r>
        <w:r>
          <w:rPr>
            <w:noProof/>
            <w:webHidden/>
          </w:rPr>
        </w:r>
        <w:r>
          <w:rPr>
            <w:noProof/>
            <w:webHidden/>
          </w:rPr>
          <w:fldChar w:fldCharType="separate"/>
        </w:r>
        <w:r>
          <w:rPr>
            <w:noProof/>
            <w:webHidden/>
          </w:rPr>
          <w:t>23</w:t>
        </w:r>
        <w:r>
          <w:rPr>
            <w:noProof/>
            <w:webHidden/>
          </w:rPr>
          <w:fldChar w:fldCharType="end"/>
        </w:r>
      </w:hyperlink>
    </w:p>
    <w:p w14:paraId="5B834296" w14:textId="367532F7" w:rsidR="00315A11" w:rsidRDefault="00315A11">
      <w:pPr>
        <w:pStyle w:val="Obsah4"/>
        <w:rPr>
          <w:rFonts w:asciiTheme="minorHAnsi" w:eastAsiaTheme="minorEastAsia" w:hAnsiTheme="minorHAnsi"/>
          <w:noProof/>
          <w:sz w:val="22"/>
          <w:szCs w:val="22"/>
          <w:lang w:val="cs-CZ" w:eastAsia="cs-CZ"/>
        </w:rPr>
      </w:pPr>
      <w:hyperlink w:anchor="_Toc94181576" w:history="1">
        <w:r w:rsidRPr="00354A74">
          <w:rPr>
            <w:rStyle w:val="Hypertextovodkaz"/>
            <w:noProof/>
          </w:rPr>
          <w:t>Tabulka 25</w:t>
        </w:r>
        <w:r>
          <w:rPr>
            <w:rFonts w:asciiTheme="minorHAnsi" w:eastAsiaTheme="minorEastAsia" w:hAnsiTheme="minorHAnsi"/>
            <w:noProof/>
            <w:sz w:val="22"/>
            <w:szCs w:val="22"/>
            <w:lang w:val="cs-CZ" w:eastAsia="cs-CZ"/>
          </w:rPr>
          <w:tab/>
        </w:r>
        <w:r w:rsidRPr="00354A74">
          <w:rPr>
            <w:rStyle w:val="Hypertextovodkaz"/>
            <w:noProof/>
          </w:rPr>
          <w:t>Podíl výroby obnovitelné energie v lesnictví v ČR v letech 2009 - 2018</w:t>
        </w:r>
        <w:r>
          <w:rPr>
            <w:noProof/>
            <w:webHidden/>
          </w:rPr>
          <w:tab/>
        </w:r>
        <w:r>
          <w:rPr>
            <w:noProof/>
            <w:webHidden/>
          </w:rPr>
          <w:fldChar w:fldCharType="begin"/>
        </w:r>
        <w:r>
          <w:rPr>
            <w:noProof/>
            <w:webHidden/>
          </w:rPr>
          <w:instrText xml:space="preserve"> PAGEREF _Toc94181576 \h </w:instrText>
        </w:r>
        <w:r>
          <w:rPr>
            <w:noProof/>
            <w:webHidden/>
          </w:rPr>
        </w:r>
        <w:r>
          <w:rPr>
            <w:noProof/>
            <w:webHidden/>
          </w:rPr>
          <w:fldChar w:fldCharType="separate"/>
        </w:r>
        <w:r>
          <w:rPr>
            <w:noProof/>
            <w:webHidden/>
          </w:rPr>
          <w:t>23</w:t>
        </w:r>
        <w:r>
          <w:rPr>
            <w:noProof/>
            <w:webHidden/>
          </w:rPr>
          <w:fldChar w:fldCharType="end"/>
        </w:r>
      </w:hyperlink>
    </w:p>
    <w:p w14:paraId="559E599B" w14:textId="4D128C82" w:rsidR="00315A11" w:rsidRDefault="00315A11">
      <w:pPr>
        <w:pStyle w:val="Obsah4"/>
        <w:rPr>
          <w:rFonts w:asciiTheme="minorHAnsi" w:eastAsiaTheme="minorEastAsia" w:hAnsiTheme="minorHAnsi"/>
          <w:noProof/>
          <w:sz w:val="22"/>
          <w:szCs w:val="22"/>
          <w:lang w:val="cs-CZ" w:eastAsia="cs-CZ"/>
        </w:rPr>
      </w:pPr>
      <w:hyperlink w:anchor="_Toc94181577" w:history="1">
        <w:r w:rsidRPr="00354A74">
          <w:rPr>
            <w:rStyle w:val="Hypertextovodkaz"/>
            <w:noProof/>
          </w:rPr>
          <w:t>Tabulka 26</w:t>
        </w:r>
        <w:r>
          <w:rPr>
            <w:rFonts w:asciiTheme="minorHAnsi" w:eastAsiaTheme="minorEastAsia" w:hAnsiTheme="minorHAnsi"/>
            <w:noProof/>
            <w:sz w:val="22"/>
            <w:szCs w:val="22"/>
            <w:lang w:val="cs-CZ" w:eastAsia="cs-CZ"/>
          </w:rPr>
          <w:tab/>
        </w:r>
        <w:r w:rsidRPr="00354A74">
          <w:rPr>
            <w:rStyle w:val="Hypertextovodkaz"/>
            <w:noProof/>
          </w:rPr>
          <w:t>Celková výroba obnovitelné energie v ČR v letech 2009 - 2018</w:t>
        </w:r>
        <w:r>
          <w:rPr>
            <w:noProof/>
            <w:webHidden/>
          </w:rPr>
          <w:tab/>
        </w:r>
        <w:r>
          <w:rPr>
            <w:noProof/>
            <w:webHidden/>
          </w:rPr>
          <w:fldChar w:fldCharType="begin"/>
        </w:r>
        <w:r>
          <w:rPr>
            <w:noProof/>
            <w:webHidden/>
          </w:rPr>
          <w:instrText xml:space="preserve"> PAGEREF _Toc94181577 \h </w:instrText>
        </w:r>
        <w:r>
          <w:rPr>
            <w:noProof/>
            <w:webHidden/>
          </w:rPr>
        </w:r>
        <w:r>
          <w:rPr>
            <w:noProof/>
            <w:webHidden/>
          </w:rPr>
          <w:fldChar w:fldCharType="separate"/>
        </w:r>
        <w:r>
          <w:rPr>
            <w:noProof/>
            <w:webHidden/>
          </w:rPr>
          <w:t>23</w:t>
        </w:r>
        <w:r>
          <w:rPr>
            <w:noProof/>
            <w:webHidden/>
          </w:rPr>
          <w:fldChar w:fldCharType="end"/>
        </w:r>
      </w:hyperlink>
    </w:p>
    <w:p w14:paraId="36E0810D" w14:textId="61C45CCA" w:rsidR="00315A11" w:rsidRDefault="00315A11">
      <w:pPr>
        <w:pStyle w:val="Obsah4"/>
        <w:rPr>
          <w:rFonts w:asciiTheme="minorHAnsi" w:eastAsiaTheme="minorEastAsia" w:hAnsiTheme="minorHAnsi"/>
          <w:noProof/>
          <w:sz w:val="22"/>
          <w:szCs w:val="22"/>
          <w:lang w:val="cs-CZ" w:eastAsia="cs-CZ"/>
        </w:rPr>
      </w:pPr>
      <w:hyperlink w:anchor="_Toc94181578" w:history="1">
        <w:r w:rsidRPr="00354A74">
          <w:rPr>
            <w:rStyle w:val="Hypertextovodkaz"/>
            <w:noProof/>
          </w:rPr>
          <w:t>Tabulka 27</w:t>
        </w:r>
        <w:r>
          <w:rPr>
            <w:rFonts w:asciiTheme="minorHAnsi" w:eastAsiaTheme="minorEastAsia" w:hAnsiTheme="minorHAnsi"/>
            <w:noProof/>
            <w:sz w:val="22"/>
            <w:szCs w:val="22"/>
            <w:lang w:val="cs-CZ" w:eastAsia="cs-CZ"/>
          </w:rPr>
          <w:tab/>
        </w:r>
        <w:r w:rsidRPr="00354A74">
          <w:rPr>
            <w:rStyle w:val="Hypertextovodkaz"/>
            <w:noProof/>
          </w:rPr>
          <w:t>Share of the combined production of renewable energy from agricultural and forestry biomass</w:t>
        </w:r>
        <w:r>
          <w:rPr>
            <w:noProof/>
            <w:webHidden/>
          </w:rPr>
          <w:tab/>
        </w:r>
        <w:r>
          <w:rPr>
            <w:noProof/>
            <w:webHidden/>
          </w:rPr>
          <w:fldChar w:fldCharType="begin"/>
        </w:r>
        <w:r>
          <w:rPr>
            <w:noProof/>
            <w:webHidden/>
          </w:rPr>
          <w:instrText xml:space="preserve"> PAGEREF _Toc94181578 \h </w:instrText>
        </w:r>
        <w:r>
          <w:rPr>
            <w:noProof/>
            <w:webHidden/>
          </w:rPr>
        </w:r>
        <w:r>
          <w:rPr>
            <w:noProof/>
            <w:webHidden/>
          </w:rPr>
          <w:fldChar w:fldCharType="separate"/>
        </w:r>
        <w:r>
          <w:rPr>
            <w:noProof/>
            <w:webHidden/>
          </w:rPr>
          <w:t>23</w:t>
        </w:r>
        <w:r>
          <w:rPr>
            <w:noProof/>
            <w:webHidden/>
          </w:rPr>
          <w:fldChar w:fldCharType="end"/>
        </w:r>
      </w:hyperlink>
    </w:p>
    <w:p w14:paraId="5DC39F38" w14:textId="32C03482" w:rsidR="00315A11" w:rsidRDefault="00315A11">
      <w:pPr>
        <w:pStyle w:val="Obsah4"/>
        <w:rPr>
          <w:rFonts w:asciiTheme="minorHAnsi" w:eastAsiaTheme="minorEastAsia" w:hAnsiTheme="minorHAnsi"/>
          <w:noProof/>
          <w:sz w:val="22"/>
          <w:szCs w:val="22"/>
          <w:lang w:val="cs-CZ" w:eastAsia="cs-CZ"/>
        </w:rPr>
      </w:pPr>
      <w:hyperlink w:anchor="_Toc94181579" w:history="1">
        <w:r w:rsidRPr="00354A74">
          <w:rPr>
            <w:rStyle w:val="Hypertextovodkaz"/>
            <w:noProof/>
          </w:rPr>
          <w:t>Tabulka 28</w:t>
        </w:r>
        <w:r>
          <w:rPr>
            <w:rFonts w:asciiTheme="minorHAnsi" w:eastAsiaTheme="minorEastAsia" w:hAnsiTheme="minorHAnsi"/>
            <w:noProof/>
            <w:sz w:val="22"/>
            <w:szCs w:val="22"/>
            <w:lang w:val="cs-CZ" w:eastAsia="cs-CZ"/>
          </w:rPr>
          <w:tab/>
        </w:r>
        <w:r w:rsidRPr="00354A74">
          <w:rPr>
            <w:rStyle w:val="Hypertextovodkaz"/>
            <w:noProof/>
          </w:rPr>
          <w:t>Přímá spotřeba energie v zemědělství a lesnictví v ČR v letech 2009 - 2018</w:t>
        </w:r>
        <w:r>
          <w:rPr>
            <w:noProof/>
            <w:webHidden/>
          </w:rPr>
          <w:tab/>
        </w:r>
        <w:r>
          <w:rPr>
            <w:noProof/>
            <w:webHidden/>
          </w:rPr>
          <w:fldChar w:fldCharType="begin"/>
        </w:r>
        <w:r>
          <w:rPr>
            <w:noProof/>
            <w:webHidden/>
          </w:rPr>
          <w:instrText xml:space="preserve"> PAGEREF _Toc94181579 \h </w:instrText>
        </w:r>
        <w:r>
          <w:rPr>
            <w:noProof/>
            <w:webHidden/>
          </w:rPr>
        </w:r>
        <w:r>
          <w:rPr>
            <w:noProof/>
            <w:webHidden/>
          </w:rPr>
          <w:fldChar w:fldCharType="separate"/>
        </w:r>
        <w:r>
          <w:rPr>
            <w:noProof/>
            <w:webHidden/>
          </w:rPr>
          <w:t>23</w:t>
        </w:r>
        <w:r>
          <w:rPr>
            <w:noProof/>
            <w:webHidden/>
          </w:rPr>
          <w:fldChar w:fldCharType="end"/>
        </w:r>
      </w:hyperlink>
    </w:p>
    <w:p w14:paraId="34C01CD5" w14:textId="38A342A7" w:rsidR="00315A11" w:rsidRDefault="00315A11">
      <w:pPr>
        <w:pStyle w:val="Obsah4"/>
        <w:rPr>
          <w:rFonts w:asciiTheme="minorHAnsi" w:eastAsiaTheme="minorEastAsia" w:hAnsiTheme="minorHAnsi"/>
          <w:noProof/>
          <w:sz w:val="22"/>
          <w:szCs w:val="22"/>
          <w:lang w:val="cs-CZ" w:eastAsia="cs-CZ"/>
        </w:rPr>
      </w:pPr>
      <w:hyperlink w:anchor="_Toc94181580" w:history="1">
        <w:r w:rsidRPr="00354A74">
          <w:rPr>
            <w:rStyle w:val="Hypertextovodkaz"/>
            <w:noProof/>
          </w:rPr>
          <w:t>Tabulka 29</w:t>
        </w:r>
        <w:r>
          <w:rPr>
            <w:rFonts w:asciiTheme="minorHAnsi" w:eastAsiaTheme="minorEastAsia" w:hAnsiTheme="minorHAnsi"/>
            <w:noProof/>
            <w:sz w:val="22"/>
            <w:szCs w:val="22"/>
            <w:lang w:val="cs-CZ" w:eastAsia="cs-CZ"/>
          </w:rPr>
          <w:tab/>
        </w:r>
        <w:r w:rsidRPr="00354A74">
          <w:rPr>
            <w:rStyle w:val="Hypertextovodkaz"/>
            <w:noProof/>
          </w:rPr>
          <w:t>Podíl zemědělství a lesnictví na celkové konečné spotřebě energie v ČR v letech 2009 - 2018</w:t>
        </w:r>
        <w:r>
          <w:rPr>
            <w:noProof/>
            <w:webHidden/>
          </w:rPr>
          <w:tab/>
        </w:r>
        <w:r>
          <w:rPr>
            <w:noProof/>
            <w:webHidden/>
          </w:rPr>
          <w:fldChar w:fldCharType="begin"/>
        </w:r>
        <w:r>
          <w:rPr>
            <w:noProof/>
            <w:webHidden/>
          </w:rPr>
          <w:instrText xml:space="preserve"> PAGEREF _Toc94181580 \h </w:instrText>
        </w:r>
        <w:r>
          <w:rPr>
            <w:noProof/>
            <w:webHidden/>
          </w:rPr>
        </w:r>
        <w:r>
          <w:rPr>
            <w:noProof/>
            <w:webHidden/>
          </w:rPr>
          <w:fldChar w:fldCharType="separate"/>
        </w:r>
        <w:r>
          <w:rPr>
            <w:noProof/>
            <w:webHidden/>
          </w:rPr>
          <w:t>24</w:t>
        </w:r>
        <w:r>
          <w:rPr>
            <w:noProof/>
            <w:webHidden/>
          </w:rPr>
          <w:fldChar w:fldCharType="end"/>
        </w:r>
      </w:hyperlink>
    </w:p>
    <w:p w14:paraId="491EEA06" w14:textId="0BF72C38" w:rsidR="00315A11" w:rsidRDefault="00315A11">
      <w:pPr>
        <w:pStyle w:val="Obsah4"/>
        <w:rPr>
          <w:rFonts w:asciiTheme="minorHAnsi" w:eastAsiaTheme="minorEastAsia" w:hAnsiTheme="minorHAnsi"/>
          <w:noProof/>
          <w:sz w:val="22"/>
          <w:szCs w:val="22"/>
          <w:lang w:val="cs-CZ" w:eastAsia="cs-CZ"/>
        </w:rPr>
      </w:pPr>
      <w:hyperlink w:anchor="_Toc94181581" w:history="1">
        <w:r w:rsidRPr="00354A74">
          <w:rPr>
            <w:rStyle w:val="Hypertextovodkaz"/>
            <w:noProof/>
          </w:rPr>
          <w:t>Tabulka 30</w:t>
        </w:r>
        <w:r>
          <w:rPr>
            <w:rFonts w:asciiTheme="minorHAnsi" w:eastAsiaTheme="minorEastAsia" w:hAnsiTheme="minorHAnsi"/>
            <w:noProof/>
            <w:sz w:val="22"/>
            <w:szCs w:val="22"/>
            <w:lang w:val="cs-CZ" w:eastAsia="cs-CZ"/>
          </w:rPr>
          <w:tab/>
        </w:r>
        <w:r w:rsidRPr="00354A74">
          <w:rPr>
            <w:rStyle w:val="Hypertextovodkaz"/>
            <w:noProof/>
          </w:rPr>
          <w:t>Spotřeba energie zemědělství a lesnictví na ha obhospodařované nebo lesní půdy v ČR v letech 2009 - 2018</w:t>
        </w:r>
        <w:r>
          <w:rPr>
            <w:noProof/>
            <w:webHidden/>
          </w:rPr>
          <w:tab/>
        </w:r>
        <w:r>
          <w:rPr>
            <w:noProof/>
            <w:webHidden/>
          </w:rPr>
          <w:fldChar w:fldCharType="begin"/>
        </w:r>
        <w:r>
          <w:rPr>
            <w:noProof/>
            <w:webHidden/>
          </w:rPr>
          <w:instrText xml:space="preserve"> PAGEREF _Toc94181581 \h </w:instrText>
        </w:r>
        <w:r>
          <w:rPr>
            <w:noProof/>
            <w:webHidden/>
          </w:rPr>
        </w:r>
        <w:r>
          <w:rPr>
            <w:noProof/>
            <w:webHidden/>
          </w:rPr>
          <w:fldChar w:fldCharType="separate"/>
        </w:r>
        <w:r>
          <w:rPr>
            <w:noProof/>
            <w:webHidden/>
          </w:rPr>
          <w:t>24</w:t>
        </w:r>
        <w:r>
          <w:rPr>
            <w:noProof/>
            <w:webHidden/>
          </w:rPr>
          <w:fldChar w:fldCharType="end"/>
        </w:r>
      </w:hyperlink>
    </w:p>
    <w:p w14:paraId="4204CF6E" w14:textId="5BFBA2E3" w:rsidR="00315A11" w:rsidRDefault="00315A11">
      <w:pPr>
        <w:pStyle w:val="Obsah4"/>
        <w:rPr>
          <w:rFonts w:asciiTheme="minorHAnsi" w:eastAsiaTheme="minorEastAsia" w:hAnsiTheme="minorHAnsi"/>
          <w:noProof/>
          <w:sz w:val="22"/>
          <w:szCs w:val="22"/>
          <w:lang w:val="cs-CZ" w:eastAsia="cs-CZ"/>
        </w:rPr>
      </w:pPr>
      <w:hyperlink w:anchor="_Toc94181582" w:history="1">
        <w:r w:rsidRPr="00354A74">
          <w:rPr>
            <w:rStyle w:val="Hypertextovodkaz"/>
            <w:noProof/>
          </w:rPr>
          <w:t>Tabulka 31</w:t>
        </w:r>
        <w:r>
          <w:rPr>
            <w:rFonts w:asciiTheme="minorHAnsi" w:eastAsiaTheme="minorEastAsia" w:hAnsiTheme="minorHAnsi"/>
            <w:noProof/>
            <w:sz w:val="22"/>
            <w:szCs w:val="22"/>
            <w:lang w:val="cs-CZ" w:eastAsia="cs-CZ"/>
          </w:rPr>
          <w:tab/>
        </w:r>
        <w:r w:rsidRPr="00354A74">
          <w:rPr>
            <w:rStyle w:val="Hypertextovodkaz"/>
            <w:noProof/>
          </w:rPr>
          <w:t>Přímá spotřeba energie v potravinářství v ČR v letech 2009 - 2018</w:t>
        </w:r>
        <w:r>
          <w:rPr>
            <w:noProof/>
            <w:webHidden/>
          </w:rPr>
          <w:tab/>
        </w:r>
        <w:r>
          <w:rPr>
            <w:noProof/>
            <w:webHidden/>
          </w:rPr>
          <w:fldChar w:fldCharType="begin"/>
        </w:r>
        <w:r>
          <w:rPr>
            <w:noProof/>
            <w:webHidden/>
          </w:rPr>
          <w:instrText xml:space="preserve"> PAGEREF _Toc94181582 \h </w:instrText>
        </w:r>
        <w:r>
          <w:rPr>
            <w:noProof/>
            <w:webHidden/>
          </w:rPr>
        </w:r>
        <w:r>
          <w:rPr>
            <w:noProof/>
            <w:webHidden/>
          </w:rPr>
          <w:fldChar w:fldCharType="separate"/>
        </w:r>
        <w:r>
          <w:rPr>
            <w:noProof/>
            <w:webHidden/>
          </w:rPr>
          <w:t>24</w:t>
        </w:r>
        <w:r>
          <w:rPr>
            <w:noProof/>
            <w:webHidden/>
          </w:rPr>
          <w:fldChar w:fldCharType="end"/>
        </w:r>
      </w:hyperlink>
    </w:p>
    <w:p w14:paraId="4D969457" w14:textId="20EFED09" w:rsidR="00315A11" w:rsidRDefault="00315A11">
      <w:pPr>
        <w:pStyle w:val="Obsah4"/>
        <w:rPr>
          <w:rFonts w:asciiTheme="minorHAnsi" w:eastAsiaTheme="minorEastAsia" w:hAnsiTheme="minorHAnsi"/>
          <w:noProof/>
          <w:sz w:val="22"/>
          <w:szCs w:val="22"/>
          <w:lang w:val="cs-CZ" w:eastAsia="cs-CZ"/>
        </w:rPr>
      </w:pPr>
      <w:hyperlink w:anchor="_Toc94181583" w:history="1">
        <w:r w:rsidRPr="00354A74">
          <w:rPr>
            <w:rStyle w:val="Hypertextovodkaz"/>
            <w:noProof/>
          </w:rPr>
          <w:t>Tabulka 32</w:t>
        </w:r>
        <w:r>
          <w:rPr>
            <w:rFonts w:asciiTheme="minorHAnsi" w:eastAsiaTheme="minorEastAsia" w:hAnsiTheme="minorHAnsi"/>
            <w:noProof/>
            <w:sz w:val="22"/>
            <w:szCs w:val="22"/>
            <w:lang w:val="cs-CZ" w:eastAsia="cs-CZ"/>
          </w:rPr>
          <w:tab/>
        </w:r>
        <w:r w:rsidRPr="00354A74">
          <w:rPr>
            <w:rStyle w:val="Hypertextovodkaz"/>
            <w:noProof/>
          </w:rPr>
          <w:t>Podíl potravinářství na celkové konečné spotřebě energie v ČR v letech 2009 - 2018</w:t>
        </w:r>
        <w:r>
          <w:rPr>
            <w:noProof/>
            <w:webHidden/>
          </w:rPr>
          <w:tab/>
        </w:r>
        <w:r>
          <w:rPr>
            <w:noProof/>
            <w:webHidden/>
          </w:rPr>
          <w:fldChar w:fldCharType="begin"/>
        </w:r>
        <w:r>
          <w:rPr>
            <w:noProof/>
            <w:webHidden/>
          </w:rPr>
          <w:instrText xml:space="preserve"> PAGEREF _Toc94181583 \h </w:instrText>
        </w:r>
        <w:r>
          <w:rPr>
            <w:noProof/>
            <w:webHidden/>
          </w:rPr>
        </w:r>
        <w:r>
          <w:rPr>
            <w:noProof/>
            <w:webHidden/>
          </w:rPr>
          <w:fldChar w:fldCharType="separate"/>
        </w:r>
        <w:r>
          <w:rPr>
            <w:noProof/>
            <w:webHidden/>
          </w:rPr>
          <w:t>24</w:t>
        </w:r>
        <w:r>
          <w:rPr>
            <w:noProof/>
            <w:webHidden/>
          </w:rPr>
          <w:fldChar w:fldCharType="end"/>
        </w:r>
      </w:hyperlink>
    </w:p>
    <w:p w14:paraId="24C59E3B" w14:textId="44B5EA28" w:rsidR="00315A11" w:rsidRDefault="00315A11">
      <w:pPr>
        <w:pStyle w:val="Obsah4"/>
        <w:rPr>
          <w:rFonts w:asciiTheme="minorHAnsi" w:eastAsiaTheme="minorEastAsia" w:hAnsiTheme="minorHAnsi"/>
          <w:noProof/>
          <w:sz w:val="22"/>
          <w:szCs w:val="22"/>
          <w:lang w:val="cs-CZ" w:eastAsia="cs-CZ"/>
        </w:rPr>
      </w:pPr>
      <w:hyperlink w:anchor="_Toc94181584" w:history="1">
        <w:r w:rsidRPr="00354A74">
          <w:rPr>
            <w:rStyle w:val="Hypertextovodkaz"/>
            <w:rFonts w:eastAsia="Calibri"/>
            <w:noProof/>
          </w:rPr>
          <w:t>Tabulka 33</w:t>
        </w:r>
        <w:r>
          <w:rPr>
            <w:rFonts w:asciiTheme="minorHAnsi" w:eastAsiaTheme="minorEastAsia" w:hAnsiTheme="minorHAnsi"/>
            <w:noProof/>
            <w:sz w:val="22"/>
            <w:szCs w:val="22"/>
            <w:lang w:val="cs-CZ" w:eastAsia="cs-CZ"/>
          </w:rPr>
          <w:tab/>
        </w:r>
        <w:r w:rsidRPr="00354A74">
          <w:rPr>
            <w:rStyle w:val="Hypertextovodkaz"/>
            <w:rFonts w:eastAsia="Calibri"/>
            <w:noProof/>
          </w:rPr>
          <w:t>Délka LC ve vzdálenosti do 20 m od vodních toků</w:t>
        </w:r>
        <w:r>
          <w:rPr>
            <w:noProof/>
            <w:webHidden/>
          </w:rPr>
          <w:tab/>
        </w:r>
        <w:r>
          <w:rPr>
            <w:noProof/>
            <w:webHidden/>
          </w:rPr>
          <w:fldChar w:fldCharType="begin"/>
        </w:r>
        <w:r>
          <w:rPr>
            <w:noProof/>
            <w:webHidden/>
          </w:rPr>
          <w:instrText xml:space="preserve"> PAGEREF _Toc94181584 \h </w:instrText>
        </w:r>
        <w:r>
          <w:rPr>
            <w:noProof/>
            <w:webHidden/>
          </w:rPr>
        </w:r>
        <w:r>
          <w:rPr>
            <w:noProof/>
            <w:webHidden/>
          </w:rPr>
          <w:fldChar w:fldCharType="separate"/>
        </w:r>
        <w:r>
          <w:rPr>
            <w:noProof/>
            <w:webHidden/>
          </w:rPr>
          <w:t>45</w:t>
        </w:r>
        <w:r>
          <w:rPr>
            <w:noProof/>
            <w:webHidden/>
          </w:rPr>
          <w:fldChar w:fldCharType="end"/>
        </w:r>
      </w:hyperlink>
    </w:p>
    <w:p w14:paraId="4C5401FE" w14:textId="6E2CCAC5" w:rsidR="00315A11" w:rsidRDefault="00315A11">
      <w:pPr>
        <w:pStyle w:val="Obsah4"/>
        <w:rPr>
          <w:rFonts w:asciiTheme="minorHAnsi" w:eastAsiaTheme="minorEastAsia" w:hAnsiTheme="minorHAnsi"/>
          <w:noProof/>
          <w:sz w:val="22"/>
          <w:szCs w:val="22"/>
          <w:lang w:val="cs-CZ" w:eastAsia="cs-CZ"/>
        </w:rPr>
      </w:pPr>
      <w:hyperlink w:anchor="_Toc94181585" w:history="1">
        <w:r w:rsidRPr="00354A74">
          <w:rPr>
            <w:rStyle w:val="Hypertextovodkaz"/>
            <w:rFonts w:eastAsia="Calibri"/>
            <w:noProof/>
          </w:rPr>
          <w:t>Tabulka 34</w:t>
        </w:r>
        <w:r>
          <w:rPr>
            <w:rFonts w:asciiTheme="minorHAnsi" w:eastAsiaTheme="minorEastAsia" w:hAnsiTheme="minorHAnsi"/>
            <w:noProof/>
            <w:sz w:val="22"/>
            <w:szCs w:val="22"/>
            <w:lang w:val="cs-CZ" w:eastAsia="cs-CZ"/>
          </w:rPr>
          <w:tab/>
        </w:r>
        <w:r w:rsidRPr="00354A74">
          <w:rPr>
            <w:rStyle w:val="Hypertextovodkaz"/>
            <w:rFonts w:eastAsia="Calibri"/>
            <w:noProof/>
          </w:rPr>
          <w:t>Délka LC podle sklonu terénu, ve kterém je LC vybudovaná)</w:t>
        </w:r>
        <w:r>
          <w:rPr>
            <w:noProof/>
            <w:webHidden/>
          </w:rPr>
          <w:tab/>
        </w:r>
        <w:r>
          <w:rPr>
            <w:noProof/>
            <w:webHidden/>
          </w:rPr>
          <w:fldChar w:fldCharType="begin"/>
        </w:r>
        <w:r>
          <w:rPr>
            <w:noProof/>
            <w:webHidden/>
          </w:rPr>
          <w:instrText xml:space="preserve"> PAGEREF _Toc94181585 \h </w:instrText>
        </w:r>
        <w:r>
          <w:rPr>
            <w:noProof/>
            <w:webHidden/>
          </w:rPr>
        </w:r>
        <w:r>
          <w:rPr>
            <w:noProof/>
            <w:webHidden/>
          </w:rPr>
          <w:fldChar w:fldCharType="separate"/>
        </w:r>
        <w:r>
          <w:rPr>
            <w:noProof/>
            <w:webHidden/>
          </w:rPr>
          <w:t>45</w:t>
        </w:r>
        <w:r>
          <w:rPr>
            <w:noProof/>
            <w:webHidden/>
          </w:rPr>
          <w:fldChar w:fldCharType="end"/>
        </w:r>
      </w:hyperlink>
    </w:p>
    <w:p w14:paraId="4DDD4ED4" w14:textId="23483679" w:rsidR="00315A11" w:rsidRDefault="00315A11">
      <w:pPr>
        <w:pStyle w:val="Obsah4"/>
        <w:rPr>
          <w:rFonts w:asciiTheme="minorHAnsi" w:eastAsiaTheme="minorEastAsia" w:hAnsiTheme="minorHAnsi"/>
          <w:noProof/>
          <w:sz w:val="22"/>
          <w:szCs w:val="22"/>
          <w:lang w:val="cs-CZ" w:eastAsia="cs-CZ"/>
        </w:rPr>
      </w:pPr>
      <w:hyperlink w:anchor="_Toc94181586" w:history="1">
        <w:r w:rsidRPr="00354A74">
          <w:rPr>
            <w:rStyle w:val="Hypertextovodkaz"/>
            <w:noProof/>
          </w:rPr>
          <w:t>Tabulka 35</w:t>
        </w:r>
        <w:r>
          <w:rPr>
            <w:rFonts w:asciiTheme="minorHAnsi" w:eastAsiaTheme="minorEastAsia" w:hAnsiTheme="minorHAnsi"/>
            <w:noProof/>
            <w:sz w:val="22"/>
            <w:szCs w:val="22"/>
            <w:lang w:val="cs-CZ" w:eastAsia="cs-CZ"/>
          </w:rPr>
          <w:tab/>
        </w:r>
        <w:r w:rsidRPr="00354A74">
          <w:rPr>
            <w:rStyle w:val="Hypertextovodkaz"/>
            <w:noProof/>
          </w:rPr>
          <w:t>Přehled výměr jednotlivých kultur</w:t>
        </w:r>
        <w:r>
          <w:rPr>
            <w:noProof/>
            <w:webHidden/>
          </w:rPr>
          <w:tab/>
        </w:r>
        <w:r>
          <w:rPr>
            <w:noProof/>
            <w:webHidden/>
          </w:rPr>
          <w:fldChar w:fldCharType="begin"/>
        </w:r>
        <w:r>
          <w:rPr>
            <w:noProof/>
            <w:webHidden/>
          </w:rPr>
          <w:instrText xml:space="preserve"> PAGEREF _Toc94181586 \h </w:instrText>
        </w:r>
        <w:r>
          <w:rPr>
            <w:noProof/>
            <w:webHidden/>
          </w:rPr>
        </w:r>
        <w:r>
          <w:rPr>
            <w:noProof/>
            <w:webHidden/>
          </w:rPr>
          <w:fldChar w:fldCharType="separate"/>
        </w:r>
        <w:r>
          <w:rPr>
            <w:noProof/>
            <w:webHidden/>
          </w:rPr>
          <w:t>50</w:t>
        </w:r>
        <w:r>
          <w:rPr>
            <w:noProof/>
            <w:webHidden/>
          </w:rPr>
          <w:fldChar w:fldCharType="end"/>
        </w:r>
      </w:hyperlink>
    </w:p>
    <w:p w14:paraId="3E2607E3" w14:textId="051B3291" w:rsidR="00315A11" w:rsidRDefault="00315A11">
      <w:pPr>
        <w:pStyle w:val="Obsah4"/>
        <w:rPr>
          <w:rFonts w:asciiTheme="minorHAnsi" w:eastAsiaTheme="minorEastAsia" w:hAnsiTheme="minorHAnsi"/>
          <w:noProof/>
          <w:sz w:val="22"/>
          <w:szCs w:val="22"/>
          <w:lang w:val="cs-CZ" w:eastAsia="cs-CZ"/>
        </w:rPr>
      </w:pPr>
      <w:hyperlink w:anchor="_Toc94181587" w:history="1">
        <w:r w:rsidRPr="00354A74">
          <w:rPr>
            <w:rStyle w:val="Hypertextovodkaz"/>
            <w:noProof/>
          </w:rPr>
          <w:t>Tabulka 36</w:t>
        </w:r>
        <w:r>
          <w:rPr>
            <w:rFonts w:asciiTheme="minorHAnsi" w:eastAsiaTheme="minorEastAsia" w:hAnsiTheme="minorHAnsi"/>
            <w:noProof/>
            <w:sz w:val="22"/>
            <w:szCs w:val="22"/>
            <w:lang w:val="cs-CZ" w:eastAsia="cs-CZ"/>
          </w:rPr>
          <w:tab/>
        </w:r>
        <w:r w:rsidRPr="00354A74">
          <w:rPr>
            <w:rStyle w:val="Hypertextovodkaz"/>
            <w:noProof/>
          </w:rPr>
          <w:t>Doplňující informace k obhospodařování trvalých travních porostů</w:t>
        </w:r>
        <w:r>
          <w:rPr>
            <w:noProof/>
            <w:webHidden/>
          </w:rPr>
          <w:tab/>
        </w:r>
        <w:r>
          <w:rPr>
            <w:noProof/>
            <w:webHidden/>
          </w:rPr>
          <w:fldChar w:fldCharType="begin"/>
        </w:r>
        <w:r>
          <w:rPr>
            <w:noProof/>
            <w:webHidden/>
          </w:rPr>
          <w:instrText xml:space="preserve"> PAGEREF _Toc94181587 \h </w:instrText>
        </w:r>
        <w:r>
          <w:rPr>
            <w:noProof/>
            <w:webHidden/>
          </w:rPr>
        </w:r>
        <w:r>
          <w:rPr>
            <w:noProof/>
            <w:webHidden/>
          </w:rPr>
          <w:fldChar w:fldCharType="separate"/>
        </w:r>
        <w:r>
          <w:rPr>
            <w:noProof/>
            <w:webHidden/>
          </w:rPr>
          <w:t>50</w:t>
        </w:r>
        <w:r>
          <w:rPr>
            <w:noProof/>
            <w:webHidden/>
          </w:rPr>
          <w:fldChar w:fldCharType="end"/>
        </w:r>
      </w:hyperlink>
    </w:p>
    <w:p w14:paraId="54096661" w14:textId="143417E8" w:rsidR="00315A11" w:rsidRDefault="00315A11">
      <w:pPr>
        <w:pStyle w:val="Obsah4"/>
        <w:rPr>
          <w:rFonts w:asciiTheme="minorHAnsi" w:eastAsiaTheme="minorEastAsia" w:hAnsiTheme="minorHAnsi"/>
          <w:noProof/>
          <w:sz w:val="22"/>
          <w:szCs w:val="22"/>
          <w:lang w:val="cs-CZ" w:eastAsia="cs-CZ"/>
        </w:rPr>
      </w:pPr>
      <w:hyperlink w:anchor="_Toc94181588" w:history="1">
        <w:r w:rsidRPr="00354A74">
          <w:rPr>
            <w:rStyle w:val="Hypertextovodkaz"/>
            <w:noProof/>
          </w:rPr>
          <w:t>Tabulka 37</w:t>
        </w:r>
        <w:r>
          <w:rPr>
            <w:rFonts w:asciiTheme="minorHAnsi" w:eastAsiaTheme="minorEastAsia" w:hAnsiTheme="minorHAnsi"/>
            <w:noProof/>
            <w:sz w:val="22"/>
            <w:szCs w:val="22"/>
            <w:lang w:val="cs-CZ" w:eastAsia="cs-CZ"/>
          </w:rPr>
          <w:tab/>
        </w:r>
        <w:r w:rsidRPr="00354A74">
          <w:rPr>
            <w:rStyle w:val="Hypertextovodkaz"/>
            <w:noProof/>
          </w:rPr>
          <w:t>Hlášené a předpokládané emise skleníkových plynů ve 4. sektoru LULUCF - scénář s existujícími opatřeními</w:t>
        </w:r>
        <w:r>
          <w:rPr>
            <w:noProof/>
            <w:webHidden/>
          </w:rPr>
          <w:tab/>
        </w:r>
        <w:r>
          <w:rPr>
            <w:noProof/>
            <w:webHidden/>
          </w:rPr>
          <w:fldChar w:fldCharType="begin"/>
        </w:r>
        <w:r>
          <w:rPr>
            <w:noProof/>
            <w:webHidden/>
          </w:rPr>
          <w:instrText xml:space="preserve"> PAGEREF _Toc94181588 \h </w:instrText>
        </w:r>
        <w:r>
          <w:rPr>
            <w:noProof/>
            <w:webHidden/>
          </w:rPr>
        </w:r>
        <w:r>
          <w:rPr>
            <w:noProof/>
            <w:webHidden/>
          </w:rPr>
          <w:fldChar w:fldCharType="separate"/>
        </w:r>
        <w:r>
          <w:rPr>
            <w:noProof/>
            <w:webHidden/>
          </w:rPr>
          <w:t>52</w:t>
        </w:r>
        <w:r>
          <w:rPr>
            <w:noProof/>
            <w:webHidden/>
          </w:rPr>
          <w:fldChar w:fldCharType="end"/>
        </w:r>
      </w:hyperlink>
    </w:p>
    <w:p w14:paraId="07A98C0E" w14:textId="21233747" w:rsidR="00315A11" w:rsidRDefault="00315A11">
      <w:pPr>
        <w:pStyle w:val="Obsah4"/>
        <w:rPr>
          <w:rFonts w:asciiTheme="minorHAnsi" w:eastAsiaTheme="minorEastAsia" w:hAnsiTheme="minorHAnsi"/>
          <w:noProof/>
          <w:sz w:val="22"/>
          <w:szCs w:val="22"/>
          <w:lang w:val="cs-CZ" w:eastAsia="cs-CZ"/>
        </w:rPr>
      </w:pPr>
      <w:hyperlink w:anchor="_Toc94181589" w:history="1">
        <w:r w:rsidRPr="00354A74">
          <w:rPr>
            <w:rStyle w:val="Hypertextovodkaz"/>
            <w:noProof/>
          </w:rPr>
          <w:t>Tabulka 38</w:t>
        </w:r>
        <w:r>
          <w:rPr>
            <w:rFonts w:asciiTheme="minorHAnsi" w:eastAsiaTheme="minorEastAsia" w:hAnsiTheme="minorHAnsi"/>
            <w:noProof/>
            <w:sz w:val="22"/>
            <w:szCs w:val="22"/>
            <w:lang w:val="cs-CZ" w:eastAsia="cs-CZ"/>
          </w:rPr>
          <w:tab/>
        </w:r>
        <w:r w:rsidRPr="00354A74">
          <w:rPr>
            <w:rStyle w:val="Hypertextovodkaz"/>
            <w:noProof/>
          </w:rPr>
          <w:t>Breakdown of reported and projected emissions of GHG by gases in 4. LULUCF sector - WEM scenario</w:t>
        </w:r>
        <w:r>
          <w:rPr>
            <w:noProof/>
            <w:webHidden/>
          </w:rPr>
          <w:tab/>
        </w:r>
        <w:r>
          <w:rPr>
            <w:noProof/>
            <w:webHidden/>
          </w:rPr>
          <w:fldChar w:fldCharType="begin"/>
        </w:r>
        <w:r>
          <w:rPr>
            <w:noProof/>
            <w:webHidden/>
          </w:rPr>
          <w:instrText xml:space="preserve"> PAGEREF _Toc94181589 \h </w:instrText>
        </w:r>
        <w:r>
          <w:rPr>
            <w:noProof/>
            <w:webHidden/>
          </w:rPr>
        </w:r>
        <w:r>
          <w:rPr>
            <w:noProof/>
            <w:webHidden/>
          </w:rPr>
          <w:fldChar w:fldCharType="separate"/>
        </w:r>
        <w:r>
          <w:rPr>
            <w:noProof/>
            <w:webHidden/>
          </w:rPr>
          <w:t>52</w:t>
        </w:r>
        <w:r>
          <w:rPr>
            <w:noProof/>
            <w:webHidden/>
          </w:rPr>
          <w:fldChar w:fldCharType="end"/>
        </w:r>
      </w:hyperlink>
    </w:p>
    <w:p w14:paraId="0E6EAF62" w14:textId="7260650B" w:rsidR="00315A11" w:rsidRDefault="00315A11">
      <w:pPr>
        <w:pStyle w:val="Obsah4"/>
        <w:rPr>
          <w:rFonts w:asciiTheme="minorHAnsi" w:eastAsiaTheme="minorEastAsia" w:hAnsiTheme="minorHAnsi"/>
          <w:noProof/>
          <w:sz w:val="22"/>
          <w:szCs w:val="22"/>
          <w:lang w:val="cs-CZ" w:eastAsia="cs-CZ"/>
        </w:rPr>
      </w:pPr>
      <w:hyperlink w:anchor="_Toc94181590" w:history="1">
        <w:r w:rsidRPr="00354A74">
          <w:rPr>
            <w:rStyle w:val="Hypertextovodkaz"/>
            <w:noProof/>
          </w:rPr>
          <w:t>Tabulka 39</w:t>
        </w:r>
        <w:r>
          <w:rPr>
            <w:rFonts w:asciiTheme="minorHAnsi" w:eastAsiaTheme="minorEastAsia" w:hAnsiTheme="minorHAnsi"/>
            <w:noProof/>
            <w:sz w:val="22"/>
            <w:szCs w:val="22"/>
            <w:lang w:val="cs-CZ" w:eastAsia="cs-CZ"/>
          </w:rPr>
          <w:tab/>
        </w:r>
        <w:r w:rsidRPr="00354A74">
          <w:rPr>
            <w:rStyle w:val="Hypertextovodkaz"/>
            <w:noProof/>
          </w:rPr>
          <w:t>Breakdown of reported and projected emissions of GHG by categories in 4. LULUCF sector - WEM scenario</w:t>
        </w:r>
        <w:r>
          <w:rPr>
            <w:noProof/>
            <w:webHidden/>
          </w:rPr>
          <w:tab/>
        </w:r>
        <w:r>
          <w:rPr>
            <w:noProof/>
            <w:webHidden/>
          </w:rPr>
          <w:fldChar w:fldCharType="begin"/>
        </w:r>
        <w:r>
          <w:rPr>
            <w:noProof/>
            <w:webHidden/>
          </w:rPr>
          <w:instrText xml:space="preserve"> PAGEREF _Toc94181590 \h </w:instrText>
        </w:r>
        <w:r>
          <w:rPr>
            <w:noProof/>
            <w:webHidden/>
          </w:rPr>
        </w:r>
        <w:r>
          <w:rPr>
            <w:noProof/>
            <w:webHidden/>
          </w:rPr>
          <w:fldChar w:fldCharType="separate"/>
        </w:r>
        <w:r>
          <w:rPr>
            <w:noProof/>
            <w:webHidden/>
          </w:rPr>
          <w:t>52</w:t>
        </w:r>
        <w:r>
          <w:rPr>
            <w:noProof/>
            <w:webHidden/>
          </w:rPr>
          <w:fldChar w:fldCharType="end"/>
        </w:r>
      </w:hyperlink>
    </w:p>
    <w:p w14:paraId="474B0237" w14:textId="097869B4" w:rsidR="00315A11" w:rsidRDefault="00315A11">
      <w:pPr>
        <w:pStyle w:val="Obsah4"/>
        <w:rPr>
          <w:rFonts w:asciiTheme="minorHAnsi" w:eastAsiaTheme="minorEastAsia" w:hAnsiTheme="minorHAnsi"/>
          <w:noProof/>
          <w:sz w:val="22"/>
          <w:szCs w:val="22"/>
          <w:lang w:val="cs-CZ" w:eastAsia="cs-CZ"/>
        </w:rPr>
      </w:pPr>
      <w:hyperlink w:anchor="_Toc94181591" w:history="1">
        <w:r w:rsidRPr="00354A74">
          <w:rPr>
            <w:rStyle w:val="Hypertextovodkaz"/>
            <w:noProof/>
          </w:rPr>
          <w:t>Tabulka 40</w:t>
        </w:r>
        <w:r>
          <w:rPr>
            <w:rFonts w:asciiTheme="minorHAnsi" w:eastAsiaTheme="minorEastAsia" w:hAnsiTheme="minorHAnsi"/>
            <w:noProof/>
            <w:sz w:val="22"/>
            <w:szCs w:val="22"/>
            <w:lang w:val="cs-CZ" w:eastAsia="cs-CZ"/>
          </w:rPr>
          <w:tab/>
        </w:r>
        <w:r w:rsidRPr="00354A74">
          <w:rPr>
            <w:rStyle w:val="Hypertextovodkaz"/>
            <w:noProof/>
          </w:rPr>
          <w:t>Celkové národní emise amoniaku v ČR v letech 2009-2019 (v tunách za rok)</w:t>
        </w:r>
        <w:r>
          <w:rPr>
            <w:noProof/>
            <w:webHidden/>
          </w:rPr>
          <w:tab/>
        </w:r>
        <w:r>
          <w:rPr>
            <w:noProof/>
            <w:webHidden/>
          </w:rPr>
          <w:fldChar w:fldCharType="begin"/>
        </w:r>
        <w:r>
          <w:rPr>
            <w:noProof/>
            <w:webHidden/>
          </w:rPr>
          <w:instrText xml:space="preserve"> PAGEREF _Toc94181591 \h </w:instrText>
        </w:r>
        <w:r>
          <w:rPr>
            <w:noProof/>
            <w:webHidden/>
          </w:rPr>
        </w:r>
        <w:r>
          <w:rPr>
            <w:noProof/>
            <w:webHidden/>
          </w:rPr>
          <w:fldChar w:fldCharType="separate"/>
        </w:r>
        <w:r>
          <w:rPr>
            <w:noProof/>
            <w:webHidden/>
          </w:rPr>
          <w:t>53</w:t>
        </w:r>
        <w:r>
          <w:rPr>
            <w:noProof/>
            <w:webHidden/>
          </w:rPr>
          <w:fldChar w:fldCharType="end"/>
        </w:r>
      </w:hyperlink>
    </w:p>
    <w:p w14:paraId="23A0D9FD" w14:textId="78A7AACE" w:rsidR="00315A11" w:rsidRDefault="00315A11">
      <w:pPr>
        <w:pStyle w:val="Obsah4"/>
        <w:rPr>
          <w:rFonts w:asciiTheme="minorHAnsi" w:eastAsiaTheme="minorEastAsia" w:hAnsiTheme="minorHAnsi"/>
          <w:noProof/>
          <w:sz w:val="22"/>
          <w:szCs w:val="22"/>
          <w:lang w:val="cs-CZ" w:eastAsia="cs-CZ"/>
        </w:rPr>
      </w:pPr>
      <w:hyperlink w:anchor="_Toc94181592" w:history="1">
        <w:r w:rsidRPr="00354A74">
          <w:rPr>
            <w:rStyle w:val="Hypertextovodkaz"/>
            <w:noProof/>
          </w:rPr>
          <w:t>Tabulka 41</w:t>
        </w:r>
        <w:r>
          <w:rPr>
            <w:rFonts w:asciiTheme="minorHAnsi" w:eastAsiaTheme="minorEastAsia" w:hAnsiTheme="minorHAnsi"/>
            <w:noProof/>
            <w:sz w:val="22"/>
            <w:szCs w:val="22"/>
            <w:lang w:val="cs-CZ" w:eastAsia="cs-CZ"/>
          </w:rPr>
          <w:tab/>
        </w:r>
        <w:r w:rsidRPr="00354A74">
          <w:rPr>
            <w:rStyle w:val="Hypertextovodkaz"/>
            <w:noProof/>
          </w:rPr>
          <w:t>Vývoj emisí NH</w:t>
        </w:r>
        <w:r w:rsidRPr="00354A74">
          <w:rPr>
            <w:rStyle w:val="Hypertextovodkaz"/>
            <w:noProof/>
            <w:vertAlign w:val="subscript"/>
          </w:rPr>
          <w:t>3</w:t>
        </w:r>
        <w:r w:rsidRPr="00354A74">
          <w:rPr>
            <w:rStyle w:val="Hypertextovodkaz"/>
            <w:noProof/>
          </w:rPr>
          <w:t xml:space="preserve"> v ČR v letech 1990-2018 podle sektoru GNFR (v kilotunách)</w:t>
        </w:r>
        <w:r>
          <w:rPr>
            <w:noProof/>
            <w:webHidden/>
          </w:rPr>
          <w:tab/>
        </w:r>
        <w:r>
          <w:rPr>
            <w:noProof/>
            <w:webHidden/>
          </w:rPr>
          <w:fldChar w:fldCharType="begin"/>
        </w:r>
        <w:r>
          <w:rPr>
            <w:noProof/>
            <w:webHidden/>
          </w:rPr>
          <w:instrText xml:space="preserve"> PAGEREF _Toc94181592 \h </w:instrText>
        </w:r>
        <w:r>
          <w:rPr>
            <w:noProof/>
            <w:webHidden/>
          </w:rPr>
        </w:r>
        <w:r>
          <w:rPr>
            <w:noProof/>
            <w:webHidden/>
          </w:rPr>
          <w:fldChar w:fldCharType="separate"/>
        </w:r>
        <w:r>
          <w:rPr>
            <w:noProof/>
            <w:webHidden/>
          </w:rPr>
          <w:t>55</w:t>
        </w:r>
        <w:r>
          <w:rPr>
            <w:noProof/>
            <w:webHidden/>
          </w:rPr>
          <w:fldChar w:fldCharType="end"/>
        </w:r>
      </w:hyperlink>
    </w:p>
    <w:p w14:paraId="6CD788DD" w14:textId="5FAADEA2" w:rsidR="00315A11" w:rsidRDefault="00315A11">
      <w:pPr>
        <w:pStyle w:val="Obsah4"/>
        <w:rPr>
          <w:rFonts w:asciiTheme="minorHAnsi" w:eastAsiaTheme="minorEastAsia" w:hAnsiTheme="minorHAnsi"/>
          <w:noProof/>
          <w:sz w:val="22"/>
          <w:szCs w:val="22"/>
          <w:lang w:val="cs-CZ" w:eastAsia="cs-CZ"/>
        </w:rPr>
      </w:pPr>
      <w:hyperlink w:anchor="_Toc94181593" w:history="1">
        <w:r w:rsidRPr="00354A74">
          <w:rPr>
            <w:rStyle w:val="Hypertextovodkaz"/>
            <w:noProof/>
          </w:rPr>
          <w:t>Tabulka 42</w:t>
        </w:r>
        <w:r>
          <w:rPr>
            <w:rFonts w:asciiTheme="minorHAnsi" w:eastAsiaTheme="minorEastAsia" w:hAnsiTheme="minorHAnsi"/>
            <w:noProof/>
            <w:sz w:val="22"/>
            <w:szCs w:val="22"/>
            <w:lang w:val="cs-CZ" w:eastAsia="cs-CZ"/>
          </w:rPr>
          <w:tab/>
        </w:r>
        <w:r w:rsidRPr="00354A74">
          <w:rPr>
            <w:rStyle w:val="Hypertextovodkaz"/>
            <w:noProof/>
          </w:rPr>
          <w:t>Vývoj emisí NH</w:t>
        </w:r>
        <w:r w:rsidRPr="00354A74">
          <w:rPr>
            <w:rStyle w:val="Hypertextovodkaz"/>
            <w:noProof/>
            <w:vertAlign w:val="subscript"/>
          </w:rPr>
          <w:t>3</w:t>
        </w:r>
        <w:r w:rsidRPr="00354A74">
          <w:rPr>
            <w:rStyle w:val="Hypertextovodkaz"/>
            <w:noProof/>
          </w:rPr>
          <w:t xml:space="preserve"> v ČR podle kategorií NFR (v kilotunách)</w:t>
        </w:r>
        <w:r>
          <w:rPr>
            <w:noProof/>
            <w:webHidden/>
          </w:rPr>
          <w:tab/>
        </w:r>
        <w:r>
          <w:rPr>
            <w:noProof/>
            <w:webHidden/>
          </w:rPr>
          <w:fldChar w:fldCharType="begin"/>
        </w:r>
        <w:r>
          <w:rPr>
            <w:noProof/>
            <w:webHidden/>
          </w:rPr>
          <w:instrText xml:space="preserve"> PAGEREF _Toc94181593 \h </w:instrText>
        </w:r>
        <w:r>
          <w:rPr>
            <w:noProof/>
            <w:webHidden/>
          </w:rPr>
        </w:r>
        <w:r>
          <w:rPr>
            <w:noProof/>
            <w:webHidden/>
          </w:rPr>
          <w:fldChar w:fldCharType="separate"/>
        </w:r>
        <w:r>
          <w:rPr>
            <w:noProof/>
            <w:webHidden/>
          </w:rPr>
          <w:t>55</w:t>
        </w:r>
        <w:r>
          <w:rPr>
            <w:noProof/>
            <w:webHidden/>
          </w:rPr>
          <w:fldChar w:fldCharType="end"/>
        </w:r>
      </w:hyperlink>
    </w:p>
    <w:p w14:paraId="23AA6AD7" w14:textId="3B879092" w:rsidR="00315A11" w:rsidRDefault="00315A11">
      <w:pPr>
        <w:pStyle w:val="Obsah4"/>
        <w:rPr>
          <w:rFonts w:asciiTheme="minorHAnsi" w:eastAsiaTheme="minorEastAsia" w:hAnsiTheme="minorHAnsi"/>
          <w:noProof/>
          <w:sz w:val="22"/>
          <w:szCs w:val="22"/>
          <w:lang w:val="cs-CZ" w:eastAsia="cs-CZ"/>
        </w:rPr>
      </w:pPr>
      <w:hyperlink w:anchor="_Toc94181594" w:history="1">
        <w:r w:rsidRPr="00354A74">
          <w:rPr>
            <w:rStyle w:val="Hypertextovodkaz"/>
            <w:noProof/>
          </w:rPr>
          <w:t>Tabulka 43</w:t>
        </w:r>
        <w:r>
          <w:rPr>
            <w:rFonts w:asciiTheme="minorHAnsi" w:eastAsiaTheme="minorEastAsia" w:hAnsiTheme="minorHAnsi"/>
            <w:noProof/>
            <w:sz w:val="22"/>
            <w:szCs w:val="22"/>
            <w:lang w:val="cs-CZ" w:eastAsia="cs-CZ"/>
          </w:rPr>
          <w:tab/>
        </w:r>
        <w:r w:rsidRPr="00354A74">
          <w:rPr>
            <w:rStyle w:val="Hypertextovodkaz"/>
            <w:noProof/>
          </w:rPr>
          <w:t>Nahlášené emise amoniaku, oxidů dusíku a oxidu uhelnatého do ovzduší za rok 2017</w:t>
        </w:r>
        <w:r w:rsidRPr="00354A74">
          <w:rPr>
            <w:rStyle w:val="Hypertextovodkaz"/>
            <w:noProof/>
            <w:vertAlign w:val="superscript"/>
          </w:rPr>
          <w:t>1)</w:t>
        </w:r>
        <w:r>
          <w:rPr>
            <w:noProof/>
            <w:webHidden/>
          </w:rPr>
          <w:tab/>
        </w:r>
        <w:r>
          <w:rPr>
            <w:noProof/>
            <w:webHidden/>
          </w:rPr>
          <w:fldChar w:fldCharType="begin"/>
        </w:r>
        <w:r>
          <w:rPr>
            <w:noProof/>
            <w:webHidden/>
          </w:rPr>
          <w:instrText xml:space="preserve"> PAGEREF _Toc94181594 \h </w:instrText>
        </w:r>
        <w:r>
          <w:rPr>
            <w:noProof/>
            <w:webHidden/>
          </w:rPr>
        </w:r>
        <w:r>
          <w:rPr>
            <w:noProof/>
            <w:webHidden/>
          </w:rPr>
          <w:fldChar w:fldCharType="separate"/>
        </w:r>
        <w:r>
          <w:rPr>
            <w:noProof/>
            <w:webHidden/>
          </w:rPr>
          <w:t>57</w:t>
        </w:r>
        <w:r>
          <w:rPr>
            <w:noProof/>
            <w:webHidden/>
          </w:rPr>
          <w:fldChar w:fldCharType="end"/>
        </w:r>
      </w:hyperlink>
    </w:p>
    <w:p w14:paraId="5BD18AF4" w14:textId="275BB27D" w:rsidR="00315A11" w:rsidRDefault="00315A11">
      <w:pPr>
        <w:pStyle w:val="Obsah4"/>
        <w:rPr>
          <w:rFonts w:asciiTheme="minorHAnsi" w:eastAsiaTheme="minorEastAsia" w:hAnsiTheme="minorHAnsi"/>
          <w:noProof/>
          <w:sz w:val="22"/>
          <w:szCs w:val="22"/>
          <w:lang w:val="cs-CZ" w:eastAsia="cs-CZ"/>
        </w:rPr>
      </w:pPr>
      <w:hyperlink w:anchor="_Toc94181595" w:history="1">
        <w:r w:rsidRPr="00354A74">
          <w:rPr>
            <w:rStyle w:val="Hypertextovodkaz"/>
            <w:noProof/>
          </w:rPr>
          <w:t>Tabulka 44</w:t>
        </w:r>
        <w:r>
          <w:rPr>
            <w:rFonts w:asciiTheme="minorHAnsi" w:eastAsiaTheme="minorEastAsia" w:hAnsiTheme="minorHAnsi"/>
            <w:noProof/>
            <w:sz w:val="22"/>
            <w:szCs w:val="22"/>
            <w:lang w:val="cs-CZ" w:eastAsia="cs-CZ"/>
          </w:rPr>
          <w:tab/>
        </w:r>
        <w:r w:rsidRPr="00354A74">
          <w:rPr>
            <w:rStyle w:val="Hypertextovodkaz"/>
            <w:noProof/>
          </w:rPr>
          <w:t>Vývoj výroby obnovitelné energie v zemědělství a lesnictví</w:t>
        </w:r>
        <w:r>
          <w:rPr>
            <w:noProof/>
            <w:webHidden/>
          </w:rPr>
          <w:tab/>
        </w:r>
        <w:r>
          <w:rPr>
            <w:noProof/>
            <w:webHidden/>
          </w:rPr>
          <w:fldChar w:fldCharType="begin"/>
        </w:r>
        <w:r>
          <w:rPr>
            <w:noProof/>
            <w:webHidden/>
          </w:rPr>
          <w:instrText xml:space="preserve"> PAGEREF _Toc94181595 \h </w:instrText>
        </w:r>
        <w:r>
          <w:rPr>
            <w:noProof/>
            <w:webHidden/>
          </w:rPr>
        </w:r>
        <w:r>
          <w:rPr>
            <w:noProof/>
            <w:webHidden/>
          </w:rPr>
          <w:fldChar w:fldCharType="separate"/>
        </w:r>
        <w:r>
          <w:rPr>
            <w:noProof/>
            <w:webHidden/>
          </w:rPr>
          <w:t>58</w:t>
        </w:r>
        <w:r>
          <w:rPr>
            <w:noProof/>
            <w:webHidden/>
          </w:rPr>
          <w:fldChar w:fldCharType="end"/>
        </w:r>
      </w:hyperlink>
    </w:p>
    <w:p w14:paraId="10CC8C1C" w14:textId="141764AE" w:rsidR="00315A11" w:rsidRDefault="00315A11">
      <w:pPr>
        <w:pStyle w:val="Obsah4"/>
        <w:rPr>
          <w:rFonts w:asciiTheme="minorHAnsi" w:eastAsiaTheme="minorEastAsia" w:hAnsiTheme="minorHAnsi"/>
          <w:noProof/>
          <w:sz w:val="22"/>
          <w:szCs w:val="22"/>
          <w:lang w:val="cs-CZ" w:eastAsia="cs-CZ"/>
        </w:rPr>
      </w:pPr>
      <w:hyperlink w:anchor="_Toc94181596" w:history="1">
        <w:r w:rsidRPr="00354A74">
          <w:rPr>
            <w:rStyle w:val="Hypertextovodkaz"/>
            <w:rFonts w:eastAsia="Calibri"/>
            <w:noProof/>
          </w:rPr>
          <w:t>Tabulka 45</w:t>
        </w:r>
        <w:r>
          <w:rPr>
            <w:rFonts w:asciiTheme="minorHAnsi" w:eastAsiaTheme="minorEastAsia" w:hAnsiTheme="minorHAnsi"/>
            <w:noProof/>
            <w:sz w:val="22"/>
            <w:szCs w:val="22"/>
            <w:lang w:val="cs-CZ" w:eastAsia="cs-CZ"/>
          </w:rPr>
          <w:tab/>
        </w:r>
        <w:r w:rsidRPr="00354A74">
          <w:rPr>
            <w:rStyle w:val="Hypertextovodkaz"/>
            <w:rFonts w:eastAsia="Calibri"/>
            <w:noProof/>
          </w:rPr>
          <w:t>Objem nahodilých těžeb dle jednotlivých kategorií (zdroj Zprávy a stavu lesa a lesního hospodářství)</w:t>
        </w:r>
        <w:r>
          <w:rPr>
            <w:noProof/>
            <w:webHidden/>
          </w:rPr>
          <w:tab/>
        </w:r>
        <w:r>
          <w:rPr>
            <w:noProof/>
            <w:webHidden/>
          </w:rPr>
          <w:fldChar w:fldCharType="begin"/>
        </w:r>
        <w:r>
          <w:rPr>
            <w:noProof/>
            <w:webHidden/>
          </w:rPr>
          <w:instrText xml:space="preserve"> PAGEREF _Toc94181596 \h </w:instrText>
        </w:r>
        <w:r>
          <w:rPr>
            <w:noProof/>
            <w:webHidden/>
          </w:rPr>
        </w:r>
        <w:r>
          <w:rPr>
            <w:noProof/>
            <w:webHidden/>
          </w:rPr>
          <w:fldChar w:fldCharType="separate"/>
        </w:r>
        <w:r>
          <w:rPr>
            <w:noProof/>
            <w:webHidden/>
          </w:rPr>
          <w:t>62</w:t>
        </w:r>
        <w:r>
          <w:rPr>
            <w:noProof/>
            <w:webHidden/>
          </w:rPr>
          <w:fldChar w:fldCharType="end"/>
        </w:r>
      </w:hyperlink>
    </w:p>
    <w:p w14:paraId="1227BD01" w14:textId="43E1A2D8" w:rsidR="00315A11" w:rsidRDefault="00315A11">
      <w:pPr>
        <w:pStyle w:val="Obsah4"/>
        <w:rPr>
          <w:rFonts w:asciiTheme="minorHAnsi" w:eastAsiaTheme="minorEastAsia" w:hAnsiTheme="minorHAnsi"/>
          <w:noProof/>
          <w:sz w:val="22"/>
          <w:szCs w:val="22"/>
          <w:lang w:val="cs-CZ" w:eastAsia="cs-CZ"/>
        </w:rPr>
      </w:pPr>
      <w:hyperlink w:anchor="_Toc94181597" w:history="1">
        <w:r w:rsidRPr="00354A74">
          <w:rPr>
            <w:rStyle w:val="Hypertextovodkaz"/>
            <w:rFonts w:eastAsia="Calibri"/>
            <w:noProof/>
          </w:rPr>
          <w:t>Tabulka 46</w:t>
        </w:r>
        <w:r>
          <w:rPr>
            <w:rFonts w:asciiTheme="minorHAnsi" w:eastAsiaTheme="minorEastAsia" w:hAnsiTheme="minorHAnsi"/>
            <w:noProof/>
            <w:sz w:val="22"/>
            <w:szCs w:val="22"/>
            <w:lang w:val="cs-CZ" w:eastAsia="cs-CZ"/>
          </w:rPr>
          <w:tab/>
        </w:r>
        <w:r w:rsidRPr="00354A74">
          <w:rPr>
            <w:rStyle w:val="Hypertextovodkaz"/>
            <w:rFonts w:eastAsia="Calibri"/>
            <w:noProof/>
          </w:rPr>
          <w:t>Rekonstruovaná přirozená a současná skladba lesů (v %) (zdroj: ÚHÚL)</w:t>
        </w:r>
        <w:r>
          <w:rPr>
            <w:noProof/>
            <w:webHidden/>
          </w:rPr>
          <w:tab/>
        </w:r>
        <w:r>
          <w:rPr>
            <w:noProof/>
            <w:webHidden/>
          </w:rPr>
          <w:fldChar w:fldCharType="begin"/>
        </w:r>
        <w:r>
          <w:rPr>
            <w:noProof/>
            <w:webHidden/>
          </w:rPr>
          <w:instrText xml:space="preserve"> PAGEREF _Toc94181597 \h </w:instrText>
        </w:r>
        <w:r>
          <w:rPr>
            <w:noProof/>
            <w:webHidden/>
          </w:rPr>
        </w:r>
        <w:r>
          <w:rPr>
            <w:noProof/>
            <w:webHidden/>
          </w:rPr>
          <w:fldChar w:fldCharType="separate"/>
        </w:r>
        <w:r>
          <w:rPr>
            <w:noProof/>
            <w:webHidden/>
          </w:rPr>
          <w:t>68</w:t>
        </w:r>
        <w:r>
          <w:rPr>
            <w:noProof/>
            <w:webHidden/>
          </w:rPr>
          <w:fldChar w:fldCharType="end"/>
        </w:r>
      </w:hyperlink>
    </w:p>
    <w:p w14:paraId="198A96FF" w14:textId="046D53C2" w:rsidR="00315A11" w:rsidRDefault="00315A11">
      <w:pPr>
        <w:pStyle w:val="Obsah4"/>
        <w:rPr>
          <w:rFonts w:asciiTheme="minorHAnsi" w:eastAsiaTheme="minorEastAsia" w:hAnsiTheme="minorHAnsi"/>
          <w:noProof/>
          <w:sz w:val="22"/>
          <w:szCs w:val="22"/>
          <w:lang w:val="cs-CZ" w:eastAsia="cs-CZ"/>
        </w:rPr>
      </w:pPr>
      <w:hyperlink w:anchor="_Toc94181598" w:history="1">
        <w:r w:rsidRPr="00354A74">
          <w:rPr>
            <w:rStyle w:val="Hypertextovodkaz"/>
            <w:rFonts w:eastAsia="Calibri"/>
            <w:noProof/>
          </w:rPr>
          <w:t>Tabulka 47</w:t>
        </w:r>
        <w:r>
          <w:rPr>
            <w:rFonts w:asciiTheme="minorHAnsi" w:eastAsiaTheme="minorEastAsia" w:hAnsiTheme="minorHAnsi"/>
            <w:noProof/>
            <w:sz w:val="22"/>
            <w:szCs w:val="22"/>
            <w:lang w:val="cs-CZ" w:eastAsia="cs-CZ"/>
          </w:rPr>
          <w:tab/>
        </w:r>
        <w:r w:rsidRPr="00354A74">
          <w:rPr>
            <w:rStyle w:val="Hypertextovodkaz"/>
            <w:rFonts w:eastAsia="Calibri"/>
            <w:noProof/>
          </w:rPr>
          <w:t>Druhové složení lesů v ha a % z celkové plochy porostní půdy (zdroj: ÚHÚL)</w:t>
        </w:r>
        <w:r>
          <w:rPr>
            <w:noProof/>
            <w:webHidden/>
          </w:rPr>
          <w:tab/>
        </w:r>
        <w:r>
          <w:rPr>
            <w:noProof/>
            <w:webHidden/>
          </w:rPr>
          <w:fldChar w:fldCharType="begin"/>
        </w:r>
        <w:r>
          <w:rPr>
            <w:noProof/>
            <w:webHidden/>
          </w:rPr>
          <w:instrText xml:space="preserve"> PAGEREF _Toc94181598 \h </w:instrText>
        </w:r>
        <w:r>
          <w:rPr>
            <w:noProof/>
            <w:webHidden/>
          </w:rPr>
        </w:r>
        <w:r>
          <w:rPr>
            <w:noProof/>
            <w:webHidden/>
          </w:rPr>
          <w:fldChar w:fldCharType="separate"/>
        </w:r>
        <w:r>
          <w:rPr>
            <w:noProof/>
            <w:webHidden/>
          </w:rPr>
          <w:t>69</w:t>
        </w:r>
        <w:r>
          <w:rPr>
            <w:noProof/>
            <w:webHidden/>
          </w:rPr>
          <w:fldChar w:fldCharType="end"/>
        </w:r>
      </w:hyperlink>
    </w:p>
    <w:p w14:paraId="74CF80FC" w14:textId="2042EA29" w:rsidR="00315A11" w:rsidRDefault="00315A11">
      <w:pPr>
        <w:pStyle w:val="Obsah4"/>
        <w:rPr>
          <w:rFonts w:asciiTheme="minorHAnsi" w:eastAsiaTheme="minorEastAsia" w:hAnsiTheme="minorHAnsi"/>
          <w:noProof/>
          <w:sz w:val="22"/>
          <w:szCs w:val="22"/>
          <w:lang w:val="cs-CZ" w:eastAsia="cs-CZ"/>
        </w:rPr>
      </w:pPr>
      <w:hyperlink w:anchor="_Toc94181599" w:history="1">
        <w:r w:rsidRPr="00354A74">
          <w:rPr>
            <w:rStyle w:val="Hypertextovodkaz"/>
            <w:rFonts w:eastAsia="Calibri"/>
            <w:noProof/>
          </w:rPr>
          <w:t>Tabulka 48</w:t>
        </w:r>
        <w:r>
          <w:rPr>
            <w:rFonts w:asciiTheme="minorHAnsi" w:eastAsiaTheme="minorEastAsia" w:hAnsiTheme="minorHAnsi"/>
            <w:noProof/>
            <w:sz w:val="22"/>
            <w:szCs w:val="22"/>
            <w:lang w:val="cs-CZ" w:eastAsia="cs-CZ"/>
          </w:rPr>
          <w:tab/>
        </w:r>
        <w:r w:rsidRPr="00354A74">
          <w:rPr>
            <w:rStyle w:val="Hypertextovodkaz"/>
            <w:rFonts w:eastAsia="Calibri"/>
            <w:noProof/>
          </w:rPr>
          <w:t>Významné povodně v lesních povodích</w:t>
        </w:r>
        <w:r>
          <w:rPr>
            <w:noProof/>
            <w:webHidden/>
          </w:rPr>
          <w:tab/>
        </w:r>
        <w:r>
          <w:rPr>
            <w:noProof/>
            <w:webHidden/>
          </w:rPr>
          <w:fldChar w:fldCharType="begin"/>
        </w:r>
        <w:r>
          <w:rPr>
            <w:noProof/>
            <w:webHidden/>
          </w:rPr>
          <w:instrText xml:space="preserve"> PAGEREF _Toc94181599 \h </w:instrText>
        </w:r>
        <w:r>
          <w:rPr>
            <w:noProof/>
            <w:webHidden/>
          </w:rPr>
        </w:r>
        <w:r>
          <w:rPr>
            <w:noProof/>
            <w:webHidden/>
          </w:rPr>
          <w:fldChar w:fldCharType="separate"/>
        </w:r>
        <w:r>
          <w:rPr>
            <w:noProof/>
            <w:webHidden/>
          </w:rPr>
          <w:t>71</w:t>
        </w:r>
        <w:r>
          <w:rPr>
            <w:noProof/>
            <w:webHidden/>
          </w:rPr>
          <w:fldChar w:fldCharType="end"/>
        </w:r>
      </w:hyperlink>
    </w:p>
    <w:p w14:paraId="57944745" w14:textId="669066DF" w:rsidR="00315A11" w:rsidRDefault="00315A11">
      <w:pPr>
        <w:pStyle w:val="Obsah4"/>
        <w:rPr>
          <w:rFonts w:asciiTheme="minorHAnsi" w:eastAsiaTheme="minorEastAsia" w:hAnsiTheme="minorHAnsi"/>
          <w:noProof/>
          <w:sz w:val="22"/>
          <w:szCs w:val="22"/>
          <w:lang w:val="cs-CZ" w:eastAsia="cs-CZ"/>
        </w:rPr>
      </w:pPr>
      <w:hyperlink w:anchor="_Toc94181600" w:history="1">
        <w:r w:rsidRPr="00354A74">
          <w:rPr>
            <w:rStyle w:val="Hypertextovodkaz"/>
            <w:rFonts w:eastAsia="Calibri"/>
            <w:noProof/>
          </w:rPr>
          <w:t>Tabulka 49</w:t>
        </w:r>
        <w:r>
          <w:rPr>
            <w:rFonts w:asciiTheme="minorHAnsi" w:eastAsiaTheme="minorEastAsia" w:hAnsiTheme="minorHAnsi"/>
            <w:noProof/>
            <w:sz w:val="22"/>
            <w:szCs w:val="22"/>
            <w:lang w:val="cs-CZ" w:eastAsia="cs-CZ"/>
          </w:rPr>
          <w:tab/>
        </w:r>
        <w:r w:rsidRPr="00354A74">
          <w:rPr>
            <w:rStyle w:val="Hypertextovodkaz"/>
            <w:rFonts w:eastAsia="Calibri"/>
            <w:noProof/>
          </w:rPr>
          <w:t>Rozsah holin</w:t>
        </w:r>
        <w:r>
          <w:rPr>
            <w:noProof/>
            <w:webHidden/>
          </w:rPr>
          <w:tab/>
        </w:r>
        <w:r>
          <w:rPr>
            <w:noProof/>
            <w:webHidden/>
          </w:rPr>
          <w:fldChar w:fldCharType="begin"/>
        </w:r>
        <w:r>
          <w:rPr>
            <w:noProof/>
            <w:webHidden/>
          </w:rPr>
          <w:instrText xml:space="preserve"> PAGEREF _Toc94181600 \h </w:instrText>
        </w:r>
        <w:r>
          <w:rPr>
            <w:noProof/>
            <w:webHidden/>
          </w:rPr>
        </w:r>
        <w:r>
          <w:rPr>
            <w:noProof/>
            <w:webHidden/>
          </w:rPr>
          <w:fldChar w:fldCharType="separate"/>
        </w:r>
        <w:r>
          <w:rPr>
            <w:noProof/>
            <w:webHidden/>
          </w:rPr>
          <w:t>71</w:t>
        </w:r>
        <w:r>
          <w:rPr>
            <w:noProof/>
            <w:webHidden/>
          </w:rPr>
          <w:fldChar w:fldCharType="end"/>
        </w:r>
      </w:hyperlink>
    </w:p>
    <w:p w14:paraId="6E7F087E" w14:textId="01F43CF9" w:rsidR="00315A11" w:rsidRDefault="00315A11">
      <w:pPr>
        <w:pStyle w:val="Obsah4"/>
        <w:rPr>
          <w:rFonts w:asciiTheme="minorHAnsi" w:eastAsiaTheme="minorEastAsia" w:hAnsiTheme="minorHAnsi"/>
          <w:noProof/>
          <w:sz w:val="22"/>
          <w:szCs w:val="22"/>
          <w:lang w:val="cs-CZ" w:eastAsia="cs-CZ"/>
        </w:rPr>
      </w:pPr>
      <w:hyperlink w:anchor="_Toc94181601" w:history="1">
        <w:r w:rsidRPr="00354A74">
          <w:rPr>
            <w:rStyle w:val="Hypertextovodkaz"/>
            <w:noProof/>
          </w:rPr>
          <w:t>Tabulka 50</w:t>
        </w:r>
        <w:r>
          <w:rPr>
            <w:rFonts w:asciiTheme="minorHAnsi" w:eastAsiaTheme="minorEastAsia" w:hAnsiTheme="minorHAnsi"/>
            <w:noProof/>
            <w:sz w:val="22"/>
            <w:szCs w:val="22"/>
            <w:lang w:val="cs-CZ" w:eastAsia="cs-CZ"/>
          </w:rPr>
          <w:tab/>
        </w:r>
        <w:r w:rsidRPr="00354A74">
          <w:rPr>
            <w:rStyle w:val="Hypertextovodkaz"/>
            <w:noProof/>
          </w:rPr>
          <w:t>Vývoj celkové výměry lesních pozemků (v ha)</w:t>
        </w:r>
        <w:r>
          <w:rPr>
            <w:noProof/>
            <w:webHidden/>
          </w:rPr>
          <w:tab/>
        </w:r>
        <w:r>
          <w:rPr>
            <w:noProof/>
            <w:webHidden/>
          </w:rPr>
          <w:fldChar w:fldCharType="begin"/>
        </w:r>
        <w:r>
          <w:rPr>
            <w:noProof/>
            <w:webHidden/>
          </w:rPr>
          <w:instrText xml:space="preserve"> PAGEREF _Toc94181601 \h </w:instrText>
        </w:r>
        <w:r>
          <w:rPr>
            <w:noProof/>
            <w:webHidden/>
          </w:rPr>
        </w:r>
        <w:r>
          <w:rPr>
            <w:noProof/>
            <w:webHidden/>
          </w:rPr>
          <w:fldChar w:fldCharType="separate"/>
        </w:r>
        <w:r>
          <w:rPr>
            <w:noProof/>
            <w:webHidden/>
          </w:rPr>
          <w:t>75</w:t>
        </w:r>
        <w:r>
          <w:rPr>
            <w:noProof/>
            <w:webHidden/>
          </w:rPr>
          <w:fldChar w:fldCharType="end"/>
        </w:r>
      </w:hyperlink>
    </w:p>
    <w:p w14:paraId="1A75AF3B" w14:textId="5B66F570" w:rsidR="00315A11" w:rsidRDefault="00315A11">
      <w:pPr>
        <w:pStyle w:val="Obsah4"/>
        <w:rPr>
          <w:rFonts w:asciiTheme="minorHAnsi" w:eastAsiaTheme="minorEastAsia" w:hAnsiTheme="minorHAnsi"/>
          <w:noProof/>
          <w:sz w:val="22"/>
          <w:szCs w:val="22"/>
          <w:lang w:val="cs-CZ" w:eastAsia="cs-CZ"/>
        </w:rPr>
      </w:pPr>
      <w:hyperlink w:anchor="_Toc94181602" w:history="1">
        <w:r w:rsidRPr="00354A74">
          <w:rPr>
            <w:rStyle w:val="Hypertextovodkaz"/>
            <w:noProof/>
          </w:rPr>
          <w:t>Tabulka 51</w:t>
        </w:r>
        <w:r>
          <w:rPr>
            <w:rFonts w:asciiTheme="minorHAnsi" w:eastAsiaTheme="minorEastAsia" w:hAnsiTheme="minorHAnsi"/>
            <w:noProof/>
            <w:sz w:val="22"/>
            <w:szCs w:val="22"/>
            <w:lang w:val="cs-CZ" w:eastAsia="cs-CZ"/>
          </w:rPr>
          <w:tab/>
        </w:r>
        <w:r w:rsidRPr="00354A74">
          <w:rPr>
            <w:rStyle w:val="Hypertextovodkaz"/>
            <w:noProof/>
          </w:rPr>
          <w:t>Výměry lesní půdy a lesnatost podle krajů (v ha)</w:t>
        </w:r>
        <w:r>
          <w:rPr>
            <w:noProof/>
            <w:webHidden/>
          </w:rPr>
          <w:tab/>
        </w:r>
        <w:r>
          <w:rPr>
            <w:noProof/>
            <w:webHidden/>
          </w:rPr>
          <w:fldChar w:fldCharType="begin"/>
        </w:r>
        <w:r>
          <w:rPr>
            <w:noProof/>
            <w:webHidden/>
          </w:rPr>
          <w:instrText xml:space="preserve"> PAGEREF _Toc94181602 \h </w:instrText>
        </w:r>
        <w:r>
          <w:rPr>
            <w:noProof/>
            <w:webHidden/>
          </w:rPr>
        </w:r>
        <w:r>
          <w:rPr>
            <w:noProof/>
            <w:webHidden/>
          </w:rPr>
          <w:fldChar w:fldCharType="separate"/>
        </w:r>
        <w:r>
          <w:rPr>
            <w:noProof/>
            <w:webHidden/>
          </w:rPr>
          <w:t>75</w:t>
        </w:r>
        <w:r>
          <w:rPr>
            <w:noProof/>
            <w:webHidden/>
          </w:rPr>
          <w:fldChar w:fldCharType="end"/>
        </w:r>
      </w:hyperlink>
    </w:p>
    <w:p w14:paraId="2FD01BD0" w14:textId="193C3B1A" w:rsidR="00315A11" w:rsidRDefault="00315A11">
      <w:pPr>
        <w:pStyle w:val="Obsah4"/>
        <w:rPr>
          <w:rFonts w:asciiTheme="minorHAnsi" w:eastAsiaTheme="minorEastAsia" w:hAnsiTheme="minorHAnsi"/>
          <w:noProof/>
          <w:sz w:val="22"/>
          <w:szCs w:val="22"/>
          <w:lang w:val="cs-CZ" w:eastAsia="cs-CZ"/>
        </w:rPr>
      </w:pPr>
      <w:hyperlink w:anchor="_Toc94181603" w:history="1">
        <w:r w:rsidRPr="00354A74">
          <w:rPr>
            <w:rStyle w:val="Hypertextovodkaz"/>
            <w:noProof/>
          </w:rPr>
          <w:t>Tabulka 52</w:t>
        </w:r>
        <w:r>
          <w:rPr>
            <w:rFonts w:asciiTheme="minorHAnsi" w:eastAsiaTheme="minorEastAsia" w:hAnsiTheme="minorHAnsi"/>
            <w:noProof/>
            <w:sz w:val="22"/>
            <w:szCs w:val="22"/>
            <w:lang w:val="cs-CZ" w:eastAsia="cs-CZ"/>
          </w:rPr>
          <w:tab/>
        </w:r>
        <w:r w:rsidRPr="00354A74">
          <w:rPr>
            <w:rStyle w:val="Hypertextovodkaz"/>
            <w:noProof/>
          </w:rPr>
          <w:t>Možnosti efektivního řešení problému v rámci nástrojů SZP - Narůstající teploty a klesající výnosy zemědělských plodin</w:t>
        </w:r>
        <w:r>
          <w:rPr>
            <w:noProof/>
            <w:webHidden/>
          </w:rPr>
          <w:tab/>
        </w:r>
        <w:r>
          <w:rPr>
            <w:noProof/>
            <w:webHidden/>
          </w:rPr>
          <w:fldChar w:fldCharType="begin"/>
        </w:r>
        <w:r>
          <w:rPr>
            <w:noProof/>
            <w:webHidden/>
          </w:rPr>
          <w:instrText xml:space="preserve"> PAGEREF _Toc94181603 \h </w:instrText>
        </w:r>
        <w:r>
          <w:rPr>
            <w:noProof/>
            <w:webHidden/>
          </w:rPr>
        </w:r>
        <w:r>
          <w:rPr>
            <w:noProof/>
            <w:webHidden/>
          </w:rPr>
          <w:fldChar w:fldCharType="separate"/>
        </w:r>
        <w:r>
          <w:rPr>
            <w:noProof/>
            <w:webHidden/>
          </w:rPr>
          <w:t>76</w:t>
        </w:r>
        <w:r>
          <w:rPr>
            <w:noProof/>
            <w:webHidden/>
          </w:rPr>
          <w:fldChar w:fldCharType="end"/>
        </w:r>
      </w:hyperlink>
    </w:p>
    <w:p w14:paraId="5DC7C8F0" w14:textId="1B88D2CD" w:rsidR="00315A11" w:rsidRDefault="00315A11">
      <w:pPr>
        <w:pStyle w:val="Obsah4"/>
        <w:rPr>
          <w:rFonts w:asciiTheme="minorHAnsi" w:eastAsiaTheme="minorEastAsia" w:hAnsiTheme="minorHAnsi"/>
          <w:noProof/>
          <w:sz w:val="22"/>
          <w:szCs w:val="22"/>
          <w:lang w:val="cs-CZ" w:eastAsia="cs-CZ"/>
        </w:rPr>
      </w:pPr>
      <w:hyperlink w:anchor="_Toc94181604" w:history="1">
        <w:r w:rsidRPr="00354A74">
          <w:rPr>
            <w:rStyle w:val="Hypertextovodkaz"/>
            <w:rFonts w:cs="Times New Roman"/>
            <w:noProof/>
          </w:rPr>
          <w:t>Tabulka 53</w:t>
        </w:r>
        <w:r>
          <w:rPr>
            <w:rFonts w:asciiTheme="minorHAnsi" w:eastAsiaTheme="minorEastAsia" w:hAnsiTheme="minorHAnsi"/>
            <w:noProof/>
            <w:sz w:val="22"/>
            <w:szCs w:val="22"/>
            <w:lang w:val="cs-CZ" w:eastAsia="cs-CZ"/>
          </w:rPr>
          <w:tab/>
        </w:r>
        <w:r w:rsidRPr="00354A74">
          <w:rPr>
            <w:rStyle w:val="Hypertextovodkaz"/>
            <w:rFonts w:eastAsia="Calibri"/>
            <w:noProof/>
          </w:rPr>
          <w:t xml:space="preserve">Možnosti efektivního řešení problému v rámci nástrojů SZP - </w:t>
        </w:r>
        <w:r w:rsidRPr="00354A74">
          <w:rPr>
            <w:rStyle w:val="Hypertextovodkaz"/>
            <w:noProof/>
          </w:rPr>
          <w:t>Šíření nových chorob, škůdců a</w:t>
        </w:r>
        <w:r w:rsidRPr="00354A74">
          <w:rPr>
            <w:rStyle w:val="Hypertextovodkaz"/>
            <w:rFonts w:cs="Times New Roman"/>
            <w:noProof/>
          </w:rPr>
          <w:t xml:space="preserve"> </w:t>
        </w:r>
        <w:r w:rsidRPr="00354A74">
          <w:rPr>
            <w:rStyle w:val="Hypertextovodkaz"/>
            <w:noProof/>
          </w:rPr>
          <w:t>plevelů</w:t>
        </w:r>
        <w:r>
          <w:rPr>
            <w:noProof/>
            <w:webHidden/>
          </w:rPr>
          <w:tab/>
        </w:r>
        <w:r>
          <w:rPr>
            <w:noProof/>
            <w:webHidden/>
          </w:rPr>
          <w:fldChar w:fldCharType="begin"/>
        </w:r>
        <w:r>
          <w:rPr>
            <w:noProof/>
            <w:webHidden/>
          </w:rPr>
          <w:instrText xml:space="preserve"> PAGEREF _Toc94181604 \h </w:instrText>
        </w:r>
        <w:r>
          <w:rPr>
            <w:noProof/>
            <w:webHidden/>
          </w:rPr>
        </w:r>
        <w:r>
          <w:rPr>
            <w:noProof/>
            <w:webHidden/>
          </w:rPr>
          <w:fldChar w:fldCharType="separate"/>
        </w:r>
        <w:r>
          <w:rPr>
            <w:noProof/>
            <w:webHidden/>
          </w:rPr>
          <w:t>77</w:t>
        </w:r>
        <w:r>
          <w:rPr>
            <w:noProof/>
            <w:webHidden/>
          </w:rPr>
          <w:fldChar w:fldCharType="end"/>
        </w:r>
      </w:hyperlink>
    </w:p>
    <w:p w14:paraId="547478E0" w14:textId="39725282" w:rsidR="00315A11" w:rsidRDefault="00315A11">
      <w:pPr>
        <w:pStyle w:val="Obsah4"/>
        <w:rPr>
          <w:rFonts w:asciiTheme="minorHAnsi" w:eastAsiaTheme="minorEastAsia" w:hAnsiTheme="minorHAnsi"/>
          <w:noProof/>
          <w:sz w:val="22"/>
          <w:szCs w:val="22"/>
          <w:lang w:val="cs-CZ" w:eastAsia="cs-CZ"/>
        </w:rPr>
      </w:pPr>
      <w:hyperlink w:anchor="_Toc94181605" w:history="1">
        <w:r w:rsidRPr="00354A74">
          <w:rPr>
            <w:rStyle w:val="Hypertextovodkaz"/>
            <w:noProof/>
          </w:rPr>
          <w:t>Tabulka 54</w:t>
        </w:r>
        <w:r>
          <w:rPr>
            <w:rFonts w:asciiTheme="minorHAnsi" w:eastAsiaTheme="minorEastAsia" w:hAnsiTheme="minorHAnsi"/>
            <w:noProof/>
            <w:sz w:val="22"/>
            <w:szCs w:val="22"/>
            <w:lang w:val="cs-CZ" w:eastAsia="cs-CZ"/>
          </w:rPr>
          <w:tab/>
        </w:r>
        <w:r w:rsidRPr="00354A74">
          <w:rPr>
            <w:rStyle w:val="Hypertextovodkaz"/>
            <w:noProof/>
          </w:rPr>
          <w:t>Možnosti efektivního řešení problému v rámci nástrojů SZP - Nepříznivé trendy změny klimatu a vodní bilance půd +  Negativní dopady zemědělského sucha</w:t>
        </w:r>
        <w:r>
          <w:rPr>
            <w:noProof/>
            <w:webHidden/>
          </w:rPr>
          <w:tab/>
        </w:r>
        <w:r>
          <w:rPr>
            <w:noProof/>
            <w:webHidden/>
          </w:rPr>
          <w:fldChar w:fldCharType="begin"/>
        </w:r>
        <w:r>
          <w:rPr>
            <w:noProof/>
            <w:webHidden/>
          </w:rPr>
          <w:instrText xml:space="preserve"> PAGEREF _Toc94181605 \h </w:instrText>
        </w:r>
        <w:r>
          <w:rPr>
            <w:noProof/>
            <w:webHidden/>
          </w:rPr>
        </w:r>
        <w:r>
          <w:rPr>
            <w:noProof/>
            <w:webHidden/>
          </w:rPr>
          <w:fldChar w:fldCharType="separate"/>
        </w:r>
        <w:r>
          <w:rPr>
            <w:noProof/>
            <w:webHidden/>
          </w:rPr>
          <w:t>78</w:t>
        </w:r>
        <w:r>
          <w:rPr>
            <w:noProof/>
            <w:webHidden/>
          </w:rPr>
          <w:fldChar w:fldCharType="end"/>
        </w:r>
      </w:hyperlink>
    </w:p>
    <w:p w14:paraId="134E137A" w14:textId="60E87E27" w:rsidR="00315A11" w:rsidRDefault="00315A11">
      <w:pPr>
        <w:pStyle w:val="Obsah4"/>
        <w:rPr>
          <w:rFonts w:asciiTheme="minorHAnsi" w:eastAsiaTheme="minorEastAsia" w:hAnsiTheme="minorHAnsi"/>
          <w:noProof/>
          <w:sz w:val="22"/>
          <w:szCs w:val="22"/>
          <w:lang w:val="cs-CZ" w:eastAsia="cs-CZ"/>
        </w:rPr>
      </w:pPr>
      <w:hyperlink w:anchor="_Toc94181606" w:history="1">
        <w:r w:rsidRPr="00354A74">
          <w:rPr>
            <w:rStyle w:val="Hypertextovodkaz"/>
            <w:noProof/>
          </w:rPr>
          <w:t>Tabulka 55</w:t>
        </w:r>
        <w:r>
          <w:rPr>
            <w:rFonts w:asciiTheme="minorHAnsi" w:eastAsiaTheme="minorEastAsia" w:hAnsiTheme="minorHAnsi"/>
            <w:noProof/>
            <w:sz w:val="22"/>
            <w:szCs w:val="22"/>
            <w:lang w:val="cs-CZ" w:eastAsia="cs-CZ"/>
          </w:rPr>
          <w:tab/>
        </w:r>
        <w:r w:rsidRPr="00354A74">
          <w:rPr>
            <w:rStyle w:val="Hypertextovodkaz"/>
            <w:noProof/>
          </w:rPr>
          <w:t>Možnosti efektivního řešení problému v rámci nástrojů SZP - Riziko vodní eroze a dalších degradačních faktorů</w:t>
        </w:r>
        <w:r>
          <w:rPr>
            <w:noProof/>
            <w:webHidden/>
          </w:rPr>
          <w:tab/>
        </w:r>
        <w:r>
          <w:rPr>
            <w:noProof/>
            <w:webHidden/>
          </w:rPr>
          <w:fldChar w:fldCharType="begin"/>
        </w:r>
        <w:r>
          <w:rPr>
            <w:noProof/>
            <w:webHidden/>
          </w:rPr>
          <w:instrText xml:space="preserve"> PAGEREF _Toc94181606 \h </w:instrText>
        </w:r>
        <w:r>
          <w:rPr>
            <w:noProof/>
            <w:webHidden/>
          </w:rPr>
        </w:r>
        <w:r>
          <w:rPr>
            <w:noProof/>
            <w:webHidden/>
          </w:rPr>
          <w:fldChar w:fldCharType="separate"/>
        </w:r>
        <w:r>
          <w:rPr>
            <w:noProof/>
            <w:webHidden/>
          </w:rPr>
          <w:t>80</w:t>
        </w:r>
        <w:r>
          <w:rPr>
            <w:noProof/>
            <w:webHidden/>
          </w:rPr>
          <w:fldChar w:fldCharType="end"/>
        </w:r>
      </w:hyperlink>
    </w:p>
    <w:p w14:paraId="354DEA97" w14:textId="01392BD2" w:rsidR="00315A11" w:rsidRDefault="00315A11">
      <w:pPr>
        <w:pStyle w:val="Obsah4"/>
        <w:rPr>
          <w:rFonts w:asciiTheme="minorHAnsi" w:eastAsiaTheme="minorEastAsia" w:hAnsiTheme="minorHAnsi"/>
          <w:noProof/>
          <w:sz w:val="22"/>
          <w:szCs w:val="22"/>
          <w:lang w:val="cs-CZ" w:eastAsia="cs-CZ"/>
        </w:rPr>
      </w:pPr>
      <w:hyperlink w:anchor="_Toc94181607" w:history="1">
        <w:r w:rsidRPr="00354A74">
          <w:rPr>
            <w:rStyle w:val="Hypertextovodkaz"/>
            <w:noProof/>
          </w:rPr>
          <w:t>Tabulka 56</w:t>
        </w:r>
        <w:r>
          <w:rPr>
            <w:rFonts w:asciiTheme="minorHAnsi" w:eastAsiaTheme="minorEastAsia" w:hAnsiTheme="minorHAnsi"/>
            <w:noProof/>
            <w:sz w:val="22"/>
            <w:szCs w:val="22"/>
            <w:lang w:val="cs-CZ" w:eastAsia="cs-CZ"/>
          </w:rPr>
          <w:tab/>
        </w:r>
        <w:r w:rsidRPr="00354A74">
          <w:rPr>
            <w:rStyle w:val="Hypertextovodkaz"/>
            <w:noProof/>
          </w:rPr>
          <w:t>Možnosti efektivního řešení problému v rámci nástrojů SZP - Nevhodné nakládání se srážkovou vodou v krajině</w:t>
        </w:r>
        <w:r>
          <w:rPr>
            <w:noProof/>
            <w:webHidden/>
          </w:rPr>
          <w:tab/>
        </w:r>
        <w:r>
          <w:rPr>
            <w:noProof/>
            <w:webHidden/>
          </w:rPr>
          <w:fldChar w:fldCharType="begin"/>
        </w:r>
        <w:r>
          <w:rPr>
            <w:noProof/>
            <w:webHidden/>
          </w:rPr>
          <w:instrText xml:space="preserve"> PAGEREF _Toc94181607 \h </w:instrText>
        </w:r>
        <w:r>
          <w:rPr>
            <w:noProof/>
            <w:webHidden/>
          </w:rPr>
        </w:r>
        <w:r>
          <w:rPr>
            <w:noProof/>
            <w:webHidden/>
          </w:rPr>
          <w:fldChar w:fldCharType="separate"/>
        </w:r>
        <w:r>
          <w:rPr>
            <w:noProof/>
            <w:webHidden/>
          </w:rPr>
          <w:t>81</w:t>
        </w:r>
        <w:r>
          <w:rPr>
            <w:noProof/>
            <w:webHidden/>
          </w:rPr>
          <w:fldChar w:fldCharType="end"/>
        </w:r>
      </w:hyperlink>
    </w:p>
    <w:p w14:paraId="092D7056" w14:textId="23066A2F" w:rsidR="00315A11" w:rsidRDefault="00315A11">
      <w:pPr>
        <w:pStyle w:val="Obsah4"/>
        <w:rPr>
          <w:rFonts w:asciiTheme="minorHAnsi" w:eastAsiaTheme="minorEastAsia" w:hAnsiTheme="minorHAnsi"/>
          <w:noProof/>
          <w:sz w:val="22"/>
          <w:szCs w:val="22"/>
          <w:lang w:val="cs-CZ" w:eastAsia="cs-CZ"/>
        </w:rPr>
      </w:pPr>
      <w:hyperlink w:anchor="_Toc94181608" w:history="1">
        <w:r w:rsidRPr="00354A74">
          <w:rPr>
            <w:rStyle w:val="Hypertextovodkaz"/>
            <w:noProof/>
          </w:rPr>
          <w:t>Tabulka 57</w:t>
        </w:r>
        <w:r>
          <w:rPr>
            <w:rFonts w:asciiTheme="minorHAnsi" w:eastAsiaTheme="minorEastAsia" w:hAnsiTheme="minorHAnsi"/>
            <w:noProof/>
            <w:sz w:val="22"/>
            <w:szCs w:val="22"/>
            <w:lang w:val="cs-CZ" w:eastAsia="cs-CZ"/>
          </w:rPr>
          <w:tab/>
        </w:r>
        <w:r w:rsidRPr="00354A74">
          <w:rPr>
            <w:rStyle w:val="Hypertextovodkaz"/>
            <w:noProof/>
          </w:rPr>
          <w:t>Možnosti efektivního řešení problému v rámci nástrojů SZP - Zvyšování teplot</w:t>
        </w:r>
        <w:r>
          <w:rPr>
            <w:noProof/>
            <w:webHidden/>
          </w:rPr>
          <w:tab/>
        </w:r>
        <w:r>
          <w:rPr>
            <w:noProof/>
            <w:webHidden/>
          </w:rPr>
          <w:fldChar w:fldCharType="begin"/>
        </w:r>
        <w:r>
          <w:rPr>
            <w:noProof/>
            <w:webHidden/>
          </w:rPr>
          <w:instrText xml:space="preserve"> PAGEREF _Toc94181608 \h </w:instrText>
        </w:r>
        <w:r>
          <w:rPr>
            <w:noProof/>
            <w:webHidden/>
          </w:rPr>
        </w:r>
        <w:r>
          <w:rPr>
            <w:noProof/>
            <w:webHidden/>
          </w:rPr>
          <w:fldChar w:fldCharType="separate"/>
        </w:r>
        <w:r>
          <w:rPr>
            <w:noProof/>
            <w:webHidden/>
          </w:rPr>
          <w:t>82</w:t>
        </w:r>
        <w:r>
          <w:rPr>
            <w:noProof/>
            <w:webHidden/>
          </w:rPr>
          <w:fldChar w:fldCharType="end"/>
        </w:r>
      </w:hyperlink>
    </w:p>
    <w:p w14:paraId="2F3B3FAD" w14:textId="579DFAB2" w:rsidR="00315A11" w:rsidRDefault="00315A11">
      <w:pPr>
        <w:pStyle w:val="Obsah4"/>
        <w:rPr>
          <w:rFonts w:asciiTheme="minorHAnsi" w:eastAsiaTheme="minorEastAsia" w:hAnsiTheme="minorHAnsi"/>
          <w:noProof/>
          <w:sz w:val="22"/>
          <w:szCs w:val="22"/>
          <w:lang w:val="cs-CZ" w:eastAsia="cs-CZ"/>
        </w:rPr>
      </w:pPr>
      <w:hyperlink w:anchor="_Toc94181609" w:history="1">
        <w:r w:rsidRPr="00354A74">
          <w:rPr>
            <w:rStyle w:val="Hypertextovodkaz"/>
            <w:noProof/>
          </w:rPr>
          <w:t>Tabulka 58</w:t>
        </w:r>
        <w:r>
          <w:rPr>
            <w:rFonts w:asciiTheme="minorHAnsi" w:eastAsiaTheme="minorEastAsia" w:hAnsiTheme="minorHAnsi"/>
            <w:noProof/>
            <w:sz w:val="22"/>
            <w:szCs w:val="22"/>
            <w:lang w:val="cs-CZ" w:eastAsia="cs-CZ"/>
          </w:rPr>
          <w:tab/>
        </w:r>
        <w:r w:rsidRPr="00354A74">
          <w:rPr>
            <w:rStyle w:val="Hypertextovodkaz"/>
            <w:noProof/>
          </w:rPr>
          <w:t>Možnosti efektivního řešení problému v rámci nástrojů SZP - Výskyt extrémních srážek</w:t>
        </w:r>
        <w:r>
          <w:rPr>
            <w:noProof/>
            <w:webHidden/>
          </w:rPr>
          <w:tab/>
        </w:r>
        <w:r>
          <w:rPr>
            <w:noProof/>
            <w:webHidden/>
          </w:rPr>
          <w:fldChar w:fldCharType="begin"/>
        </w:r>
        <w:r>
          <w:rPr>
            <w:noProof/>
            <w:webHidden/>
          </w:rPr>
          <w:instrText xml:space="preserve"> PAGEREF _Toc94181609 \h </w:instrText>
        </w:r>
        <w:r>
          <w:rPr>
            <w:noProof/>
            <w:webHidden/>
          </w:rPr>
        </w:r>
        <w:r>
          <w:rPr>
            <w:noProof/>
            <w:webHidden/>
          </w:rPr>
          <w:fldChar w:fldCharType="separate"/>
        </w:r>
        <w:r>
          <w:rPr>
            <w:noProof/>
            <w:webHidden/>
          </w:rPr>
          <w:t>83</w:t>
        </w:r>
        <w:r>
          <w:rPr>
            <w:noProof/>
            <w:webHidden/>
          </w:rPr>
          <w:fldChar w:fldCharType="end"/>
        </w:r>
      </w:hyperlink>
    </w:p>
    <w:p w14:paraId="0F069EAD" w14:textId="7862C08B" w:rsidR="00315A11" w:rsidRDefault="00315A11">
      <w:pPr>
        <w:pStyle w:val="Obsah4"/>
        <w:rPr>
          <w:rFonts w:asciiTheme="minorHAnsi" w:eastAsiaTheme="minorEastAsia" w:hAnsiTheme="minorHAnsi"/>
          <w:noProof/>
          <w:sz w:val="22"/>
          <w:szCs w:val="22"/>
          <w:lang w:val="cs-CZ" w:eastAsia="cs-CZ"/>
        </w:rPr>
      </w:pPr>
      <w:hyperlink w:anchor="_Toc94181610" w:history="1">
        <w:r w:rsidRPr="00354A74">
          <w:rPr>
            <w:rStyle w:val="Hypertextovodkaz"/>
            <w:noProof/>
          </w:rPr>
          <w:t>Tabulka 59</w:t>
        </w:r>
        <w:r>
          <w:rPr>
            <w:rFonts w:asciiTheme="minorHAnsi" w:eastAsiaTheme="minorEastAsia" w:hAnsiTheme="minorHAnsi"/>
            <w:noProof/>
            <w:sz w:val="22"/>
            <w:szCs w:val="22"/>
            <w:lang w:val="cs-CZ" w:eastAsia="cs-CZ"/>
          </w:rPr>
          <w:tab/>
        </w:r>
        <w:r w:rsidRPr="00354A74">
          <w:rPr>
            <w:rStyle w:val="Hypertextovodkaz"/>
            <w:noProof/>
          </w:rPr>
          <w:t>Možnosti efektivního řešení problému v rámci nástrojů SZP - Výskyt extrémních rychlostí větru</w:t>
        </w:r>
        <w:r>
          <w:rPr>
            <w:noProof/>
            <w:webHidden/>
          </w:rPr>
          <w:tab/>
        </w:r>
        <w:r>
          <w:rPr>
            <w:noProof/>
            <w:webHidden/>
          </w:rPr>
          <w:fldChar w:fldCharType="begin"/>
        </w:r>
        <w:r>
          <w:rPr>
            <w:noProof/>
            <w:webHidden/>
          </w:rPr>
          <w:instrText xml:space="preserve"> PAGEREF _Toc94181610 \h </w:instrText>
        </w:r>
        <w:r>
          <w:rPr>
            <w:noProof/>
            <w:webHidden/>
          </w:rPr>
        </w:r>
        <w:r>
          <w:rPr>
            <w:noProof/>
            <w:webHidden/>
          </w:rPr>
          <w:fldChar w:fldCharType="separate"/>
        </w:r>
        <w:r>
          <w:rPr>
            <w:noProof/>
            <w:webHidden/>
          </w:rPr>
          <w:t>84</w:t>
        </w:r>
        <w:r>
          <w:rPr>
            <w:noProof/>
            <w:webHidden/>
          </w:rPr>
          <w:fldChar w:fldCharType="end"/>
        </w:r>
      </w:hyperlink>
    </w:p>
    <w:p w14:paraId="0C0209A0" w14:textId="6D3EF0D2" w:rsidR="00315A11" w:rsidRDefault="00315A11">
      <w:pPr>
        <w:pStyle w:val="Obsah4"/>
        <w:rPr>
          <w:rFonts w:asciiTheme="minorHAnsi" w:eastAsiaTheme="minorEastAsia" w:hAnsiTheme="minorHAnsi"/>
          <w:noProof/>
          <w:sz w:val="22"/>
          <w:szCs w:val="22"/>
          <w:lang w:val="cs-CZ" w:eastAsia="cs-CZ"/>
        </w:rPr>
      </w:pPr>
      <w:hyperlink w:anchor="_Toc94181611" w:history="1">
        <w:r w:rsidRPr="00354A74">
          <w:rPr>
            <w:rStyle w:val="Hypertextovodkaz"/>
            <w:noProof/>
          </w:rPr>
          <w:t>Tabulka 60</w:t>
        </w:r>
        <w:r>
          <w:rPr>
            <w:rFonts w:asciiTheme="minorHAnsi" w:eastAsiaTheme="minorEastAsia" w:hAnsiTheme="minorHAnsi"/>
            <w:noProof/>
            <w:sz w:val="22"/>
            <w:szCs w:val="22"/>
            <w:lang w:val="cs-CZ" w:eastAsia="cs-CZ"/>
          </w:rPr>
          <w:tab/>
        </w:r>
        <w:r w:rsidRPr="00354A74">
          <w:rPr>
            <w:rStyle w:val="Hypertextovodkaz"/>
            <w:noProof/>
          </w:rPr>
          <w:t>Možnosti efektivního řešení problému v rámci nástrojů SZP</w:t>
        </w:r>
        <w:r>
          <w:rPr>
            <w:noProof/>
            <w:webHidden/>
          </w:rPr>
          <w:tab/>
        </w:r>
        <w:r>
          <w:rPr>
            <w:noProof/>
            <w:webHidden/>
          </w:rPr>
          <w:fldChar w:fldCharType="begin"/>
        </w:r>
        <w:r>
          <w:rPr>
            <w:noProof/>
            <w:webHidden/>
          </w:rPr>
          <w:instrText xml:space="preserve"> PAGEREF _Toc94181611 \h </w:instrText>
        </w:r>
        <w:r>
          <w:rPr>
            <w:noProof/>
            <w:webHidden/>
          </w:rPr>
        </w:r>
        <w:r>
          <w:rPr>
            <w:noProof/>
            <w:webHidden/>
          </w:rPr>
          <w:fldChar w:fldCharType="separate"/>
        </w:r>
        <w:r>
          <w:rPr>
            <w:noProof/>
            <w:webHidden/>
          </w:rPr>
          <w:t>85</w:t>
        </w:r>
        <w:r>
          <w:rPr>
            <w:noProof/>
            <w:webHidden/>
          </w:rPr>
          <w:fldChar w:fldCharType="end"/>
        </w:r>
      </w:hyperlink>
    </w:p>
    <w:p w14:paraId="4537EA22" w14:textId="2E6390F2" w:rsidR="00315A11" w:rsidRDefault="00315A11">
      <w:pPr>
        <w:pStyle w:val="Obsah4"/>
        <w:rPr>
          <w:rFonts w:asciiTheme="minorHAnsi" w:eastAsiaTheme="minorEastAsia" w:hAnsiTheme="minorHAnsi"/>
          <w:noProof/>
          <w:sz w:val="22"/>
          <w:szCs w:val="22"/>
          <w:lang w:val="cs-CZ" w:eastAsia="cs-CZ"/>
        </w:rPr>
      </w:pPr>
      <w:hyperlink w:anchor="_Toc94181612" w:history="1">
        <w:r w:rsidRPr="00354A74">
          <w:rPr>
            <w:rStyle w:val="Hypertextovodkaz"/>
            <w:noProof/>
          </w:rPr>
          <w:t>Tabulka 61</w:t>
        </w:r>
        <w:r>
          <w:rPr>
            <w:rFonts w:asciiTheme="minorHAnsi" w:eastAsiaTheme="minorEastAsia" w:hAnsiTheme="minorHAnsi"/>
            <w:noProof/>
            <w:sz w:val="22"/>
            <w:szCs w:val="22"/>
            <w:lang w:val="cs-CZ" w:eastAsia="cs-CZ"/>
          </w:rPr>
          <w:tab/>
        </w:r>
        <w:r w:rsidRPr="00354A74">
          <w:rPr>
            <w:rStyle w:val="Hypertextovodkaz"/>
            <w:noProof/>
          </w:rPr>
          <w:t>Možnosti efektivního řešení problému v rámci nástrojů SZP - Vysoké emise CO</w:t>
        </w:r>
        <w:r w:rsidRPr="00354A74">
          <w:rPr>
            <w:rStyle w:val="Hypertextovodkaz"/>
            <w:noProof/>
            <w:vertAlign w:val="subscript"/>
          </w:rPr>
          <w:t>2</w:t>
        </w:r>
        <w:r w:rsidRPr="00354A74">
          <w:rPr>
            <w:rStyle w:val="Hypertextovodkaz"/>
            <w:noProof/>
          </w:rPr>
          <w:t>, NO</w:t>
        </w:r>
        <w:r w:rsidRPr="00354A74">
          <w:rPr>
            <w:rStyle w:val="Hypertextovodkaz"/>
            <w:noProof/>
            <w:vertAlign w:val="subscript"/>
          </w:rPr>
          <w:t>x</w:t>
        </w:r>
        <w:r w:rsidRPr="00354A74">
          <w:rPr>
            <w:rStyle w:val="Hypertextovodkaz"/>
            <w:noProof/>
          </w:rPr>
          <w:t>, CH</w:t>
        </w:r>
        <w:r w:rsidRPr="00354A74">
          <w:rPr>
            <w:rStyle w:val="Hypertextovodkaz"/>
            <w:noProof/>
            <w:vertAlign w:val="subscript"/>
          </w:rPr>
          <w:t>4</w:t>
        </w:r>
        <w:r w:rsidRPr="00354A74">
          <w:rPr>
            <w:rStyle w:val="Hypertextovodkaz"/>
            <w:noProof/>
          </w:rPr>
          <w:t>, NH</w:t>
        </w:r>
        <w:r w:rsidRPr="00354A74">
          <w:rPr>
            <w:rStyle w:val="Hypertextovodkaz"/>
            <w:noProof/>
            <w:vertAlign w:val="subscript"/>
          </w:rPr>
          <w:t>3</w:t>
        </w:r>
        <w:r w:rsidRPr="00354A74">
          <w:rPr>
            <w:rStyle w:val="Hypertextovodkaz"/>
            <w:noProof/>
          </w:rPr>
          <w:t xml:space="preserve"> ze zemědělské půdy</w:t>
        </w:r>
        <w:r>
          <w:rPr>
            <w:noProof/>
            <w:webHidden/>
          </w:rPr>
          <w:tab/>
        </w:r>
        <w:r>
          <w:rPr>
            <w:noProof/>
            <w:webHidden/>
          </w:rPr>
          <w:fldChar w:fldCharType="begin"/>
        </w:r>
        <w:r>
          <w:rPr>
            <w:noProof/>
            <w:webHidden/>
          </w:rPr>
          <w:instrText xml:space="preserve"> PAGEREF _Toc94181612 \h </w:instrText>
        </w:r>
        <w:r>
          <w:rPr>
            <w:noProof/>
            <w:webHidden/>
          </w:rPr>
        </w:r>
        <w:r>
          <w:rPr>
            <w:noProof/>
            <w:webHidden/>
          </w:rPr>
          <w:fldChar w:fldCharType="separate"/>
        </w:r>
        <w:r>
          <w:rPr>
            <w:noProof/>
            <w:webHidden/>
          </w:rPr>
          <w:t>86</w:t>
        </w:r>
        <w:r>
          <w:rPr>
            <w:noProof/>
            <w:webHidden/>
          </w:rPr>
          <w:fldChar w:fldCharType="end"/>
        </w:r>
      </w:hyperlink>
    </w:p>
    <w:p w14:paraId="0D1DFE3C" w14:textId="719496C2" w:rsidR="00315A11" w:rsidRDefault="00315A11">
      <w:pPr>
        <w:pStyle w:val="Obsah4"/>
        <w:rPr>
          <w:rFonts w:asciiTheme="minorHAnsi" w:eastAsiaTheme="minorEastAsia" w:hAnsiTheme="minorHAnsi"/>
          <w:noProof/>
          <w:sz w:val="22"/>
          <w:szCs w:val="22"/>
          <w:lang w:val="cs-CZ" w:eastAsia="cs-CZ"/>
        </w:rPr>
      </w:pPr>
      <w:hyperlink w:anchor="_Toc94181613" w:history="1">
        <w:r w:rsidRPr="00354A74">
          <w:rPr>
            <w:rStyle w:val="Hypertextovodkaz"/>
            <w:noProof/>
          </w:rPr>
          <w:t>Tabulka 62</w:t>
        </w:r>
        <w:r>
          <w:rPr>
            <w:rFonts w:asciiTheme="minorHAnsi" w:eastAsiaTheme="minorEastAsia" w:hAnsiTheme="minorHAnsi"/>
            <w:noProof/>
            <w:sz w:val="22"/>
            <w:szCs w:val="22"/>
            <w:lang w:val="cs-CZ" w:eastAsia="cs-CZ"/>
          </w:rPr>
          <w:tab/>
        </w:r>
        <w:r w:rsidRPr="00354A74">
          <w:rPr>
            <w:rStyle w:val="Hypertextovodkaz"/>
            <w:noProof/>
          </w:rPr>
          <w:t>Možnosti efektivního řešení problému v rámci nástrojů SZP - Nevyužívání půdoochranných technologií</w:t>
        </w:r>
        <w:r>
          <w:rPr>
            <w:noProof/>
            <w:webHidden/>
          </w:rPr>
          <w:tab/>
        </w:r>
        <w:r>
          <w:rPr>
            <w:noProof/>
            <w:webHidden/>
          </w:rPr>
          <w:fldChar w:fldCharType="begin"/>
        </w:r>
        <w:r>
          <w:rPr>
            <w:noProof/>
            <w:webHidden/>
          </w:rPr>
          <w:instrText xml:space="preserve"> PAGEREF _Toc94181613 \h </w:instrText>
        </w:r>
        <w:r>
          <w:rPr>
            <w:noProof/>
            <w:webHidden/>
          </w:rPr>
        </w:r>
        <w:r>
          <w:rPr>
            <w:noProof/>
            <w:webHidden/>
          </w:rPr>
          <w:fldChar w:fldCharType="separate"/>
        </w:r>
        <w:r>
          <w:rPr>
            <w:noProof/>
            <w:webHidden/>
          </w:rPr>
          <w:t>87</w:t>
        </w:r>
        <w:r>
          <w:rPr>
            <w:noProof/>
            <w:webHidden/>
          </w:rPr>
          <w:fldChar w:fldCharType="end"/>
        </w:r>
      </w:hyperlink>
    </w:p>
    <w:p w14:paraId="52AEFC24" w14:textId="68085F71" w:rsidR="00315A11" w:rsidRDefault="00315A11">
      <w:pPr>
        <w:pStyle w:val="Obsah4"/>
        <w:rPr>
          <w:rFonts w:asciiTheme="minorHAnsi" w:eastAsiaTheme="minorEastAsia" w:hAnsiTheme="minorHAnsi"/>
          <w:noProof/>
          <w:sz w:val="22"/>
          <w:szCs w:val="22"/>
          <w:lang w:val="cs-CZ" w:eastAsia="cs-CZ"/>
        </w:rPr>
      </w:pPr>
      <w:hyperlink w:anchor="_Toc94181614" w:history="1">
        <w:r w:rsidRPr="00354A74">
          <w:rPr>
            <w:rStyle w:val="Hypertextovodkaz"/>
            <w:noProof/>
          </w:rPr>
          <w:t>Tabulka 63</w:t>
        </w:r>
        <w:r>
          <w:rPr>
            <w:rFonts w:asciiTheme="minorHAnsi" w:eastAsiaTheme="minorEastAsia" w:hAnsiTheme="minorHAnsi"/>
            <w:noProof/>
            <w:sz w:val="22"/>
            <w:szCs w:val="22"/>
            <w:lang w:val="cs-CZ" w:eastAsia="cs-CZ"/>
          </w:rPr>
          <w:tab/>
        </w:r>
        <w:r w:rsidRPr="00354A74">
          <w:rPr>
            <w:rStyle w:val="Hypertextovodkaz"/>
            <w:noProof/>
          </w:rPr>
          <w:t>Možnosti efektivního řešení problému v rámci nástrojů SZP - Nevyužívání změn managementu na půdě – zalesňování a zatravňování ZPF</w:t>
        </w:r>
        <w:r>
          <w:rPr>
            <w:noProof/>
            <w:webHidden/>
          </w:rPr>
          <w:tab/>
        </w:r>
        <w:r>
          <w:rPr>
            <w:noProof/>
            <w:webHidden/>
          </w:rPr>
          <w:fldChar w:fldCharType="begin"/>
        </w:r>
        <w:r>
          <w:rPr>
            <w:noProof/>
            <w:webHidden/>
          </w:rPr>
          <w:instrText xml:space="preserve"> PAGEREF _Toc94181614 \h </w:instrText>
        </w:r>
        <w:r>
          <w:rPr>
            <w:noProof/>
            <w:webHidden/>
          </w:rPr>
        </w:r>
        <w:r>
          <w:rPr>
            <w:noProof/>
            <w:webHidden/>
          </w:rPr>
          <w:fldChar w:fldCharType="separate"/>
        </w:r>
        <w:r>
          <w:rPr>
            <w:noProof/>
            <w:webHidden/>
          </w:rPr>
          <w:t>88</w:t>
        </w:r>
        <w:r>
          <w:rPr>
            <w:noProof/>
            <w:webHidden/>
          </w:rPr>
          <w:fldChar w:fldCharType="end"/>
        </w:r>
      </w:hyperlink>
    </w:p>
    <w:p w14:paraId="1E0BE1B3" w14:textId="6FF624F9" w:rsidR="00315A11" w:rsidRDefault="00315A11">
      <w:pPr>
        <w:pStyle w:val="Obsah4"/>
        <w:rPr>
          <w:rFonts w:asciiTheme="minorHAnsi" w:eastAsiaTheme="minorEastAsia" w:hAnsiTheme="minorHAnsi"/>
          <w:noProof/>
          <w:sz w:val="22"/>
          <w:szCs w:val="22"/>
          <w:lang w:val="cs-CZ" w:eastAsia="cs-CZ"/>
        </w:rPr>
      </w:pPr>
      <w:hyperlink w:anchor="_Toc94181615" w:history="1">
        <w:r w:rsidRPr="00354A74">
          <w:rPr>
            <w:rStyle w:val="Hypertextovodkaz"/>
            <w:noProof/>
          </w:rPr>
          <w:t>Tabulka 64</w:t>
        </w:r>
        <w:r>
          <w:rPr>
            <w:rFonts w:asciiTheme="minorHAnsi" w:eastAsiaTheme="minorEastAsia" w:hAnsiTheme="minorHAnsi"/>
            <w:noProof/>
            <w:sz w:val="22"/>
            <w:szCs w:val="22"/>
            <w:lang w:val="cs-CZ" w:eastAsia="cs-CZ"/>
          </w:rPr>
          <w:tab/>
        </w:r>
        <w:r w:rsidRPr="00354A74">
          <w:rPr>
            <w:rStyle w:val="Hypertextovodkaz"/>
            <w:noProof/>
          </w:rPr>
          <w:t>Možnosti efektivního řešení problému v rámci nástrojů SZP - Zavádění technologií snižujících emise GHG a NH</w:t>
        </w:r>
        <w:r w:rsidRPr="00354A74">
          <w:rPr>
            <w:rStyle w:val="Hypertextovodkaz"/>
            <w:noProof/>
            <w:vertAlign w:val="subscript"/>
          </w:rPr>
          <w:t>3</w:t>
        </w:r>
        <w:r>
          <w:rPr>
            <w:noProof/>
            <w:webHidden/>
          </w:rPr>
          <w:tab/>
        </w:r>
        <w:r>
          <w:rPr>
            <w:noProof/>
            <w:webHidden/>
          </w:rPr>
          <w:fldChar w:fldCharType="begin"/>
        </w:r>
        <w:r>
          <w:rPr>
            <w:noProof/>
            <w:webHidden/>
          </w:rPr>
          <w:instrText xml:space="preserve"> PAGEREF _Toc94181615 \h </w:instrText>
        </w:r>
        <w:r>
          <w:rPr>
            <w:noProof/>
            <w:webHidden/>
          </w:rPr>
        </w:r>
        <w:r>
          <w:rPr>
            <w:noProof/>
            <w:webHidden/>
          </w:rPr>
          <w:fldChar w:fldCharType="separate"/>
        </w:r>
        <w:r>
          <w:rPr>
            <w:noProof/>
            <w:webHidden/>
          </w:rPr>
          <w:t>89</w:t>
        </w:r>
        <w:r>
          <w:rPr>
            <w:noProof/>
            <w:webHidden/>
          </w:rPr>
          <w:fldChar w:fldCharType="end"/>
        </w:r>
      </w:hyperlink>
    </w:p>
    <w:p w14:paraId="48DE43BA" w14:textId="66EEAEC6" w:rsidR="00315A11" w:rsidRDefault="00315A11">
      <w:pPr>
        <w:pStyle w:val="Obsah4"/>
        <w:rPr>
          <w:rFonts w:asciiTheme="minorHAnsi" w:eastAsiaTheme="minorEastAsia" w:hAnsiTheme="minorHAnsi"/>
          <w:noProof/>
          <w:sz w:val="22"/>
          <w:szCs w:val="22"/>
          <w:lang w:val="cs-CZ" w:eastAsia="cs-CZ"/>
        </w:rPr>
      </w:pPr>
      <w:hyperlink w:anchor="_Toc94181616" w:history="1">
        <w:r w:rsidRPr="00354A74">
          <w:rPr>
            <w:rStyle w:val="Hypertextovodkaz"/>
            <w:noProof/>
          </w:rPr>
          <w:t>Tabulka 65</w:t>
        </w:r>
        <w:r>
          <w:rPr>
            <w:rFonts w:asciiTheme="minorHAnsi" w:eastAsiaTheme="minorEastAsia" w:hAnsiTheme="minorHAnsi"/>
            <w:noProof/>
            <w:sz w:val="22"/>
            <w:szCs w:val="22"/>
            <w:lang w:val="cs-CZ" w:eastAsia="cs-CZ"/>
          </w:rPr>
          <w:tab/>
        </w:r>
        <w:r w:rsidRPr="00354A74">
          <w:rPr>
            <w:rStyle w:val="Hypertextovodkaz"/>
            <w:noProof/>
          </w:rPr>
          <w:t>Možnosti efektivního řešení problému v rámci nástrojů SZP - Úbytek organického uhlíku v orné půdě</w:t>
        </w:r>
        <w:r>
          <w:rPr>
            <w:noProof/>
            <w:webHidden/>
          </w:rPr>
          <w:tab/>
        </w:r>
        <w:r>
          <w:rPr>
            <w:noProof/>
            <w:webHidden/>
          </w:rPr>
          <w:fldChar w:fldCharType="begin"/>
        </w:r>
        <w:r>
          <w:rPr>
            <w:noProof/>
            <w:webHidden/>
          </w:rPr>
          <w:instrText xml:space="preserve"> PAGEREF _Toc94181616 \h </w:instrText>
        </w:r>
        <w:r>
          <w:rPr>
            <w:noProof/>
            <w:webHidden/>
          </w:rPr>
        </w:r>
        <w:r>
          <w:rPr>
            <w:noProof/>
            <w:webHidden/>
          </w:rPr>
          <w:fldChar w:fldCharType="separate"/>
        </w:r>
        <w:r>
          <w:rPr>
            <w:noProof/>
            <w:webHidden/>
          </w:rPr>
          <w:t>90</w:t>
        </w:r>
        <w:r>
          <w:rPr>
            <w:noProof/>
            <w:webHidden/>
          </w:rPr>
          <w:fldChar w:fldCharType="end"/>
        </w:r>
      </w:hyperlink>
    </w:p>
    <w:p w14:paraId="11D91D26" w14:textId="7E26AE27" w:rsidR="00315A11" w:rsidRDefault="00315A11">
      <w:pPr>
        <w:pStyle w:val="Obsah4"/>
        <w:rPr>
          <w:rFonts w:asciiTheme="minorHAnsi" w:eastAsiaTheme="minorEastAsia" w:hAnsiTheme="minorHAnsi"/>
          <w:noProof/>
          <w:sz w:val="22"/>
          <w:szCs w:val="22"/>
          <w:lang w:val="cs-CZ" w:eastAsia="cs-CZ"/>
        </w:rPr>
      </w:pPr>
      <w:hyperlink w:anchor="_Toc94181617" w:history="1">
        <w:r w:rsidRPr="00354A74">
          <w:rPr>
            <w:rStyle w:val="Hypertextovodkaz"/>
            <w:noProof/>
          </w:rPr>
          <w:t>Tabulka 66</w:t>
        </w:r>
        <w:r>
          <w:rPr>
            <w:rFonts w:asciiTheme="minorHAnsi" w:eastAsiaTheme="minorEastAsia" w:hAnsiTheme="minorHAnsi"/>
            <w:noProof/>
            <w:sz w:val="22"/>
            <w:szCs w:val="22"/>
            <w:lang w:val="cs-CZ" w:eastAsia="cs-CZ"/>
          </w:rPr>
          <w:tab/>
        </w:r>
        <w:r w:rsidRPr="00354A74">
          <w:rPr>
            <w:rStyle w:val="Hypertextovodkaz"/>
            <w:noProof/>
          </w:rPr>
          <w:t>Možnosti efektivního řešení problému v rámci nástrojů SZP - Nedostatečné hospodaření na půdě z hlediska bilancování organické hmoty</w:t>
        </w:r>
        <w:r>
          <w:rPr>
            <w:noProof/>
            <w:webHidden/>
          </w:rPr>
          <w:tab/>
        </w:r>
        <w:r>
          <w:rPr>
            <w:noProof/>
            <w:webHidden/>
          </w:rPr>
          <w:fldChar w:fldCharType="begin"/>
        </w:r>
        <w:r>
          <w:rPr>
            <w:noProof/>
            <w:webHidden/>
          </w:rPr>
          <w:instrText xml:space="preserve"> PAGEREF _Toc94181617 \h </w:instrText>
        </w:r>
        <w:r>
          <w:rPr>
            <w:noProof/>
            <w:webHidden/>
          </w:rPr>
        </w:r>
        <w:r>
          <w:rPr>
            <w:noProof/>
            <w:webHidden/>
          </w:rPr>
          <w:fldChar w:fldCharType="separate"/>
        </w:r>
        <w:r>
          <w:rPr>
            <w:noProof/>
            <w:webHidden/>
          </w:rPr>
          <w:t>92</w:t>
        </w:r>
        <w:r>
          <w:rPr>
            <w:noProof/>
            <w:webHidden/>
          </w:rPr>
          <w:fldChar w:fldCharType="end"/>
        </w:r>
      </w:hyperlink>
    </w:p>
    <w:p w14:paraId="514007D5" w14:textId="5872E3CF" w:rsidR="00315A11" w:rsidRDefault="00315A11">
      <w:pPr>
        <w:pStyle w:val="Obsah4"/>
        <w:rPr>
          <w:rFonts w:asciiTheme="minorHAnsi" w:eastAsiaTheme="minorEastAsia" w:hAnsiTheme="minorHAnsi"/>
          <w:noProof/>
          <w:sz w:val="22"/>
          <w:szCs w:val="22"/>
          <w:lang w:val="cs-CZ" w:eastAsia="cs-CZ"/>
        </w:rPr>
      </w:pPr>
      <w:hyperlink w:anchor="_Toc94181618" w:history="1">
        <w:r w:rsidRPr="00354A74">
          <w:rPr>
            <w:rStyle w:val="Hypertextovodkaz"/>
            <w:noProof/>
          </w:rPr>
          <w:t>Tabulka 67</w:t>
        </w:r>
        <w:r>
          <w:rPr>
            <w:rFonts w:asciiTheme="minorHAnsi" w:eastAsiaTheme="minorEastAsia" w:hAnsiTheme="minorHAnsi"/>
            <w:noProof/>
            <w:sz w:val="22"/>
            <w:szCs w:val="22"/>
            <w:lang w:val="cs-CZ" w:eastAsia="cs-CZ"/>
          </w:rPr>
          <w:tab/>
        </w:r>
        <w:r w:rsidRPr="00354A74">
          <w:rPr>
            <w:rStyle w:val="Hypertextovodkaz"/>
            <w:noProof/>
          </w:rPr>
          <w:t>Možnosti efektivního řešení problému v rámci nástrojů SZP - Nevyužitý potenciál a neefektivní výroba energií z OZE v zemědělství a lesnictví</w:t>
        </w:r>
        <w:r>
          <w:rPr>
            <w:noProof/>
            <w:webHidden/>
          </w:rPr>
          <w:tab/>
        </w:r>
        <w:r>
          <w:rPr>
            <w:noProof/>
            <w:webHidden/>
          </w:rPr>
          <w:fldChar w:fldCharType="begin"/>
        </w:r>
        <w:r>
          <w:rPr>
            <w:noProof/>
            <w:webHidden/>
          </w:rPr>
          <w:instrText xml:space="preserve"> PAGEREF _Toc94181618 \h </w:instrText>
        </w:r>
        <w:r>
          <w:rPr>
            <w:noProof/>
            <w:webHidden/>
          </w:rPr>
        </w:r>
        <w:r>
          <w:rPr>
            <w:noProof/>
            <w:webHidden/>
          </w:rPr>
          <w:fldChar w:fldCharType="separate"/>
        </w:r>
        <w:r>
          <w:rPr>
            <w:noProof/>
            <w:webHidden/>
          </w:rPr>
          <w:t>93</w:t>
        </w:r>
        <w:r>
          <w:rPr>
            <w:noProof/>
            <w:webHidden/>
          </w:rPr>
          <w:fldChar w:fldCharType="end"/>
        </w:r>
      </w:hyperlink>
    </w:p>
    <w:p w14:paraId="207945BB" w14:textId="62D50903" w:rsidR="00315A11" w:rsidRDefault="00315A11">
      <w:pPr>
        <w:pStyle w:val="Obsah4"/>
        <w:rPr>
          <w:rFonts w:asciiTheme="minorHAnsi" w:eastAsiaTheme="minorEastAsia" w:hAnsiTheme="minorHAnsi"/>
          <w:noProof/>
          <w:sz w:val="22"/>
          <w:szCs w:val="22"/>
          <w:lang w:val="cs-CZ" w:eastAsia="cs-CZ"/>
        </w:rPr>
      </w:pPr>
      <w:hyperlink w:anchor="_Toc94181619" w:history="1">
        <w:r w:rsidRPr="00354A74">
          <w:rPr>
            <w:rStyle w:val="Hypertextovodkaz"/>
            <w:noProof/>
          </w:rPr>
          <w:t>Tabulka 68</w:t>
        </w:r>
        <w:r>
          <w:rPr>
            <w:rFonts w:asciiTheme="minorHAnsi" w:eastAsiaTheme="minorEastAsia" w:hAnsiTheme="minorHAnsi"/>
            <w:noProof/>
            <w:sz w:val="22"/>
            <w:szCs w:val="22"/>
            <w:lang w:val="cs-CZ" w:eastAsia="cs-CZ"/>
          </w:rPr>
          <w:tab/>
        </w:r>
        <w:r w:rsidRPr="00354A74">
          <w:rPr>
            <w:rStyle w:val="Hypertextovodkaz"/>
            <w:noProof/>
          </w:rPr>
          <w:t>Přehled o čerpání podpor přispívajícím k odolnosti zemědělských podniků vůči klimatickým změnám v rámci opatření 4, a 8 PRV (2014-2020)</w:t>
        </w:r>
        <w:r>
          <w:rPr>
            <w:noProof/>
            <w:webHidden/>
          </w:rPr>
          <w:tab/>
        </w:r>
        <w:r>
          <w:rPr>
            <w:noProof/>
            <w:webHidden/>
          </w:rPr>
          <w:fldChar w:fldCharType="begin"/>
        </w:r>
        <w:r>
          <w:rPr>
            <w:noProof/>
            <w:webHidden/>
          </w:rPr>
          <w:instrText xml:space="preserve"> PAGEREF _Toc94181619 \h </w:instrText>
        </w:r>
        <w:r>
          <w:rPr>
            <w:noProof/>
            <w:webHidden/>
          </w:rPr>
        </w:r>
        <w:r>
          <w:rPr>
            <w:noProof/>
            <w:webHidden/>
          </w:rPr>
          <w:fldChar w:fldCharType="separate"/>
        </w:r>
        <w:r>
          <w:rPr>
            <w:noProof/>
            <w:webHidden/>
          </w:rPr>
          <w:t>98</w:t>
        </w:r>
        <w:r>
          <w:rPr>
            <w:noProof/>
            <w:webHidden/>
          </w:rPr>
          <w:fldChar w:fldCharType="end"/>
        </w:r>
      </w:hyperlink>
    </w:p>
    <w:p w14:paraId="6774D81E" w14:textId="43526C95" w:rsidR="00315A11" w:rsidRDefault="00315A11">
      <w:pPr>
        <w:pStyle w:val="Obsah4"/>
        <w:rPr>
          <w:rFonts w:asciiTheme="minorHAnsi" w:eastAsiaTheme="minorEastAsia" w:hAnsiTheme="minorHAnsi"/>
          <w:noProof/>
          <w:sz w:val="22"/>
          <w:szCs w:val="22"/>
          <w:lang w:val="cs-CZ" w:eastAsia="cs-CZ"/>
        </w:rPr>
      </w:pPr>
      <w:hyperlink w:anchor="_Toc94181620" w:history="1">
        <w:r w:rsidRPr="00354A74">
          <w:rPr>
            <w:rStyle w:val="Hypertextovodkaz"/>
            <w:noProof/>
          </w:rPr>
          <w:t>Tabulka 69</w:t>
        </w:r>
        <w:r>
          <w:rPr>
            <w:rFonts w:asciiTheme="minorHAnsi" w:eastAsiaTheme="minorEastAsia" w:hAnsiTheme="minorHAnsi"/>
            <w:noProof/>
            <w:sz w:val="22"/>
            <w:szCs w:val="22"/>
            <w:lang w:val="cs-CZ" w:eastAsia="cs-CZ"/>
          </w:rPr>
          <w:tab/>
        </w:r>
        <w:r w:rsidRPr="00354A74">
          <w:rPr>
            <w:rStyle w:val="Hypertextovodkaz"/>
            <w:noProof/>
          </w:rPr>
          <w:t>Vyčíslení žádostí titulů na travní porosty v ekologickém zemědělství (2014-2017)</w:t>
        </w:r>
        <w:r>
          <w:rPr>
            <w:noProof/>
            <w:webHidden/>
          </w:rPr>
          <w:tab/>
        </w:r>
        <w:r>
          <w:rPr>
            <w:noProof/>
            <w:webHidden/>
          </w:rPr>
          <w:fldChar w:fldCharType="begin"/>
        </w:r>
        <w:r>
          <w:rPr>
            <w:noProof/>
            <w:webHidden/>
          </w:rPr>
          <w:instrText xml:space="preserve"> PAGEREF _Toc94181620 \h </w:instrText>
        </w:r>
        <w:r>
          <w:rPr>
            <w:noProof/>
            <w:webHidden/>
          </w:rPr>
        </w:r>
        <w:r>
          <w:rPr>
            <w:noProof/>
            <w:webHidden/>
          </w:rPr>
          <w:fldChar w:fldCharType="separate"/>
        </w:r>
        <w:r>
          <w:rPr>
            <w:noProof/>
            <w:webHidden/>
          </w:rPr>
          <w:t>99</w:t>
        </w:r>
        <w:r>
          <w:rPr>
            <w:noProof/>
            <w:webHidden/>
          </w:rPr>
          <w:fldChar w:fldCharType="end"/>
        </w:r>
      </w:hyperlink>
    </w:p>
    <w:p w14:paraId="0893F827" w14:textId="7F136CD5" w:rsidR="00315A11" w:rsidRDefault="00315A11">
      <w:pPr>
        <w:pStyle w:val="Obsah4"/>
        <w:rPr>
          <w:rFonts w:asciiTheme="minorHAnsi" w:eastAsiaTheme="minorEastAsia" w:hAnsiTheme="minorHAnsi"/>
          <w:noProof/>
          <w:sz w:val="22"/>
          <w:szCs w:val="22"/>
          <w:lang w:val="cs-CZ" w:eastAsia="cs-CZ"/>
        </w:rPr>
      </w:pPr>
      <w:hyperlink w:anchor="_Toc94181621" w:history="1">
        <w:r w:rsidRPr="00354A74">
          <w:rPr>
            <w:rStyle w:val="Hypertextovodkaz"/>
            <w:noProof/>
          </w:rPr>
          <w:t>Tabulka 70</w:t>
        </w:r>
        <w:r>
          <w:rPr>
            <w:rFonts w:asciiTheme="minorHAnsi" w:eastAsiaTheme="minorEastAsia" w:hAnsiTheme="minorHAnsi"/>
            <w:noProof/>
            <w:sz w:val="22"/>
            <w:szCs w:val="22"/>
            <w:lang w:val="cs-CZ" w:eastAsia="cs-CZ"/>
          </w:rPr>
          <w:tab/>
        </w:r>
        <w:r w:rsidRPr="00354A74">
          <w:rPr>
            <w:rStyle w:val="Hypertextovodkaz"/>
            <w:noProof/>
          </w:rPr>
          <w:t>Přehled o čerpání podpor přispívajícím k snižování emisí GHG a NH</w:t>
        </w:r>
        <w:r w:rsidRPr="00354A74">
          <w:rPr>
            <w:rStyle w:val="Hypertextovodkaz"/>
            <w:noProof/>
            <w:vertAlign w:val="subscript"/>
          </w:rPr>
          <w:t>3</w:t>
        </w:r>
        <w:r w:rsidRPr="00354A74">
          <w:rPr>
            <w:rStyle w:val="Hypertextovodkaz"/>
            <w:noProof/>
          </w:rPr>
          <w:t xml:space="preserve"> v rámci opatření 4.1.1 PRV (2014-2020)</w:t>
        </w:r>
        <w:r>
          <w:rPr>
            <w:noProof/>
            <w:webHidden/>
          </w:rPr>
          <w:tab/>
        </w:r>
        <w:r>
          <w:rPr>
            <w:noProof/>
            <w:webHidden/>
          </w:rPr>
          <w:fldChar w:fldCharType="begin"/>
        </w:r>
        <w:r>
          <w:rPr>
            <w:noProof/>
            <w:webHidden/>
          </w:rPr>
          <w:instrText xml:space="preserve"> PAGEREF _Toc94181621 \h </w:instrText>
        </w:r>
        <w:r>
          <w:rPr>
            <w:noProof/>
            <w:webHidden/>
          </w:rPr>
        </w:r>
        <w:r>
          <w:rPr>
            <w:noProof/>
            <w:webHidden/>
          </w:rPr>
          <w:fldChar w:fldCharType="separate"/>
        </w:r>
        <w:r>
          <w:rPr>
            <w:noProof/>
            <w:webHidden/>
          </w:rPr>
          <w:t>101</w:t>
        </w:r>
        <w:r>
          <w:rPr>
            <w:noProof/>
            <w:webHidden/>
          </w:rPr>
          <w:fldChar w:fldCharType="end"/>
        </w:r>
      </w:hyperlink>
    </w:p>
    <w:p w14:paraId="2FA3B04F" w14:textId="516E508C" w:rsidR="00315A11" w:rsidRDefault="00315A11">
      <w:pPr>
        <w:pStyle w:val="Obsah4"/>
        <w:rPr>
          <w:rFonts w:asciiTheme="minorHAnsi" w:eastAsiaTheme="minorEastAsia" w:hAnsiTheme="minorHAnsi"/>
          <w:noProof/>
          <w:sz w:val="22"/>
          <w:szCs w:val="22"/>
          <w:lang w:val="cs-CZ" w:eastAsia="cs-CZ"/>
        </w:rPr>
      </w:pPr>
      <w:hyperlink w:anchor="_Toc94181622" w:history="1">
        <w:r w:rsidRPr="00354A74">
          <w:rPr>
            <w:rStyle w:val="Hypertextovodkaz"/>
            <w:noProof/>
          </w:rPr>
          <w:t>Tabulka 71</w:t>
        </w:r>
        <w:r>
          <w:rPr>
            <w:rFonts w:asciiTheme="minorHAnsi" w:eastAsiaTheme="minorEastAsia" w:hAnsiTheme="minorHAnsi"/>
            <w:noProof/>
            <w:sz w:val="22"/>
            <w:szCs w:val="22"/>
            <w:lang w:val="cs-CZ" w:eastAsia="cs-CZ"/>
          </w:rPr>
          <w:tab/>
        </w:r>
        <w:r w:rsidRPr="00354A74">
          <w:rPr>
            <w:rStyle w:val="Hypertextovodkaz"/>
            <w:noProof/>
          </w:rPr>
          <w:t>Kvantifikace ploch v greeningu</w:t>
        </w:r>
        <w:r>
          <w:rPr>
            <w:noProof/>
            <w:webHidden/>
          </w:rPr>
          <w:tab/>
        </w:r>
        <w:r>
          <w:rPr>
            <w:noProof/>
            <w:webHidden/>
          </w:rPr>
          <w:fldChar w:fldCharType="begin"/>
        </w:r>
        <w:r>
          <w:rPr>
            <w:noProof/>
            <w:webHidden/>
          </w:rPr>
          <w:instrText xml:space="preserve"> PAGEREF _Toc94181622 \h </w:instrText>
        </w:r>
        <w:r>
          <w:rPr>
            <w:noProof/>
            <w:webHidden/>
          </w:rPr>
        </w:r>
        <w:r>
          <w:rPr>
            <w:noProof/>
            <w:webHidden/>
          </w:rPr>
          <w:fldChar w:fldCharType="separate"/>
        </w:r>
        <w:r>
          <w:rPr>
            <w:noProof/>
            <w:webHidden/>
          </w:rPr>
          <w:t>104</w:t>
        </w:r>
        <w:r>
          <w:rPr>
            <w:noProof/>
            <w:webHidden/>
          </w:rPr>
          <w:fldChar w:fldCharType="end"/>
        </w:r>
      </w:hyperlink>
    </w:p>
    <w:p w14:paraId="35AF8CC2" w14:textId="3AB06ACF" w:rsidR="00315A11" w:rsidRDefault="00315A11">
      <w:pPr>
        <w:pStyle w:val="Obsah4"/>
        <w:rPr>
          <w:rFonts w:asciiTheme="minorHAnsi" w:eastAsiaTheme="minorEastAsia" w:hAnsiTheme="minorHAnsi"/>
          <w:noProof/>
          <w:sz w:val="22"/>
          <w:szCs w:val="22"/>
          <w:lang w:val="cs-CZ" w:eastAsia="cs-CZ"/>
        </w:rPr>
      </w:pPr>
      <w:hyperlink w:anchor="_Toc94181623" w:history="1">
        <w:r w:rsidRPr="00354A74">
          <w:rPr>
            <w:rStyle w:val="Hypertextovodkaz"/>
            <w:noProof/>
          </w:rPr>
          <w:t>Tabulka 72</w:t>
        </w:r>
        <w:r>
          <w:rPr>
            <w:rFonts w:asciiTheme="minorHAnsi" w:eastAsiaTheme="minorEastAsia" w:hAnsiTheme="minorHAnsi"/>
            <w:noProof/>
            <w:sz w:val="22"/>
            <w:szCs w:val="22"/>
            <w:lang w:val="cs-CZ" w:eastAsia="cs-CZ"/>
          </w:rPr>
          <w:tab/>
        </w:r>
        <w:r w:rsidRPr="00354A74">
          <w:rPr>
            <w:rStyle w:val="Hypertextovodkaz"/>
            <w:noProof/>
          </w:rPr>
          <w:t>Typy TTP a jejich kvantifikace</w:t>
        </w:r>
        <w:r>
          <w:rPr>
            <w:noProof/>
            <w:webHidden/>
          </w:rPr>
          <w:tab/>
        </w:r>
        <w:r>
          <w:rPr>
            <w:noProof/>
            <w:webHidden/>
          </w:rPr>
          <w:fldChar w:fldCharType="begin"/>
        </w:r>
        <w:r>
          <w:rPr>
            <w:noProof/>
            <w:webHidden/>
          </w:rPr>
          <w:instrText xml:space="preserve"> PAGEREF _Toc94181623 \h </w:instrText>
        </w:r>
        <w:r>
          <w:rPr>
            <w:noProof/>
            <w:webHidden/>
          </w:rPr>
        </w:r>
        <w:r>
          <w:rPr>
            <w:noProof/>
            <w:webHidden/>
          </w:rPr>
          <w:fldChar w:fldCharType="separate"/>
        </w:r>
        <w:r>
          <w:rPr>
            <w:noProof/>
            <w:webHidden/>
          </w:rPr>
          <w:t>106</w:t>
        </w:r>
        <w:r>
          <w:rPr>
            <w:noProof/>
            <w:webHidden/>
          </w:rPr>
          <w:fldChar w:fldCharType="end"/>
        </w:r>
      </w:hyperlink>
    </w:p>
    <w:p w14:paraId="2AB7C1F3" w14:textId="64FDA90B" w:rsidR="00315A11" w:rsidRDefault="00315A11">
      <w:pPr>
        <w:pStyle w:val="Obsah4"/>
        <w:rPr>
          <w:rFonts w:asciiTheme="minorHAnsi" w:eastAsiaTheme="minorEastAsia" w:hAnsiTheme="minorHAnsi"/>
          <w:noProof/>
          <w:sz w:val="22"/>
          <w:szCs w:val="22"/>
          <w:lang w:val="cs-CZ" w:eastAsia="cs-CZ"/>
        </w:rPr>
      </w:pPr>
      <w:hyperlink w:anchor="_Toc94181624" w:history="1">
        <w:r w:rsidRPr="00354A74">
          <w:rPr>
            <w:rStyle w:val="Hypertextovodkaz"/>
            <w:noProof/>
          </w:rPr>
          <w:t>Tabulka 73</w:t>
        </w:r>
        <w:r>
          <w:rPr>
            <w:rFonts w:asciiTheme="minorHAnsi" w:eastAsiaTheme="minorEastAsia" w:hAnsiTheme="minorHAnsi"/>
            <w:noProof/>
            <w:sz w:val="22"/>
            <w:szCs w:val="22"/>
            <w:lang w:val="cs-CZ" w:eastAsia="cs-CZ"/>
          </w:rPr>
          <w:tab/>
        </w:r>
        <w:r w:rsidRPr="00354A74">
          <w:rPr>
            <w:rStyle w:val="Hypertextovodkaz"/>
            <w:noProof/>
          </w:rPr>
          <w:t>Přehled o čerpání podpor přispívajících k odolnosti zemědělských podniků vůči klimatickým změnám v rámci opatření 8 PRV (2014-2020)</w:t>
        </w:r>
        <w:r>
          <w:rPr>
            <w:noProof/>
            <w:webHidden/>
          </w:rPr>
          <w:tab/>
        </w:r>
        <w:r>
          <w:rPr>
            <w:noProof/>
            <w:webHidden/>
          </w:rPr>
          <w:fldChar w:fldCharType="begin"/>
        </w:r>
        <w:r>
          <w:rPr>
            <w:noProof/>
            <w:webHidden/>
          </w:rPr>
          <w:instrText xml:space="preserve"> PAGEREF _Toc94181624 \h </w:instrText>
        </w:r>
        <w:r>
          <w:rPr>
            <w:noProof/>
            <w:webHidden/>
          </w:rPr>
        </w:r>
        <w:r>
          <w:rPr>
            <w:noProof/>
            <w:webHidden/>
          </w:rPr>
          <w:fldChar w:fldCharType="separate"/>
        </w:r>
        <w:r>
          <w:rPr>
            <w:noProof/>
            <w:webHidden/>
          </w:rPr>
          <w:t>107</w:t>
        </w:r>
        <w:r>
          <w:rPr>
            <w:noProof/>
            <w:webHidden/>
          </w:rPr>
          <w:fldChar w:fldCharType="end"/>
        </w:r>
      </w:hyperlink>
    </w:p>
    <w:p w14:paraId="66984817" w14:textId="79094CD8" w:rsidR="00315A11" w:rsidRDefault="00315A11">
      <w:pPr>
        <w:pStyle w:val="Obsah4"/>
        <w:rPr>
          <w:rFonts w:asciiTheme="minorHAnsi" w:eastAsiaTheme="minorEastAsia" w:hAnsiTheme="minorHAnsi"/>
          <w:noProof/>
          <w:sz w:val="22"/>
          <w:szCs w:val="22"/>
          <w:lang w:val="cs-CZ" w:eastAsia="cs-CZ"/>
        </w:rPr>
      </w:pPr>
      <w:hyperlink w:anchor="_Toc94181625" w:history="1">
        <w:r w:rsidRPr="00354A74">
          <w:rPr>
            <w:rStyle w:val="Hypertextovodkaz"/>
            <w:noProof/>
          </w:rPr>
          <w:t>Tabulka 74</w:t>
        </w:r>
        <w:r>
          <w:rPr>
            <w:rFonts w:asciiTheme="minorHAnsi" w:eastAsiaTheme="minorEastAsia" w:hAnsiTheme="minorHAnsi"/>
            <w:noProof/>
            <w:sz w:val="22"/>
            <w:szCs w:val="22"/>
            <w:lang w:val="cs-CZ" w:eastAsia="cs-CZ"/>
          </w:rPr>
          <w:tab/>
        </w:r>
        <w:r w:rsidRPr="00354A74">
          <w:rPr>
            <w:rStyle w:val="Hypertextovodkaz"/>
            <w:noProof/>
          </w:rPr>
          <w:t>Přehled o čerpání podpor přispívajících k odolnosti zemědělských podniků vůči klimatickým změnám v rámci opatření 10 PRV (2014-2020)</w:t>
        </w:r>
        <w:r>
          <w:rPr>
            <w:noProof/>
            <w:webHidden/>
          </w:rPr>
          <w:tab/>
        </w:r>
        <w:r>
          <w:rPr>
            <w:noProof/>
            <w:webHidden/>
          </w:rPr>
          <w:fldChar w:fldCharType="begin"/>
        </w:r>
        <w:r>
          <w:rPr>
            <w:noProof/>
            <w:webHidden/>
          </w:rPr>
          <w:instrText xml:space="preserve"> PAGEREF _Toc94181625 \h </w:instrText>
        </w:r>
        <w:r>
          <w:rPr>
            <w:noProof/>
            <w:webHidden/>
          </w:rPr>
        </w:r>
        <w:r>
          <w:rPr>
            <w:noProof/>
            <w:webHidden/>
          </w:rPr>
          <w:fldChar w:fldCharType="separate"/>
        </w:r>
        <w:r>
          <w:rPr>
            <w:noProof/>
            <w:webHidden/>
          </w:rPr>
          <w:t>108</w:t>
        </w:r>
        <w:r>
          <w:rPr>
            <w:noProof/>
            <w:webHidden/>
          </w:rPr>
          <w:fldChar w:fldCharType="end"/>
        </w:r>
      </w:hyperlink>
    </w:p>
    <w:p w14:paraId="7B1278C3" w14:textId="4BD2C2A2" w:rsidR="00315A11" w:rsidRDefault="00315A11">
      <w:pPr>
        <w:pStyle w:val="Obsah4"/>
        <w:rPr>
          <w:rFonts w:asciiTheme="minorHAnsi" w:eastAsiaTheme="minorEastAsia" w:hAnsiTheme="minorHAnsi"/>
          <w:noProof/>
          <w:sz w:val="22"/>
          <w:szCs w:val="22"/>
          <w:lang w:val="cs-CZ" w:eastAsia="cs-CZ"/>
        </w:rPr>
      </w:pPr>
      <w:hyperlink w:anchor="_Toc94181626" w:history="1">
        <w:r w:rsidRPr="00354A74">
          <w:rPr>
            <w:rStyle w:val="Hypertextovodkaz"/>
            <w:noProof/>
          </w:rPr>
          <w:t>Tabulka 75</w:t>
        </w:r>
        <w:r>
          <w:rPr>
            <w:rFonts w:asciiTheme="minorHAnsi" w:eastAsiaTheme="minorEastAsia" w:hAnsiTheme="minorHAnsi"/>
            <w:noProof/>
            <w:sz w:val="22"/>
            <w:szCs w:val="22"/>
            <w:lang w:val="cs-CZ" w:eastAsia="cs-CZ"/>
          </w:rPr>
          <w:tab/>
        </w:r>
        <w:r w:rsidRPr="00354A74">
          <w:rPr>
            <w:rStyle w:val="Hypertextovodkaz"/>
            <w:noProof/>
          </w:rPr>
          <w:t>Přehled o čerpání podpor přispívajících k odolnosti zemědělských podniků vůči klimatickým změnám v rámci opatření 10 PRV (2014-2020) - Zatravňování orné půdy - podané žádosti</w:t>
        </w:r>
        <w:r>
          <w:rPr>
            <w:noProof/>
            <w:webHidden/>
          </w:rPr>
          <w:tab/>
        </w:r>
        <w:r>
          <w:rPr>
            <w:noProof/>
            <w:webHidden/>
          </w:rPr>
          <w:fldChar w:fldCharType="begin"/>
        </w:r>
        <w:r>
          <w:rPr>
            <w:noProof/>
            <w:webHidden/>
          </w:rPr>
          <w:instrText xml:space="preserve"> PAGEREF _Toc94181626 \h </w:instrText>
        </w:r>
        <w:r>
          <w:rPr>
            <w:noProof/>
            <w:webHidden/>
          </w:rPr>
        </w:r>
        <w:r>
          <w:rPr>
            <w:noProof/>
            <w:webHidden/>
          </w:rPr>
          <w:fldChar w:fldCharType="separate"/>
        </w:r>
        <w:r>
          <w:rPr>
            <w:noProof/>
            <w:webHidden/>
          </w:rPr>
          <w:t>108</w:t>
        </w:r>
        <w:r>
          <w:rPr>
            <w:noProof/>
            <w:webHidden/>
          </w:rPr>
          <w:fldChar w:fldCharType="end"/>
        </w:r>
      </w:hyperlink>
    </w:p>
    <w:p w14:paraId="0EAFCBF3" w14:textId="50508321" w:rsidR="00315A11" w:rsidRDefault="00315A11">
      <w:pPr>
        <w:pStyle w:val="Obsah4"/>
        <w:rPr>
          <w:rFonts w:asciiTheme="minorHAnsi" w:eastAsiaTheme="minorEastAsia" w:hAnsiTheme="minorHAnsi"/>
          <w:noProof/>
          <w:sz w:val="22"/>
          <w:szCs w:val="22"/>
          <w:lang w:val="cs-CZ" w:eastAsia="cs-CZ"/>
        </w:rPr>
      </w:pPr>
      <w:hyperlink w:anchor="_Toc94181627" w:history="1">
        <w:r w:rsidRPr="00354A74">
          <w:rPr>
            <w:rStyle w:val="Hypertextovodkaz"/>
            <w:noProof/>
          </w:rPr>
          <w:t>Tabulka 76</w:t>
        </w:r>
        <w:r>
          <w:rPr>
            <w:rFonts w:asciiTheme="minorHAnsi" w:eastAsiaTheme="minorEastAsia" w:hAnsiTheme="minorHAnsi"/>
            <w:noProof/>
            <w:sz w:val="22"/>
            <w:szCs w:val="22"/>
            <w:lang w:val="cs-CZ" w:eastAsia="cs-CZ"/>
          </w:rPr>
          <w:tab/>
        </w:r>
        <w:r w:rsidRPr="00354A74">
          <w:rPr>
            <w:rStyle w:val="Hypertextovodkaz"/>
            <w:noProof/>
          </w:rPr>
          <w:t>Přehled o čerpání podpor přispívajících k odolnosti zemědělských podniků vůči klimatickým změnám v rámci opatření 10 PRV (2014-2020) - Zatravňování drah soustředěného odtoku – proplacené žádosti</w:t>
        </w:r>
        <w:r>
          <w:rPr>
            <w:noProof/>
            <w:webHidden/>
          </w:rPr>
          <w:tab/>
        </w:r>
        <w:r>
          <w:rPr>
            <w:noProof/>
            <w:webHidden/>
          </w:rPr>
          <w:fldChar w:fldCharType="begin"/>
        </w:r>
        <w:r>
          <w:rPr>
            <w:noProof/>
            <w:webHidden/>
          </w:rPr>
          <w:instrText xml:space="preserve"> PAGEREF _Toc94181627 \h </w:instrText>
        </w:r>
        <w:r>
          <w:rPr>
            <w:noProof/>
            <w:webHidden/>
          </w:rPr>
        </w:r>
        <w:r>
          <w:rPr>
            <w:noProof/>
            <w:webHidden/>
          </w:rPr>
          <w:fldChar w:fldCharType="separate"/>
        </w:r>
        <w:r>
          <w:rPr>
            <w:noProof/>
            <w:webHidden/>
          </w:rPr>
          <w:t>108</w:t>
        </w:r>
        <w:r>
          <w:rPr>
            <w:noProof/>
            <w:webHidden/>
          </w:rPr>
          <w:fldChar w:fldCharType="end"/>
        </w:r>
      </w:hyperlink>
    </w:p>
    <w:p w14:paraId="092FED8A" w14:textId="2A7C1131" w:rsidR="00315A11" w:rsidRDefault="00315A11">
      <w:pPr>
        <w:pStyle w:val="Obsah4"/>
        <w:rPr>
          <w:rFonts w:asciiTheme="minorHAnsi" w:eastAsiaTheme="minorEastAsia" w:hAnsiTheme="minorHAnsi"/>
          <w:noProof/>
          <w:sz w:val="22"/>
          <w:szCs w:val="22"/>
          <w:lang w:val="cs-CZ" w:eastAsia="cs-CZ"/>
        </w:rPr>
      </w:pPr>
      <w:hyperlink w:anchor="_Toc94181628" w:history="1">
        <w:r w:rsidRPr="00354A74">
          <w:rPr>
            <w:rStyle w:val="Hypertextovodkaz"/>
            <w:noProof/>
          </w:rPr>
          <w:t>Tabulka 77</w:t>
        </w:r>
        <w:r>
          <w:rPr>
            <w:rFonts w:asciiTheme="minorHAnsi" w:eastAsiaTheme="minorEastAsia" w:hAnsiTheme="minorHAnsi"/>
            <w:noProof/>
            <w:sz w:val="22"/>
            <w:szCs w:val="22"/>
            <w:lang w:val="cs-CZ" w:eastAsia="cs-CZ"/>
          </w:rPr>
          <w:tab/>
        </w:r>
        <w:r w:rsidRPr="00354A74">
          <w:rPr>
            <w:rStyle w:val="Hypertextovodkaz"/>
            <w:noProof/>
          </w:rPr>
          <w:t>Přehled o čerpání podpor přispívajících k odolnosti zemědělských podniků vůči klimatickým změnám v rámci opatření 10 PRV (2014-2020) - Zatravňování drah soustředěného odtoku - podané žádosti</w:t>
        </w:r>
        <w:r>
          <w:rPr>
            <w:noProof/>
            <w:webHidden/>
          </w:rPr>
          <w:tab/>
        </w:r>
        <w:r>
          <w:rPr>
            <w:noProof/>
            <w:webHidden/>
          </w:rPr>
          <w:fldChar w:fldCharType="begin"/>
        </w:r>
        <w:r>
          <w:rPr>
            <w:noProof/>
            <w:webHidden/>
          </w:rPr>
          <w:instrText xml:space="preserve"> PAGEREF _Toc94181628 \h </w:instrText>
        </w:r>
        <w:r>
          <w:rPr>
            <w:noProof/>
            <w:webHidden/>
          </w:rPr>
        </w:r>
        <w:r>
          <w:rPr>
            <w:noProof/>
            <w:webHidden/>
          </w:rPr>
          <w:fldChar w:fldCharType="separate"/>
        </w:r>
        <w:r>
          <w:rPr>
            <w:noProof/>
            <w:webHidden/>
          </w:rPr>
          <w:t>108</w:t>
        </w:r>
        <w:r>
          <w:rPr>
            <w:noProof/>
            <w:webHidden/>
          </w:rPr>
          <w:fldChar w:fldCharType="end"/>
        </w:r>
      </w:hyperlink>
    </w:p>
    <w:p w14:paraId="0EB88CD2" w14:textId="16F8CABB" w:rsidR="00315A11" w:rsidRDefault="00315A11">
      <w:pPr>
        <w:pStyle w:val="Obsah4"/>
        <w:rPr>
          <w:rFonts w:asciiTheme="minorHAnsi" w:eastAsiaTheme="minorEastAsia" w:hAnsiTheme="minorHAnsi"/>
          <w:noProof/>
          <w:sz w:val="22"/>
          <w:szCs w:val="22"/>
          <w:lang w:val="cs-CZ" w:eastAsia="cs-CZ"/>
        </w:rPr>
      </w:pPr>
      <w:hyperlink w:anchor="_Toc94181629" w:history="1">
        <w:r w:rsidRPr="00354A74">
          <w:rPr>
            <w:rStyle w:val="Hypertextovodkaz"/>
            <w:noProof/>
          </w:rPr>
          <w:t>Tabulka 78</w:t>
        </w:r>
        <w:r>
          <w:rPr>
            <w:rFonts w:asciiTheme="minorHAnsi" w:eastAsiaTheme="minorEastAsia" w:hAnsiTheme="minorHAnsi"/>
            <w:noProof/>
            <w:sz w:val="22"/>
            <w:szCs w:val="22"/>
            <w:lang w:val="cs-CZ" w:eastAsia="cs-CZ"/>
          </w:rPr>
          <w:tab/>
        </w:r>
        <w:r w:rsidRPr="00354A74">
          <w:rPr>
            <w:rStyle w:val="Hypertextovodkaz"/>
            <w:noProof/>
          </w:rPr>
          <w:t>Přehled o čerpání podpor na investice do zpracování biomasy v rámci opatření 6 a 16 PRV (2014-2020)</w:t>
        </w:r>
        <w:r>
          <w:rPr>
            <w:noProof/>
            <w:webHidden/>
          </w:rPr>
          <w:tab/>
        </w:r>
        <w:r>
          <w:rPr>
            <w:noProof/>
            <w:webHidden/>
          </w:rPr>
          <w:fldChar w:fldCharType="begin"/>
        </w:r>
        <w:r>
          <w:rPr>
            <w:noProof/>
            <w:webHidden/>
          </w:rPr>
          <w:instrText xml:space="preserve"> PAGEREF _Toc94181629 \h </w:instrText>
        </w:r>
        <w:r>
          <w:rPr>
            <w:noProof/>
            <w:webHidden/>
          </w:rPr>
        </w:r>
        <w:r>
          <w:rPr>
            <w:noProof/>
            <w:webHidden/>
          </w:rPr>
          <w:fldChar w:fldCharType="separate"/>
        </w:r>
        <w:r>
          <w:rPr>
            <w:noProof/>
            <w:webHidden/>
          </w:rPr>
          <w:t>110</w:t>
        </w:r>
        <w:r>
          <w:rPr>
            <w:noProof/>
            <w:webHidden/>
          </w:rPr>
          <w:fldChar w:fldCharType="end"/>
        </w:r>
      </w:hyperlink>
    </w:p>
    <w:p w14:paraId="58FF04EB" w14:textId="297BDB77" w:rsidR="00315A11" w:rsidRDefault="00315A11">
      <w:pPr>
        <w:pStyle w:val="Obsah4"/>
        <w:rPr>
          <w:rFonts w:asciiTheme="minorHAnsi" w:eastAsiaTheme="minorEastAsia" w:hAnsiTheme="minorHAnsi"/>
          <w:noProof/>
          <w:sz w:val="22"/>
          <w:szCs w:val="22"/>
          <w:lang w:val="cs-CZ" w:eastAsia="cs-CZ"/>
        </w:rPr>
      </w:pPr>
      <w:hyperlink w:anchor="_Toc94181630" w:history="1">
        <w:r w:rsidRPr="00354A74">
          <w:rPr>
            <w:rStyle w:val="Hypertextovodkaz"/>
            <w:rFonts w:eastAsia="Calibri"/>
            <w:noProof/>
          </w:rPr>
          <w:t>Tabulka 79</w:t>
        </w:r>
        <w:r>
          <w:rPr>
            <w:rFonts w:asciiTheme="minorHAnsi" w:eastAsiaTheme="minorEastAsia" w:hAnsiTheme="minorHAnsi"/>
            <w:noProof/>
            <w:sz w:val="22"/>
            <w:szCs w:val="22"/>
            <w:lang w:val="cs-CZ" w:eastAsia="cs-CZ"/>
          </w:rPr>
          <w:tab/>
        </w:r>
        <w:r w:rsidRPr="00354A74">
          <w:rPr>
            <w:rStyle w:val="Hypertextovodkaz"/>
            <w:rFonts w:eastAsia="Calibri"/>
            <w:noProof/>
          </w:rPr>
          <w:t>Celkový stav implementace operace 8.4.1– alokace 10 368 000 EUR (269 568 000 Kč)</w:t>
        </w:r>
        <w:r>
          <w:rPr>
            <w:noProof/>
            <w:webHidden/>
          </w:rPr>
          <w:tab/>
        </w:r>
        <w:r>
          <w:rPr>
            <w:noProof/>
            <w:webHidden/>
          </w:rPr>
          <w:fldChar w:fldCharType="begin"/>
        </w:r>
        <w:r>
          <w:rPr>
            <w:noProof/>
            <w:webHidden/>
          </w:rPr>
          <w:instrText xml:space="preserve"> PAGEREF _Toc94181630 \h </w:instrText>
        </w:r>
        <w:r>
          <w:rPr>
            <w:noProof/>
            <w:webHidden/>
          </w:rPr>
        </w:r>
        <w:r>
          <w:rPr>
            <w:noProof/>
            <w:webHidden/>
          </w:rPr>
          <w:fldChar w:fldCharType="separate"/>
        </w:r>
        <w:r>
          <w:rPr>
            <w:noProof/>
            <w:webHidden/>
          </w:rPr>
          <w:t>111</w:t>
        </w:r>
        <w:r>
          <w:rPr>
            <w:noProof/>
            <w:webHidden/>
          </w:rPr>
          <w:fldChar w:fldCharType="end"/>
        </w:r>
      </w:hyperlink>
    </w:p>
    <w:p w14:paraId="4A6C80CA" w14:textId="3252E6A7" w:rsidR="00315A11" w:rsidRDefault="00315A11">
      <w:pPr>
        <w:pStyle w:val="Obsah4"/>
        <w:rPr>
          <w:rFonts w:asciiTheme="minorHAnsi" w:eastAsiaTheme="minorEastAsia" w:hAnsiTheme="minorHAnsi"/>
          <w:noProof/>
          <w:sz w:val="22"/>
          <w:szCs w:val="22"/>
          <w:lang w:val="cs-CZ" w:eastAsia="cs-CZ"/>
        </w:rPr>
      </w:pPr>
      <w:hyperlink w:anchor="_Toc94181631" w:history="1">
        <w:r w:rsidRPr="00354A74">
          <w:rPr>
            <w:rStyle w:val="Hypertextovodkaz"/>
            <w:rFonts w:eastAsia="Calibri"/>
            <w:noProof/>
          </w:rPr>
          <w:t>Tabulka 80</w:t>
        </w:r>
        <w:r>
          <w:rPr>
            <w:rFonts w:asciiTheme="minorHAnsi" w:eastAsiaTheme="minorEastAsia" w:hAnsiTheme="minorHAnsi"/>
            <w:noProof/>
            <w:sz w:val="22"/>
            <w:szCs w:val="22"/>
            <w:lang w:val="cs-CZ" w:eastAsia="cs-CZ"/>
          </w:rPr>
          <w:tab/>
        </w:r>
        <w:r w:rsidRPr="00354A74">
          <w:rPr>
            <w:rStyle w:val="Hypertextovodkaz"/>
            <w:rFonts w:eastAsia="Calibri"/>
            <w:noProof/>
          </w:rPr>
          <w:t>Celkový stav implementace operace 8.5.1– alokace 6 923 077 EUR (180 000 000 Kč)</w:t>
        </w:r>
        <w:r>
          <w:rPr>
            <w:noProof/>
            <w:webHidden/>
          </w:rPr>
          <w:tab/>
        </w:r>
        <w:r>
          <w:rPr>
            <w:noProof/>
            <w:webHidden/>
          </w:rPr>
          <w:fldChar w:fldCharType="begin"/>
        </w:r>
        <w:r>
          <w:rPr>
            <w:noProof/>
            <w:webHidden/>
          </w:rPr>
          <w:instrText xml:space="preserve"> PAGEREF _Toc94181631 \h </w:instrText>
        </w:r>
        <w:r>
          <w:rPr>
            <w:noProof/>
            <w:webHidden/>
          </w:rPr>
        </w:r>
        <w:r>
          <w:rPr>
            <w:noProof/>
            <w:webHidden/>
          </w:rPr>
          <w:fldChar w:fldCharType="separate"/>
        </w:r>
        <w:r>
          <w:rPr>
            <w:noProof/>
            <w:webHidden/>
          </w:rPr>
          <w:t>111</w:t>
        </w:r>
        <w:r>
          <w:rPr>
            <w:noProof/>
            <w:webHidden/>
          </w:rPr>
          <w:fldChar w:fldCharType="end"/>
        </w:r>
      </w:hyperlink>
    </w:p>
    <w:p w14:paraId="3F95A1EB" w14:textId="6B2C00C8" w:rsidR="00315A11" w:rsidRDefault="00315A11">
      <w:pPr>
        <w:pStyle w:val="Obsah4"/>
        <w:rPr>
          <w:rFonts w:asciiTheme="minorHAnsi" w:eastAsiaTheme="minorEastAsia" w:hAnsiTheme="minorHAnsi"/>
          <w:noProof/>
          <w:sz w:val="22"/>
          <w:szCs w:val="22"/>
          <w:lang w:val="cs-CZ" w:eastAsia="cs-CZ"/>
        </w:rPr>
      </w:pPr>
      <w:hyperlink w:anchor="_Toc94181632" w:history="1">
        <w:r w:rsidRPr="00354A74">
          <w:rPr>
            <w:rStyle w:val="Hypertextovodkaz"/>
            <w:rFonts w:eastAsia="Calibri"/>
            <w:noProof/>
          </w:rPr>
          <w:t>Tabulka 81</w:t>
        </w:r>
        <w:r>
          <w:rPr>
            <w:rFonts w:asciiTheme="minorHAnsi" w:eastAsiaTheme="minorEastAsia" w:hAnsiTheme="minorHAnsi"/>
            <w:noProof/>
            <w:sz w:val="22"/>
            <w:szCs w:val="22"/>
            <w:lang w:val="cs-CZ" w:eastAsia="cs-CZ"/>
          </w:rPr>
          <w:tab/>
        </w:r>
        <w:r w:rsidRPr="00354A74">
          <w:rPr>
            <w:rStyle w:val="Hypertextovodkaz"/>
            <w:rFonts w:eastAsia="Calibri"/>
            <w:noProof/>
          </w:rPr>
          <w:t>Kvantifikované cíle operací 8.5 podle 6. schválené verze PRV</w:t>
        </w:r>
        <w:r>
          <w:rPr>
            <w:noProof/>
            <w:webHidden/>
          </w:rPr>
          <w:tab/>
        </w:r>
        <w:r>
          <w:rPr>
            <w:noProof/>
            <w:webHidden/>
          </w:rPr>
          <w:fldChar w:fldCharType="begin"/>
        </w:r>
        <w:r>
          <w:rPr>
            <w:noProof/>
            <w:webHidden/>
          </w:rPr>
          <w:instrText xml:space="preserve"> PAGEREF _Toc94181632 \h </w:instrText>
        </w:r>
        <w:r>
          <w:rPr>
            <w:noProof/>
            <w:webHidden/>
          </w:rPr>
        </w:r>
        <w:r>
          <w:rPr>
            <w:noProof/>
            <w:webHidden/>
          </w:rPr>
          <w:fldChar w:fldCharType="separate"/>
        </w:r>
        <w:r>
          <w:rPr>
            <w:noProof/>
            <w:webHidden/>
          </w:rPr>
          <w:t>111</w:t>
        </w:r>
        <w:r>
          <w:rPr>
            <w:noProof/>
            <w:webHidden/>
          </w:rPr>
          <w:fldChar w:fldCharType="end"/>
        </w:r>
      </w:hyperlink>
    </w:p>
    <w:p w14:paraId="6A719AB9" w14:textId="52E52DD8" w:rsidR="00315A11" w:rsidRDefault="00315A11">
      <w:pPr>
        <w:pStyle w:val="Obsah4"/>
        <w:rPr>
          <w:rFonts w:asciiTheme="minorHAnsi" w:eastAsiaTheme="minorEastAsia" w:hAnsiTheme="minorHAnsi"/>
          <w:noProof/>
          <w:sz w:val="22"/>
          <w:szCs w:val="22"/>
          <w:lang w:val="cs-CZ" w:eastAsia="cs-CZ"/>
        </w:rPr>
      </w:pPr>
      <w:hyperlink w:anchor="_Toc94181633" w:history="1">
        <w:r w:rsidRPr="00354A74">
          <w:rPr>
            <w:rStyle w:val="Hypertextovodkaz"/>
            <w:rFonts w:eastAsia="Calibri"/>
            <w:noProof/>
          </w:rPr>
          <w:t>Tabulka 82</w:t>
        </w:r>
        <w:r>
          <w:rPr>
            <w:rFonts w:asciiTheme="minorHAnsi" w:eastAsiaTheme="minorEastAsia" w:hAnsiTheme="minorHAnsi"/>
            <w:noProof/>
            <w:sz w:val="22"/>
            <w:szCs w:val="22"/>
            <w:lang w:val="cs-CZ" w:eastAsia="cs-CZ"/>
          </w:rPr>
          <w:tab/>
        </w:r>
        <w:r w:rsidRPr="00354A74">
          <w:rPr>
            <w:rStyle w:val="Hypertextovodkaz"/>
            <w:rFonts w:eastAsia="Calibri"/>
            <w:noProof/>
          </w:rPr>
          <w:t>Celkový stav implementace operace 8.3.1 - alokace 3 461 538 EUR (90 000 000 Kč)</w:t>
        </w:r>
        <w:r>
          <w:rPr>
            <w:noProof/>
            <w:webHidden/>
          </w:rPr>
          <w:tab/>
        </w:r>
        <w:r>
          <w:rPr>
            <w:noProof/>
            <w:webHidden/>
          </w:rPr>
          <w:fldChar w:fldCharType="begin"/>
        </w:r>
        <w:r>
          <w:rPr>
            <w:noProof/>
            <w:webHidden/>
          </w:rPr>
          <w:instrText xml:space="preserve"> PAGEREF _Toc94181633 \h </w:instrText>
        </w:r>
        <w:r>
          <w:rPr>
            <w:noProof/>
            <w:webHidden/>
          </w:rPr>
        </w:r>
        <w:r>
          <w:rPr>
            <w:noProof/>
            <w:webHidden/>
          </w:rPr>
          <w:fldChar w:fldCharType="separate"/>
        </w:r>
        <w:r>
          <w:rPr>
            <w:noProof/>
            <w:webHidden/>
          </w:rPr>
          <w:t>112</w:t>
        </w:r>
        <w:r>
          <w:rPr>
            <w:noProof/>
            <w:webHidden/>
          </w:rPr>
          <w:fldChar w:fldCharType="end"/>
        </w:r>
      </w:hyperlink>
    </w:p>
    <w:p w14:paraId="234989B2" w14:textId="2BFD9948" w:rsidR="00315A11" w:rsidRDefault="00315A11">
      <w:pPr>
        <w:pStyle w:val="Obsah4"/>
        <w:rPr>
          <w:rFonts w:asciiTheme="minorHAnsi" w:eastAsiaTheme="minorEastAsia" w:hAnsiTheme="minorHAnsi"/>
          <w:noProof/>
          <w:sz w:val="22"/>
          <w:szCs w:val="22"/>
          <w:lang w:val="cs-CZ" w:eastAsia="cs-CZ"/>
        </w:rPr>
      </w:pPr>
      <w:hyperlink w:anchor="_Toc94181634" w:history="1">
        <w:r w:rsidRPr="00354A74">
          <w:rPr>
            <w:rStyle w:val="Hypertextovodkaz"/>
            <w:rFonts w:eastAsia="Calibri"/>
            <w:noProof/>
          </w:rPr>
          <w:t>Tabulka 83</w:t>
        </w:r>
        <w:r>
          <w:rPr>
            <w:rFonts w:asciiTheme="minorHAnsi" w:eastAsiaTheme="minorEastAsia" w:hAnsiTheme="minorHAnsi"/>
            <w:noProof/>
            <w:sz w:val="22"/>
            <w:szCs w:val="22"/>
            <w:lang w:val="cs-CZ" w:eastAsia="cs-CZ"/>
          </w:rPr>
          <w:tab/>
        </w:r>
        <w:r w:rsidRPr="00354A74">
          <w:rPr>
            <w:rStyle w:val="Hypertextovodkaz"/>
            <w:rFonts w:eastAsia="Calibri"/>
            <w:noProof/>
          </w:rPr>
          <w:t>Kvantifikované cíle operace 8.3.1</w:t>
        </w:r>
        <w:r>
          <w:rPr>
            <w:noProof/>
            <w:webHidden/>
          </w:rPr>
          <w:tab/>
        </w:r>
        <w:r>
          <w:rPr>
            <w:noProof/>
            <w:webHidden/>
          </w:rPr>
          <w:fldChar w:fldCharType="begin"/>
        </w:r>
        <w:r>
          <w:rPr>
            <w:noProof/>
            <w:webHidden/>
          </w:rPr>
          <w:instrText xml:space="preserve"> PAGEREF _Toc94181634 \h </w:instrText>
        </w:r>
        <w:r>
          <w:rPr>
            <w:noProof/>
            <w:webHidden/>
          </w:rPr>
        </w:r>
        <w:r>
          <w:rPr>
            <w:noProof/>
            <w:webHidden/>
          </w:rPr>
          <w:fldChar w:fldCharType="separate"/>
        </w:r>
        <w:r>
          <w:rPr>
            <w:noProof/>
            <w:webHidden/>
          </w:rPr>
          <w:t>112</w:t>
        </w:r>
        <w:r>
          <w:rPr>
            <w:noProof/>
            <w:webHidden/>
          </w:rPr>
          <w:fldChar w:fldCharType="end"/>
        </w:r>
      </w:hyperlink>
    </w:p>
    <w:p w14:paraId="57342703" w14:textId="167E9884" w:rsidR="00315A11" w:rsidRDefault="00315A11">
      <w:pPr>
        <w:pStyle w:val="Obsah4"/>
        <w:rPr>
          <w:rFonts w:asciiTheme="minorHAnsi" w:eastAsiaTheme="minorEastAsia" w:hAnsiTheme="minorHAnsi"/>
          <w:noProof/>
          <w:sz w:val="22"/>
          <w:szCs w:val="22"/>
          <w:lang w:val="cs-CZ" w:eastAsia="cs-CZ"/>
        </w:rPr>
      </w:pPr>
      <w:hyperlink w:anchor="_Toc94181635" w:history="1">
        <w:r w:rsidRPr="00354A74">
          <w:rPr>
            <w:rStyle w:val="Hypertextovodkaz"/>
            <w:rFonts w:eastAsia="Calibri"/>
            <w:noProof/>
          </w:rPr>
          <w:t>Tabulka 84</w:t>
        </w:r>
        <w:r>
          <w:rPr>
            <w:rFonts w:asciiTheme="minorHAnsi" w:eastAsiaTheme="minorEastAsia" w:hAnsiTheme="minorHAnsi"/>
            <w:noProof/>
            <w:sz w:val="22"/>
            <w:szCs w:val="22"/>
            <w:lang w:val="cs-CZ" w:eastAsia="cs-CZ"/>
          </w:rPr>
          <w:tab/>
        </w:r>
        <w:r w:rsidRPr="00354A74">
          <w:rPr>
            <w:rStyle w:val="Hypertextovodkaz"/>
            <w:rFonts w:eastAsia="Calibri"/>
            <w:noProof/>
          </w:rPr>
          <w:t>Celkový stav implementace operace 8.4.2 – alokace 2 592 000 EUR (67 392 000 Kč)</w:t>
        </w:r>
        <w:r>
          <w:rPr>
            <w:noProof/>
            <w:webHidden/>
          </w:rPr>
          <w:tab/>
        </w:r>
        <w:r>
          <w:rPr>
            <w:noProof/>
            <w:webHidden/>
          </w:rPr>
          <w:fldChar w:fldCharType="begin"/>
        </w:r>
        <w:r>
          <w:rPr>
            <w:noProof/>
            <w:webHidden/>
          </w:rPr>
          <w:instrText xml:space="preserve"> PAGEREF _Toc94181635 \h </w:instrText>
        </w:r>
        <w:r>
          <w:rPr>
            <w:noProof/>
            <w:webHidden/>
          </w:rPr>
        </w:r>
        <w:r>
          <w:rPr>
            <w:noProof/>
            <w:webHidden/>
          </w:rPr>
          <w:fldChar w:fldCharType="separate"/>
        </w:r>
        <w:r>
          <w:rPr>
            <w:noProof/>
            <w:webHidden/>
          </w:rPr>
          <w:t>112</w:t>
        </w:r>
        <w:r>
          <w:rPr>
            <w:noProof/>
            <w:webHidden/>
          </w:rPr>
          <w:fldChar w:fldCharType="end"/>
        </w:r>
      </w:hyperlink>
    </w:p>
    <w:p w14:paraId="06C98485" w14:textId="3BA0C4B6" w:rsidR="00315A11" w:rsidRDefault="00315A11">
      <w:pPr>
        <w:pStyle w:val="Obsah4"/>
        <w:rPr>
          <w:rFonts w:asciiTheme="minorHAnsi" w:eastAsiaTheme="minorEastAsia" w:hAnsiTheme="minorHAnsi"/>
          <w:noProof/>
          <w:sz w:val="22"/>
          <w:szCs w:val="22"/>
          <w:lang w:val="cs-CZ" w:eastAsia="cs-CZ"/>
        </w:rPr>
      </w:pPr>
      <w:hyperlink w:anchor="_Toc94181636" w:history="1">
        <w:r w:rsidRPr="00354A74">
          <w:rPr>
            <w:rStyle w:val="Hypertextovodkaz"/>
            <w:rFonts w:eastAsia="Calibri"/>
            <w:noProof/>
          </w:rPr>
          <w:t>Tabulka 85</w:t>
        </w:r>
        <w:r>
          <w:rPr>
            <w:rFonts w:asciiTheme="minorHAnsi" w:eastAsiaTheme="minorEastAsia" w:hAnsiTheme="minorHAnsi"/>
            <w:noProof/>
            <w:sz w:val="22"/>
            <w:szCs w:val="22"/>
            <w:lang w:val="cs-CZ" w:eastAsia="cs-CZ"/>
          </w:rPr>
          <w:tab/>
        </w:r>
        <w:r w:rsidRPr="00354A74">
          <w:rPr>
            <w:rStyle w:val="Hypertextovodkaz"/>
            <w:rFonts w:eastAsia="Calibri"/>
            <w:noProof/>
          </w:rPr>
          <w:t>Kvantifikované cíle operací 8.4 podle 6. schválené verze PRV</w:t>
        </w:r>
        <w:r>
          <w:rPr>
            <w:noProof/>
            <w:webHidden/>
          </w:rPr>
          <w:tab/>
        </w:r>
        <w:r>
          <w:rPr>
            <w:noProof/>
            <w:webHidden/>
          </w:rPr>
          <w:fldChar w:fldCharType="begin"/>
        </w:r>
        <w:r>
          <w:rPr>
            <w:noProof/>
            <w:webHidden/>
          </w:rPr>
          <w:instrText xml:space="preserve"> PAGEREF _Toc94181636 \h </w:instrText>
        </w:r>
        <w:r>
          <w:rPr>
            <w:noProof/>
            <w:webHidden/>
          </w:rPr>
        </w:r>
        <w:r>
          <w:rPr>
            <w:noProof/>
            <w:webHidden/>
          </w:rPr>
          <w:fldChar w:fldCharType="separate"/>
        </w:r>
        <w:r>
          <w:rPr>
            <w:noProof/>
            <w:webHidden/>
          </w:rPr>
          <w:t>113</w:t>
        </w:r>
        <w:r>
          <w:rPr>
            <w:noProof/>
            <w:webHidden/>
          </w:rPr>
          <w:fldChar w:fldCharType="end"/>
        </w:r>
      </w:hyperlink>
    </w:p>
    <w:p w14:paraId="7BEDA167" w14:textId="53F8242C" w:rsidR="00315A11" w:rsidRDefault="00315A11">
      <w:pPr>
        <w:pStyle w:val="Obsah4"/>
        <w:rPr>
          <w:rFonts w:asciiTheme="minorHAnsi" w:eastAsiaTheme="minorEastAsia" w:hAnsiTheme="minorHAnsi"/>
          <w:noProof/>
          <w:sz w:val="22"/>
          <w:szCs w:val="22"/>
          <w:lang w:val="cs-CZ" w:eastAsia="cs-CZ"/>
        </w:rPr>
      </w:pPr>
      <w:hyperlink w:anchor="_Toc94181637" w:history="1">
        <w:r w:rsidRPr="00354A74">
          <w:rPr>
            <w:rStyle w:val="Hypertextovodkaz"/>
            <w:noProof/>
          </w:rPr>
          <w:t>Tabulka 86</w:t>
        </w:r>
        <w:r>
          <w:rPr>
            <w:rFonts w:asciiTheme="minorHAnsi" w:eastAsiaTheme="minorEastAsia" w:hAnsiTheme="minorHAnsi"/>
            <w:noProof/>
            <w:sz w:val="22"/>
            <w:szCs w:val="22"/>
            <w:lang w:val="cs-CZ" w:eastAsia="cs-CZ"/>
          </w:rPr>
          <w:tab/>
        </w:r>
        <w:r w:rsidRPr="00354A74">
          <w:rPr>
            <w:rStyle w:val="Hypertextovodkaz"/>
            <w:noProof/>
          </w:rPr>
          <w:t>Kvantifikované cíle operace 8.1.1 podle 5.</w:t>
        </w:r>
        <w:r>
          <w:rPr>
            <w:noProof/>
            <w:webHidden/>
          </w:rPr>
          <w:tab/>
        </w:r>
        <w:r>
          <w:rPr>
            <w:noProof/>
            <w:webHidden/>
          </w:rPr>
          <w:fldChar w:fldCharType="begin"/>
        </w:r>
        <w:r>
          <w:rPr>
            <w:noProof/>
            <w:webHidden/>
          </w:rPr>
          <w:instrText xml:space="preserve"> PAGEREF _Toc94181637 \h </w:instrText>
        </w:r>
        <w:r>
          <w:rPr>
            <w:noProof/>
            <w:webHidden/>
          </w:rPr>
        </w:r>
        <w:r>
          <w:rPr>
            <w:noProof/>
            <w:webHidden/>
          </w:rPr>
          <w:fldChar w:fldCharType="separate"/>
        </w:r>
        <w:r>
          <w:rPr>
            <w:noProof/>
            <w:webHidden/>
          </w:rPr>
          <w:t>113</w:t>
        </w:r>
        <w:r>
          <w:rPr>
            <w:noProof/>
            <w:webHidden/>
          </w:rPr>
          <w:fldChar w:fldCharType="end"/>
        </w:r>
      </w:hyperlink>
    </w:p>
    <w:p w14:paraId="6655EA5F" w14:textId="61DCD3D2" w:rsidR="00315A11" w:rsidRDefault="00315A11">
      <w:pPr>
        <w:pStyle w:val="Obsah4"/>
        <w:rPr>
          <w:rFonts w:asciiTheme="minorHAnsi" w:eastAsiaTheme="minorEastAsia" w:hAnsiTheme="minorHAnsi"/>
          <w:noProof/>
          <w:sz w:val="22"/>
          <w:szCs w:val="22"/>
          <w:lang w:val="cs-CZ" w:eastAsia="cs-CZ"/>
        </w:rPr>
      </w:pPr>
      <w:hyperlink w:anchor="_Toc94181638" w:history="1">
        <w:r w:rsidRPr="00354A74">
          <w:rPr>
            <w:rStyle w:val="Hypertextovodkaz"/>
            <w:noProof/>
          </w:rPr>
          <w:t>Tabulka 87</w:t>
        </w:r>
        <w:r>
          <w:rPr>
            <w:rFonts w:asciiTheme="minorHAnsi" w:eastAsiaTheme="minorEastAsia" w:hAnsiTheme="minorHAnsi"/>
            <w:noProof/>
            <w:sz w:val="22"/>
            <w:szCs w:val="22"/>
            <w:lang w:val="cs-CZ" w:eastAsia="cs-CZ"/>
          </w:rPr>
          <w:tab/>
        </w:r>
        <w:r w:rsidRPr="00354A74">
          <w:rPr>
            <w:rStyle w:val="Hypertextovodkaz"/>
            <w:noProof/>
          </w:rPr>
          <w:t>Přehled Operačních programů a oblastí podpory snižování GHG a NH</w:t>
        </w:r>
        <w:r w:rsidRPr="00354A74">
          <w:rPr>
            <w:rStyle w:val="Hypertextovodkaz"/>
            <w:noProof/>
            <w:vertAlign w:val="subscript"/>
          </w:rPr>
          <w:t>3</w:t>
        </w:r>
        <w:r w:rsidRPr="00354A74">
          <w:rPr>
            <w:rStyle w:val="Hypertextovodkaz"/>
            <w:noProof/>
          </w:rPr>
          <w:t xml:space="preserve"> ze zemědělství</w:t>
        </w:r>
        <w:r>
          <w:rPr>
            <w:noProof/>
            <w:webHidden/>
          </w:rPr>
          <w:tab/>
        </w:r>
        <w:r>
          <w:rPr>
            <w:noProof/>
            <w:webHidden/>
          </w:rPr>
          <w:fldChar w:fldCharType="begin"/>
        </w:r>
        <w:r>
          <w:rPr>
            <w:noProof/>
            <w:webHidden/>
          </w:rPr>
          <w:instrText xml:space="preserve"> PAGEREF _Toc94181638 \h </w:instrText>
        </w:r>
        <w:r>
          <w:rPr>
            <w:noProof/>
            <w:webHidden/>
          </w:rPr>
        </w:r>
        <w:r>
          <w:rPr>
            <w:noProof/>
            <w:webHidden/>
          </w:rPr>
          <w:fldChar w:fldCharType="separate"/>
        </w:r>
        <w:r>
          <w:rPr>
            <w:noProof/>
            <w:webHidden/>
          </w:rPr>
          <w:t>114</w:t>
        </w:r>
        <w:r>
          <w:rPr>
            <w:noProof/>
            <w:webHidden/>
          </w:rPr>
          <w:fldChar w:fldCharType="end"/>
        </w:r>
      </w:hyperlink>
    </w:p>
    <w:p w14:paraId="090D2564" w14:textId="1D7C38A4" w:rsidR="00315A11" w:rsidRDefault="00315A11">
      <w:pPr>
        <w:pStyle w:val="Obsah4"/>
        <w:rPr>
          <w:rFonts w:asciiTheme="minorHAnsi" w:eastAsiaTheme="minorEastAsia" w:hAnsiTheme="minorHAnsi"/>
          <w:noProof/>
          <w:sz w:val="22"/>
          <w:szCs w:val="22"/>
          <w:lang w:val="cs-CZ" w:eastAsia="cs-CZ"/>
        </w:rPr>
      </w:pPr>
      <w:hyperlink w:anchor="_Toc94181639" w:history="1">
        <w:r w:rsidRPr="00354A74">
          <w:rPr>
            <w:rStyle w:val="Hypertextovodkaz"/>
            <w:noProof/>
          </w:rPr>
          <w:t>Tabulka 88</w:t>
        </w:r>
        <w:r>
          <w:rPr>
            <w:rFonts w:asciiTheme="minorHAnsi" w:eastAsiaTheme="minorEastAsia" w:hAnsiTheme="minorHAnsi"/>
            <w:noProof/>
            <w:sz w:val="22"/>
            <w:szCs w:val="22"/>
            <w:lang w:val="cs-CZ" w:eastAsia="cs-CZ"/>
          </w:rPr>
          <w:tab/>
        </w:r>
        <w:r w:rsidRPr="00354A74">
          <w:rPr>
            <w:rStyle w:val="Hypertextovodkaz"/>
            <w:noProof/>
          </w:rPr>
          <w:t>Celkový přehled podpořených projektů z OPŽP v prioritní ose 2</w:t>
        </w:r>
        <w:r>
          <w:rPr>
            <w:noProof/>
            <w:webHidden/>
          </w:rPr>
          <w:tab/>
        </w:r>
        <w:r>
          <w:rPr>
            <w:noProof/>
            <w:webHidden/>
          </w:rPr>
          <w:fldChar w:fldCharType="begin"/>
        </w:r>
        <w:r>
          <w:rPr>
            <w:noProof/>
            <w:webHidden/>
          </w:rPr>
          <w:instrText xml:space="preserve"> PAGEREF _Toc94181639 \h </w:instrText>
        </w:r>
        <w:r>
          <w:rPr>
            <w:noProof/>
            <w:webHidden/>
          </w:rPr>
        </w:r>
        <w:r>
          <w:rPr>
            <w:noProof/>
            <w:webHidden/>
          </w:rPr>
          <w:fldChar w:fldCharType="separate"/>
        </w:r>
        <w:r>
          <w:rPr>
            <w:noProof/>
            <w:webHidden/>
          </w:rPr>
          <w:t>115</w:t>
        </w:r>
        <w:r>
          <w:rPr>
            <w:noProof/>
            <w:webHidden/>
          </w:rPr>
          <w:fldChar w:fldCharType="end"/>
        </w:r>
      </w:hyperlink>
    </w:p>
    <w:p w14:paraId="58602FDD" w14:textId="226B75E1" w:rsidR="00315A11" w:rsidRDefault="00315A11">
      <w:pPr>
        <w:pStyle w:val="Obsah4"/>
        <w:rPr>
          <w:rFonts w:asciiTheme="minorHAnsi" w:eastAsiaTheme="minorEastAsia" w:hAnsiTheme="minorHAnsi"/>
          <w:noProof/>
          <w:sz w:val="22"/>
          <w:szCs w:val="22"/>
          <w:lang w:val="cs-CZ" w:eastAsia="cs-CZ"/>
        </w:rPr>
      </w:pPr>
      <w:hyperlink w:anchor="_Toc94181640" w:history="1">
        <w:r w:rsidRPr="00354A74">
          <w:rPr>
            <w:rStyle w:val="Hypertextovodkaz"/>
            <w:noProof/>
          </w:rPr>
          <w:t>Tabulka 89</w:t>
        </w:r>
        <w:r>
          <w:rPr>
            <w:rFonts w:asciiTheme="minorHAnsi" w:eastAsiaTheme="minorEastAsia" w:hAnsiTheme="minorHAnsi"/>
            <w:noProof/>
            <w:sz w:val="22"/>
            <w:szCs w:val="22"/>
            <w:lang w:val="cs-CZ" w:eastAsia="cs-CZ"/>
          </w:rPr>
          <w:tab/>
        </w:r>
        <w:r w:rsidRPr="00354A74">
          <w:rPr>
            <w:rStyle w:val="Hypertextovodkaz"/>
            <w:noProof/>
          </w:rPr>
          <w:t>Přehled Operačních programů a oblastí podpory OZE</w:t>
        </w:r>
        <w:r>
          <w:rPr>
            <w:noProof/>
            <w:webHidden/>
          </w:rPr>
          <w:tab/>
        </w:r>
        <w:r>
          <w:rPr>
            <w:noProof/>
            <w:webHidden/>
          </w:rPr>
          <w:fldChar w:fldCharType="begin"/>
        </w:r>
        <w:r>
          <w:rPr>
            <w:noProof/>
            <w:webHidden/>
          </w:rPr>
          <w:instrText xml:space="preserve"> PAGEREF _Toc94181640 \h </w:instrText>
        </w:r>
        <w:r>
          <w:rPr>
            <w:noProof/>
            <w:webHidden/>
          </w:rPr>
        </w:r>
        <w:r>
          <w:rPr>
            <w:noProof/>
            <w:webHidden/>
          </w:rPr>
          <w:fldChar w:fldCharType="separate"/>
        </w:r>
        <w:r>
          <w:rPr>
            <w:noProof/>
            <w:webHidden/>
          </w:rPr>
          <w:t>116</w:t>
        </w:r>
        <w:r>
          <w:rPr>
            <w:noProof/>
            <w:webHidden/>
          </w:rPr>
          <w:fldChar w:fldCharType="end"/>
        </w:r>
      </w:hyperlink>
    </w:p>
    <w:p w14:paraId="7D191683" w14:textId="39BF147F" w:rsidR="00315A11" w:rsidRDefault="00315A11">
      <w:pPr>
        <w:pStyle w:val="Obsah4"/>
        <w:rPr>
          <w:rFonts w:asciiTheme="minorHAnsi" w:eastAsiaTheme="minorEastAsia" w:hAnsiTheme="minorHAnsi"/>
          <w:noProof/>
          <w:sz w:val="22"/>
          <w:szCs w:val="22"/>
          <w:lang w:val="cs-CZ" w:eastAsia="cs-CZ"/>
        </w:rPr>
      </w:pPr>
      <w:hyperlink w:anchor="_Toc94181641" w:history="1">
        <w:r w:rsidRPr="00354A74">
          <w:rPr>
            <w:rStyle w:val="Hypertextovodkaz"/>
            <w:noProof/>
          </w:rPr>
          <w:t>Tabulka 90</w:t>
        </w:r>
        <w:r>
          <w:rPr>
            <w:rFonts w:asciiTheme="minorHAnsi" w:eastAsiaTheme="minorEastAsia" w:hAnsiTheme="minorHAnsi"/>
            <w:noProof/>
            <w:sz w:val="22"/>
            <w:szCs w:val="22"/>
            <w:lang w:val="cs-CZ" w:eastAsia="cs-CZ"/>
          </w:rPr>
          <w:tab/>
        </w:r>
        <w:r w:rsidRPr="00354A74">
          <w:rPr>
            <w:rStyle w:val="Hypertextovodkaz"/>
            <w:noProof/>
          </w:rPr>
          <w:t>Emise NH</w:t>
        </w:r>
        <w:r w:rsidRPr="00354A74">
          <w:rPr>
            <w:rStyle w:val="Hypertextovodkaz"/>
            <w:noProof/>
            <w:vertAlign w:val="subscript"/>
          </w:rPr>
          <w:t xml:space="preserve">3 </w:t>
        </w:r>
        <w:r w:rsidRPr="00354A74">
          <w:rPr>
            <w:rStyle w:val="Hypertextovodkaz"/>
            <w:noProof/>
          </w:rPr>
          <w:t>dle scénáře NPSE-WaM k roku 2020</w:t>
        </w:r>
        <w:r>
          <w:rPr>
            <w:noProof/>
            <w:webHidden/>
          </w:rPr>
          <w:tab/>
        </w:r>
        <w:r>
          <w:rPr>
            <w:noProof/>
            <w:webHidden/>
          </w:rPr>
          <w:fldChar w:fldCharType="begin"/>
        </w:r>
        <w:r>
          <w:rPr>
            <w:noProof/>
            <w:webHidden/>
          </w:rPr>
          <w:instrText xml:space="preserve"> PAGEREF _Toc94181641 \h </w:instrText>
        </w:r>
        <w:r>
          <w:rPr>
            <w:noProof/>
            <w:webHidden/>
          </w:rPr>
        </w:r>
        <w:r>
          <w:rPr>
            <w:noProof/>
            <w:webHidden/>
          </w:rPr>
          <w:fldChar w:fldCharType="separate"/>
        </w:r>
        <w:r>
          <w:rPr>
            <w:noProof/>
            <w:webHidden/>
          </w:rPr>
          <w:t>118</w:t>
        </w:r>
        <w:r>
          <w:rPr>
            <w:noProof/>
            <w:webHidden/>
          </w:rPr>
          <w:fldChar w:fldCharType="end"/>
        </w:r>
      </w:hyperlink>
    </w:p>
    <w:p w14:paraId="468188A4" w14:textId="1171B4E7" w:rsidR="00315A11" w:rsidRDefault="00315A11">
      <w:pPr>
        <w:pStyle w:val="Obsah4"/>
        <w:rPr>
          <w:rFonts w:asciiTheme="minorHAnsi" w:eastAsiaTheme="minorEastAsia" w:hAnsiTheme="minorHAnsi"/>
          <w:noProof/>
          <w:sz w:val="22"/>
          <w:szCs w:val="22"/>
          <w:lang w:val="cs-CZ" w:eastAsia="cs-CZ"/>
        </w:rPr>
      </w:pPr>
      <w:hyperlink w:anchor="_Toc94181642" w:history="1">
        <w:r w:rsidRPr="00354A74">
          <w:rPr>
            <w:rStyle w:val="Hypertextovodkaz"/>
            <w:noProof/>
          </w:rPr>
          <w:t>Tabulka 91</w:t>
        </w:r>
        <w:r>
          <w:rPr>
            <w:rFonts w:asciiTheme="minorHAnsi" w:eastAsiaTheme="minorEastAsia" w:hAnsiTheme="minorHAnsi"/>
            <w:noProof/>
            <w:sz w:val="22"/>
            <w:szCs w:val="22"/>
            <w:lang w:val="cs-CZ" w:eastAsia="cs-CZ"/>
          </w:rPr>
          <w:tab/>
        </w:r>
        <w:r w:rsidRPr="00354A74">
          <w:rPr>
            <w:rStyle w:val="Hypertextovodkaz"/>
            <w:noProof/>
          </w:rPr>
          <w:t>Nepřekročitelné hodnoty národních emisí dle scénáře WaM přepočtené na relativní snížení vůči r. 2005 a vyhodnocení jejich plnění pro r. 2016</w:t>
        </w:r>
        <w:r>
          <w:rPr>
            <w:noProof/>
            <w:webHidden/>
          </w:rPr>
          <w:tab/>
        </w:r>
        <w:r>
          <w:rPr>
            <w:noProof/>
            <w:webHidden/>
          </w:rPr>
          <w:fldChar w:fldCharType="begin"/>
        </w:r>
        <w:r>
          <w:rPr>
            <w:noProof/>
            <w:webHidden/>
          </w:rPr>
          <w:instrText xml:space="preserve"> PAGEREF _Toc94181642 \h </w:instrText>
        </w:r>
        <w:r>
          <w:rPr>
            <w:noProof/>
            <w:webHidden/>
          </w:rPr>
        </w:r>
        <w:r>
          <w:rPr>
            <w:noProof/>
            <w:webHidden/>
          </w:rPr>
          <w:fldChar w:fldCharType="separate"/>
        </w:r>
        <w:r>
          <w:rPr>
            <w:noProof/>
            <w:webHidden/>
          </w:rPr>
          <w:t>118</w:t>
        </w:r>
        <w:r>
          <w:rPr>
            <w:noProof/>
            <w:webHidden/>
          </w:rPr>
          <w:fldChar w:fldCharType="end"/>
        </w:r>
      </w:hyperlink>
    </w:p>
    <w:p w14:paraId="7263C887" w14:textId="5A3C828E" w:rsidR="00315A11" w:rsidRDefault="00315A11">
      <w:pPr>
        <w:pStyle w:val="Obsah4"/>
        <w:rPr>
          <w:rFonts w:asciiTheme="minorHAnsi" w:eastAsiaTheme="minorEastAsia" w:hAnsiTheme="minorHAnsi"/>
          <w:noProof/>
          <w:sz w:val="22"/>
          <w:szCs w:val="22"/>
          <w:lang w:val="cs-CZ" w:eastAsia="cs-CZ"/>
        </w:rPr>
      </w:pPr>
      <w:hyperlink w:anchor="_Toc94181643" w:history="1">
        <w:r w:rsidRPr="00354A74">
          <w:rPr>
            <w:rStyle w:val="Hypertextovodkaz"/>
            <w:noProof/>
          </w:rPr>
          <w:t>Tabulka 92</w:t>
        </w:r>
        <w:r>
          <w:rPr>
            <w:rFonts w:asciiTheme="minorHAnsi" w:eastAsiaTheme="minorEastAsia" w:hAnsiTheme="minorHAnsi"/>
            <w:noProof/>
            <w:sz w:val="22"/>
            <w:szCs w:val="22"/>
            <w:lang w:val="cs-CZ" w:eastAsia="cs-CZ"/>
          </w:rPr>
          <w:tab/>
        </w:r>
        <w:r w:rsidRPr="00354A74">
          <w:rPr>
            <w:rStyle w:val="Hypertextovodkaz"/>
            <w:noProof/>
          </w:rPr>
          <w:t>Scénář rozvoje využití potenciálu energie z bioplynu bez veřejné podpory</w:t>
        </w:r>
        <w:r>
          <w:rPr>
            <w:noProof/>
            <w:webHidden/>
          </w:rPr>
          <w:tab/>
        </w:r>
        <w:r>
          <w:rPr>
            <w:noProof/>
            <w:webHidden/>
          </w:rPr>
          <w:fldChar w:fldCharType="begin"/>
        </w:r>
        <w:r>
          <w:rPr>
            <w:noProof/>
            <w:webHidden/>
          </w:rPr>
          <w:instrText xml:space="preserve"> PAGEREF _Toc94181643 \h </w:instrText>
        </w:r>
        <w:r>
          <w:rPr>
            <w:noProof/>
            <w:webHidden/>
          </w:rPr>
        </w:r>
        <w:r>
          <w:rPr>
            <w:noProof/>
            <w:webHidden/>
          </w:rPr>
          <w:fldChar w:fldCharType="separate"/>
        </w:r>
        <w:r>
          <w:rPr>
            <w:noProof/>
            <w:webHidden/>
          </w:rPr>
          <w:t>124</w:t>
        </w:r>
        <w:r>
          <w:rPr>
            <w:noProof/>
            <w:webHidden/>
          </w:rPr>
          <w:fldChar w:fldCharType="end"/>
        </w:r>
      </w:hyperlink>
    </w:p>
    <w:p w14:paraId="7910D1C9" w14:textId="05A28468" w:rsidR="00315A11" w:rsidRDefault="00315A11">
      <w:pPr>
        <w:pStyle w:val="Obsah4"/>
        <w:rPr>
          <w:rFonts w:asciiTheme="minorHAnsi" w:eastAsiaTheme="minorEastAsia" w:hAnsiTheme="minorHAnsi"/>
          <w:noProof/>
          <w:sz w:val="22"/>
          <w:szCs w:val="22"/>
          <w:lang w:val="cs-CZ" w:eastAsia="cs-CZ"/>
        </w:rPr>
      </w:pPr>
      <w:hyperlink w:anchor="_Toc94181644" w:history="1">
        <w:r w:rsidRPr="00354A74">
          <w:rPr>
            <w:rStyle w:val="Hypertextovodkaz"/>
            <w:noProof/>
          </w:rPr>
          <w:t>Tabulka 93</w:t>
        </w:r>
        <w:r>
          <w:rPr>
            <w:rFonts w:asciiTheme="minorHAnsi" w:eastAsiaTheme="minorEastAsia" w:hAnsiTheme="minorHAnsi"/>
            <w:noProof/>
            <w:sz w:val="22"/>
            <w:szCs w:val="22"/>
            <w:lang w:val="cs-CZ" w:eastAsia="cs-CZ"/>
          </w:rPr>
          <w:tab/>
        </w:r>
        <w:r w:rsidRPr="00354A74">
          <w:rPr>
            <w:rStyle w:val="Hypertextovodkaz"/>
            <w:noProof/>
          </w:rPr>
          <w:t>Rozsah problému vodní eroze a degradace půd</w:t>
        </w:r>
        <w:r>
          <w:rPr>
            <w:noProof/>
            <w:webHidden/>
          </w:rPr>
          <w:tab/>
        </w:r>
        <w:r>
          <w:rPr>
            <w:noProof/>
            <w:webHidden/>
          </w:rPr>
          <w:fldChar w:fldCharType="begin"/>
        </w:r>
        <w:r>
          <w:rPr>
            <w:noProof/>
            <w:webHidden/>
          </w:rPr>
          <w:instrText xml:space="preserve"> PAGEREF _Toc94181644 \h </w:instrText>
        </w:r>
        <w:r>
          <w:rPr>
            <w:noProof/>
            <w:webHidden/>
          </w:rPr>
        </w:r>
        <w:r>
          <w:rPr>
            <w:noProof/>
            <w:webHidden/>
          </w:rPr>
          <w:fldChar w:fldCharType="separate"/>
        </w:r>
        <w:r>
          <w:rPr>
            <w:noProof/>
            <w:webHidden/>
          </w:rPr>
          <w:t>144</w:t>
        </w:r>
        <w:r>
          <w:rPr>
            <w:noProof/>
            <w:webHidden/>
          </w:rPr>
          <w:fldChar w:fldCharType="end"/>
        </w:r>
      </w:hyperlink>
    </w:p>
    <w:p w14:paraId="154CF7D8" w14:textId="15FFC728" w:rsidR="00315A11" w:rsidRDefault="00315A11">
      <w:pPr>
        <w:pStyle w:val="Obsah4"/>
        <w:rPr>
          <w:rFonts w:asciiTheme="minorHAnsi" w:eastAsiaTheme="minorEastAsia" w:hAnsiTheme="minorHAnsi"/>
          <w:noProof/>
          <w:sz w:val="22"/>
          <w:szCs w:val="22"/>
          <w:lang w:val="cs-CZ" w:eastAsia="cs-CZ"/>
        </w:rPr>
      </w:pPr>
      <w:hyperlink w:anchor="_Toc94181645" w:history="1">
        <w:r w:rsidRPr="00354A74">
          <w:rPr>
            <w:rStyle w:val="Hypertextovodkaz"/>
            <w:noProof/>
          </w:rPr>
          <w:t>Tabulka 94</w:t>
        </w:r>
        <w:r>
          <w:rPr>
            <w:rFonts w:asciiTheme="minorHAnsi" w:eastAsiaTheme="minorEastAsia" w:hAnsiTheme="minorHAnsi"/>
            <w:noProof/>
            <w:sz w:val="22"/>
            <w:szCs w:val="22"/>
            <w:lang w:val="cs-CZ" w:eastAsia="cs-CZ"/>
          </w:rPr>
          <w:tab/>
        </w:r>
        <w:r w:rsidRPr="00354A74">
          <w:rPr>
            <w:rStyle w:val="Hypertextovodkaz"/>
            <w:noProof/>
          </w:rPr>
          <w:t>Rozsah problému Srážková voda, utuženost půd a krajinné prvky</w:t>
        </w:r>
        <w:r>
          <w:rPr>
            <w:noProof/>
            <w:webHidden/>
          </w:rPr>
          <w:tab/>
        </w:r>
        <w:r>
          <w:rPr>
            <w:noProof/>
            <w:webHidden/>
          </w:rPr>
          <w:fldChar w:fldCharType="begin"/>
        </w:r>
        <w:r>
          <w:rPr>
            <w:noProof/>
            <w:webHidden/>
          </w:rPr>
          <w:instrText xml:space="preserve"> PAGEREF _Toc94181645 \h </w:instrText>
        </w:r>
        <w:r>
          <w:rPr>
            <w:noProof/>
            <w:webHidden/>
          </w:rPr>
        </w:r>
        <w:r>
          <w:rPr>
            <w:noProof/>
            <w:webHidden/>
          </w:rPr>
          <w:fldChar w:fldCharType="separate"/>
        </w:r>
        <w:r>
          <w:rPr>
            <w:noProof/>
            <w:webHidden/>
          </w:rPr>
          <w:t>147</w:t>
        </w:r>
        <w:r>
          <w:rPr>
            <w:noProof/>
            <w:webHidden/>
          </w:rPr>
          <w:fldChar w:fldCharType="end"/>
        </w:r>
      </w:hyperlink>
    </w:p>
    <w:p w14:paraId="44CCDBA1" w14:textId="4469D833" w:rsidR="00315A11" w:rsidRDefault="00315A11">
      <w:pPr>
        <w:pStyle w:val="Obsah4"/>
        <w:rPr>
          <w:rFonts w:asciiTheme="minorHAnsi" w:eastAsiaTheme="minorEastAsia" w:hAnsiTheme="minorHAnsi"/>
          <w:noProof/>
          <w:sz w:val="22"/>
          <w:szCs w:val="22"/>
          <w:lang w:val="cs-CZ" w:eastAsia="cs-CZ"/>
        </w:rPr>
      </w:pPr>
      <w:hyperlink w:anchor="_Toc94181646" w:history="1">
        <w:r w:rsidRPr="00354A74">
          <w:rPr>
            <w:rStyle w:val="Hypertextovodkaz"/>
            <w:noProof/>
          </w:rPr>
          <w:t>Tabulka 95</w:t>
        </w:r>
        <w:r>
          <w:rPr>
            <w:rFonts w:asciiTheme="minorHAnsi" w:eastAsiaTheme="minorEastAsia" w:hAnsiTheme="minorHAnsi"/>
            <w:noProof/>
            <w:sz w:val="22"/>
            <w:szCs w:val="22"/>
            <w:lang w:val="cs-CZ" w:eastAsia="cs-CZ"/>
          </w:rPr>
          <w:tab/>
        </w:r>
        <w:r w:rsidRPr="00354A74">
          <w:rPr>
            <w:rStyle w:val="Hypertextovodkaz"/>
            <w:noProof/>
          </w:rPr>
          <w:t>Rozsah problému Půdoochranné technologie a  Zalesňování a zatravňování ZPF</w:t>
        </w:r>
        <w:r>
          <w:rPr>
            <w:noProof/>
            <w:webHidden/>
          </w:rPr>
          <w:tab/>
        </w:r>
        <w:r>
          <w:rPr>
            <w:noProof/>
            <w:webHidden/>
          </w:rPr>
          <w:fldChar w:fldCharType="begin"/>
        </w:r>
        <w:r>
          <w:rPr>
            <w:noProof/>
            <w:webHidden/>
          </w:rPr>
          <w:instrText xml:space="preserve"> PAGEREF _Toc94181646 \h </w:instrText>
        </w:r>
        <w:r>
          <w:rPr>
            <w:noProof/>
            <w:webHidden/>
          </w:rPr>
        </w:r>
        <w:r>
          <w:rPr>
            <w:noProof/>
            <w:webHidden/>
          </w:rPr>
          <w:fldChar w:fldCharType="separate"/>
        </w:r>
        <w:r>
          <w:rPr>
            <w:noProof/>
            <w:webHidden/>
          </w:rPr>
          <w:t>152</w:t>
        </w:r>
        <w:r>
          <w:rPr>
            <w:noProof/>
            <w:webHidden/>
          </w:rPr>
          <w:fldChar w:fldCharType="end"/>
        </w:r>
      </w:hyperlink>
    </w:p>
    <w:p w14:paraId="0212983E" w14:textId="174246F8" w:rsidR="00315A11" w:rsidRDefault="00315A11">
      <w:pPr>
        <w:pStyle w:val="Obsah4"/>
        <w:rPr>
          <w:rFonts w:asciiTheme="minorHAnsi" w:eastAsiaTheme="minorEastAsia" w:hAnsiTheme="minorHAnsi"/>
          <w:noProof/>
          <w:sz w:val="22"/>
          <w:szCs w:val="22"/>
          <w:lang w:val="cs-CZ" w:eastAsia="cs-CZ"/>
        </w:rPr>
      </w:pPr>
      <w:hyperlink w:anchor="_Toc94181647" w:history="1">
        <w:r w:rsidRPr="00354A74">
          <w:rPr>
            <w:rStyle w:val="Hypertextovodkaz"/>
            <w:noProof/>
          </w:rPr>
          <w:t>Tabulka 96</w:t>
        </w:r>
        <w:r>
          <w:rPr>
            <w:rFonts w:asciiTheme="minorHAnsi" w:eastAsiaTheme="minorEastAsia" w:hAnsiTheme="minorHAnsi"/>
            <w:noProof/>
            <w:sz w:val="22"/>
            <w:szCs w:val="22"/>
            <w:lang w:val="cs-CZ" w:eastAsia="cs-CZ"/>
          </w:rPr>
          <w:tab/>
        </w:r>
        <w:r w:rsidRPr="00354A74">
          <w:rPr>
            <w:rStyle w:val="Hypertextovodkaz"/>
            <w:noProof/>
          </w:rPr>
          <w:t>Rozsah problému Bilancování organické hmoty</w:t>
        </w:r>
        <w:r>
          <w:rPr>
            <w:noProof/>
            <w:webHidden/>
          </w:rPr>
          <w:tab/>
        </w:r>
        <w:r>
          <w:rPr>
            <w:noProof/>
            <w:webHidden/>
          </w:rPr>
          <w:fldChar w:fldCharType="begin"/>
        </w:r>
        <w:r>
          <w:rPr>
            <w:noProof/>
            <w:webHidden/>
          </w:rPr>
          <w:instrText xml:space="preserve"> PAGEREF _Toc94181647 \h </w:instrText>
        </w:r>
        <w:r>
          <w:rPr>
            <w:noProof/>
            <w:webHidden/>
          </w:rPr>
        </w:r>
        <w:r>
          <w:rPr>
            <w:noProof/>
            <w:webHidden/>
          </w:rPr>
          <w:fldChar w:fldCharType="separate"/>
        </w:r>
        <w:r>
          <w:rPr>
            <w:noProof/>
            <w:webHidden/>
          </w:rPr>
          <w:t>161</w:t>
        </w:r>
        <w:r>
          <w:rPr>
            <w:noProof/>
            <w:webHidden/>
          </w:rPr>
          <w:fldChar w:fldCharType="end"/>
        </w:r>
      </w:hyperlink>
    </w:p>
    <w:p w14:paraId="1E673374" w14:textId="304F49A2" w:rsidR="00315A11" w:rsidRDefault="00315A11">
      <w:pPr>
        <w:pStyle w:val="Obsah4"/>
        <w:rPr>
          <w:rFonts w:asciiTheme="minorHAnsi" w:eastAsiaTheme="minorEastAsia" w:hAnsiTheme="minorHAnsi"/>
          <w:noProof/>
          <w:sz w:val="22"/>
          <w:szCs w:val="22"/>
          <w:lang w:val="cs-CZ" w:eastAsia="cs-CZ"/>
        </w:rPr>
      </w:pPr>
      <w:hyperlink w:anchor="_Toc94181648" w:history="1">
        <w:r w:rsidRPr="00354A74">
          <w:rPr>
            <w:rStyle w:val="Hypertextovodkaz"/>
            <w:noProof/>
          </w:rPr>
          <w:t>Tabulka 97</w:t>
        </w:r>
        <w:r>
          <w:rPr>
            <w:rFonts w:asciiTheme="minorHAnsi" w:eastAsiaTheme="minorEastAsia" w:hAnsiTheme="minorHAnsi"/>
            <w:noProof/>
            <w:sz w:val="22"/>
            <w:szCs w:val="22"/>
            <w:lang w:val="cs-CZ" w:eastAsia="cs-CZ"/>
          </w:rPr>
          <w:tab/>
        </w:r>
        <w:r w:rsidRPr="00354A74">
          <w:rPr>
            <w:rStyle w:val="Hypertextovodkaz"/>
            <w:noProof/>
          </w:rPr>
          <w:t>Míra soběstačnosti ve výrobě potravin a z toho vyplývající využitelná zemědělská plocha pro produkci biomasy ze zemědělských ploch pro energetické využití</w:t>
        </w:r>
        <w:r>
          <w:rPr>
            <w:noProof/>
            <w:webHidden/>
          </w:rPr>
          <w:tab/>
        </w:r>
        <w:r>
          <w:rPr>
            <w:noProof/>
            <w:webHidden/>
          </w:rPr>
          <w:fldChar w:fldCharType="begin"/>
        </w:r>
        <w:r>
          <w:rPr>
            <w:noProof/>
            <w:webHidden/>
          </w:rPr>
          <w:instrText xml:space="preserve"> PAGEREF _Toc94181648 \h </w:instrText>
        </w:r>
        <w:r>
          <w:rPr>
            <w:noProof/>
            <w:webHidden/>
          </w:rPr>
        </w:r>
        <w:r>
          <w:rPr>
            <w:noProof/>
            <w:webHidden/>
          </w:rPr>
          <w:fldChar w:fldCharType="separate"/>
        </w:r>
        <w:r>
          <w:rPr>
            <w:noProof/>
            <w:webHidden/>
          </w:rPr>
          <w:t>164</w:t>
        </w:r>
        <w:r>
          <w:rPr>
            <w:noProof/>
            <w:webHidden/>
          </w:rPr>
          <w:fldChar w:fldCharType="end"/>
        </w:r>
      </w:hyperlink>
    </w:p>
    <w:p w14:paraId="782DB411" w14:textId="2FF1B6F7" w:rsidR="00315A11" w:rsidRDefault="00315A11">
      <w:pPr>
        <w:pStyle w:val="Obsah4"/>
        <w:rPr>
          <w:rFonts w:asciiTheme="minorHAnsi" w:eastAsiaTheme="minorEastAsia" w:hAnsiTheme="minorHAnsi"/>
          <w:noProof/>
          <w:sz w:val="22"/>
          <w:szCs w:val="22"/>
          <w:lang w:val="cs-CZ" w:eastAsia="cs-CZ"/>
        </w:rPr>
      </w:pPr>
      <w:hyperlink w:anchor="_Toc94181649" w:history="1">
        <w:r w:rsidRPr="00354A74">
          <w:rPr>
            <w:rStyle w:val="Hypertextovodkaz"/>
            <w:noProof/>
          </w:rPr>
          <w:t>Tabulka 98</w:t>
        </w:r>
        <w:r>
          <w:rPr>
            <w:rFonts w:asciiTheme="minorHAnsi" w:eastAsiaTheme="minorEastAsia" w:hAnsiTheme="minorHAnsi"/>
            <w:noProof/>
            <w:sz w:val="22"/>
            <w:szCs w:val="22"/>
            <w:lang w:val="cs-CZ" w:eastAsia="cs-CZ"/>
          </w:rPr>
          <w:tab/>
        </w:r>
        <w:r w:rsidRPr="00354A74">
          <w:rPr>
            <w:rStyle w:val="Hypertextovodkaz"/>
            <w:noProof/>
          </w:rPr>
          <w:t>Celkový roční dostupný potenciál veškeré biomasy v České republice pro energetické využití (střední hodnoty)</w:t>
        </w:r>
        <w:r>
          <w:rPr>
            <w:noProof/>
            <w:webHidden/>
          </w:rPr>
          <w:tab/>
        </w:r>
        <w:r>
          <w:rPr>
            <w:noProof/>
            <w:webHidden/>
          </w:rPr>
          <w:fldChar w:fldCharType="begin"/>
        </w:r>
        <w:r>
          <w:rPr>
            <w:noProof/>
            <w:webHidden/>
          </w:rPr>
          <w:instrText xml:space="preserve"> PAGEREF _Toc94181649 \h </w:instrText>
        </w:r>
        <w:r>
          <w:rPr>
            <w:noProof/>
            <w:webHidden/>
          </w:rPr>
        </w:r>
        <w:r>
          <w:rPr>
            <w:noProof/>
            <w:webHidden/>
          </w:rPr>
          <w:fldChar w:fldCharType="separate"/>
        </w:r>
        <w:r>
          <w:rPr>
            <w:noProof/>
            <w:webHidden/>
          </w:rPr>
          <w:t>165</w:t>
        </w:r>
        <w:r>
          <w:rPr>
            <w:noProof/>
            <w:webHidden/>
          </w:rPr>
          <w:fldChar w:fldCharType="end"/>
        </w:r>
      </w:hyperlink>
    </w:p>
    <w:p w14:paraId="0C61F999" w14:textId="47AF4188" w:rsidR="00315A11" w:rsidRDefault="00315A11">
      <w:pPr>
        <w:pStyle w:val="Obsah4"/>
        <w:rPr>
          <w:rFonts w:asciiTheme="minorHAnsi" w:eastAsiaTheme="minorEastAsia" w:hAnsiTheme="minorHAnsi"/>
          <w:noProof/>
          <w:sz w:val="22"/>
          <w:szCs w:val="22"/>
          <w:lang w:val="cs-CZ" w:eastAsia="cs-CZ"/>
        </w:rPr>
      </w:pPr>
      <w:hyperlink w:anchor="_Toc94181650" w:history="1">
        <w:r w:rsidRPr="00354A74">
          <w:rPr>
            <w:rStyle w:val="Hypertextovodkaz"/>
            <w:noProof/>
          </w:rPr>
          <w:t>Tabulka 99</w:t>
        </w:r>
        <w:r>
          <w:rPr>
            <w:rFonts w:asciiTheme="minorHAnsi" w:eastAsiaTheme="minorEastAsia" w:hAnsiTheme="minorHAnsi"/>
            <w:noProof/>
            <w:sz w:val="22"/>
            <w:szCs w:val="22"/>
            <w:lang w:val="cs-CZ" w:eastAsia="cs-CZ"/>
          </w:rPr>
          <w:tab/>
        </w:r>
        <w:r w:rsidRPr="00354A74">
          <w:rPr>
            <w:rStyle w:val="Hypertextovodkaz"/>
            <w:noProof/>
          </w:rPr>
          <w:t>Přehled trvání garantovaných provozních podpor dle druhu OZE na biomasu</w:t>
        </w:r>
        <w:r>
          <w:rPr>
            <w:noProof/>
            <w:webHidden/>
          </w:rPr>
          <w:tab/>
        </w:r>
        <w:r>
          <w:rPr>
            <w:noProof/>
            <w:webHidden/>
          </w:rPr>
          <w:fldChar w:fldCharType="begin"/>
        </w:r>
        <w:r>
          <w:rPr>
            <w:noProof/>
            <w:webHidden/>
          </w:rPr>
          <w:instrText xml:space="preserve"> PAGEREF _Toc94181650 \h </w:instrText>
        </w:r>
        <w:r>
          <w:rPr>
            <w:noProof/>
            <w:webHidden/>
          </w:rPr>
        </w:r>
        <w:r>
          <w:rPr>
            <w:noProof/>
            <w:webHidden/>
          </w:rPr>
          <w:fldChar w:fldCharType="separate"/>
        </w:r>
        <w:r>
          <w:rPr>
            <w:noProof/>
            <w:webHidden/>
          </w:rPr>
          <w:t>165</w:t>
        </w:r>
        <w:r>
          <w:rPr>
            <w:noProof/>
            <w:webHidden/>
          </w:rPr>
          <w:fldChar w:fldCharType="end"/>
        </w:r>
      </w:hyperlink>
    </w:p>
    <w:p w14:paraId="25B11B28" w14:textId="4397DEC5" w:rsidR="00315A11" w:rsidRDefault="00315A11">
      <w:pPr>
        <w:pStyle w:val="Obsah4"/>
        <w:rPr>
          <w:rFonts w:asciiTheme="minorHAnsi" w:eastAsiaTheme="minorEastAsia" w:hAnsiTheme="minorHAnsi"/>
          <w:noProof/>
          <w:sz w:val="22"/>
          <w:szCs w:val="22"/>
          <w:lang w:val="cs-CZ" w:eastAsia="cs-CZ"/>
        </w:rPr>
      </w:pPr>
      <w:hyperlink w:anchor="_Toc94181651" w:history="1">
        <w:r w:rsidRPr="00354A74">
          <w:rPr>
            <w:rStyle w:val="Hypertextovodkaz"/>
            <w:noProof/>
          </w:rPr>
          <w:t>Tabulka 100</w:t>
        </w:r>
        <w:r>
          <w:rPr>
            <w:rFonts w:asciiTheme="minorHAnsi" w:eastAsiaTheme="minorEastAsia" w:hAnsiTheme="minorHAnsi"/>
            <w:noProof/>
            <w:sz w:val="22"/>
            <w:szCs w:val="22"/>
            <w:lang w:val="cs-CZ" w:eastAsia="cs-CZ"/>
          </w:rPr>
          <w:tab/>
        </w:r>
        <w:r w:rsidRPr="00354A74">
          <w:rPr>
            <w:rStyle w:val="Hypertextovodkaz"/>
            <w:noProof/>
          </w:rPr>
          <w:t>Celková energie z OZE a její podíl na PEZ v letech 2015 - 2016</w:t>
        </w:r>
        <w:r>
          <w:rPr>
            <w:noProof/>
            <w:webHidden/>
          </w:rPr>
          <w:tab/>
        </w:r>
        <w:r>
          <w:rPr>
            <w:noProof/>
            <w:webHidden/>
          </w:rPr>
          <w:fldChar w:fldCharType="begin"/>
        </w:r>
        <w:r>
          <w:rPr>
            <w:noProof/>
            <w:webHidden/>
          </w:rPr>
          <w:instrText xml:space="preserve"> PAGEREF _Toc94181651 \h </w:instrText>
        </w:r>
        <w:r>
          <w:rPr>
            <w:noProof/>
            <w:webHidden/>
          </w:rPr>
        </w:r>
        <w:r>
          <w:rPr>
            <w:noProof/>
            <w:webHidden/>
          </w:rPr>
          <w:fldChar w:fldCharType="separate"/>
        </w:r>
        <w:r>
          <w:rPr>
            <w:noProof/>
            <w:webHidden/>
          </w:rPr>
          <w:t>165</w:t>
        </w:r>
        <w:r>
          <w:rPr>
            <w:noProof/>
            <w:webHidden/>
          </w:rPr>
          <w:fldChar w:fldCharType="end"/>
        </w:r>
      </w:hyperlink>
    </w:p>
    <w:p w14:paraId="166B8654" w14:textId="05CA6C76" w:rsidR="00315A11" w:rsidRDefault="00315A11">
      <w:pPr>
        <w:pStyle w:val="Obsah4"/>
        <w:rPr>
          <w:rFonts w:asciiTheme="minorHAnsi" w:eastAsiaTheme="minorEastAsia" w:hAnsiTheme="minorHAnsi"/>
          <w:noProof/>
          <w:sz w:val="22"/>
          <w:szCs w:val="22"/>
          <w:lang w:val="cs-CZ" w:eastAsia="cs-CZ"/>
        </w:rPr>
      </w:pPr>
      <w:hyperlink w:anchor="_Toc94181652" w:history="1">
        <w:r w:rsidRPr="00354A74">
          <w:rPr>
            <w:rStyle w:val="Hypertextovodkaz"/>
            <w:noProof/>
          </w:rPr>
          <w:t>Tabulka 101</w:t>
        </w:r>
        <w:r>
          <w:rPr>
            <w:rFonts w:asciiTheme="minorHAnsi" w:eastAsiaTheme="minorEastAsia" w:hAnsiTheme="minorHAnsi"/>
            <w:noProof/>
            <w:sz w:val="22"/>
            <w:szCs w:val="22"/>
            <w:lang w:val="cs-CZ" w:eastAsia="cs-CZ"/>
          </w:rPr>
          <w:tab/>
        </w:r>
        <w:r w:rsidRPr="00354A74">
          <w:rPr>
            <w:rStyle w:val="Hypertextovodkaz"/>
            <w:noProof/>
          </w:rPr>
          <w:t>Výroba energie spalováním biomasy mimo domácnosti v roce 2016</w:t>
        </w:r>
        <w:r>
          <w:rPr>
            <w:noProof/>
            <w:webHidden/>
          </w:rPr>
          <w:tab/>
        </w:r>
        <w:r>
          <w:rPr>
            <w:noProof/>
            <w:webHidden/>
          </w:rPr>
          <w:fldChar w:fldCharType="begin"/>
        </w:r>
        <w:r>
          <w:rPr>
            <w:noProof/>
            <w:webHidden/>
          </w:rPr>
          <w:instrText xml:space="preserve"> PAGEREF _Toc94181652 \h </w:instrText>
        </w:r>
        <w:r>
          <w:rPr>
            <w:noProof/>
            <w:webHidden/>
          </w:rPr>
        </w:r>
        <w:r>
          <w:rPr>
            <w:noProof/>
            <w:webHidden/>
          </w:rPr>
          <w:fldChar w:fldCharType="separate"/>
        </w:r>
        <w:r>
          <w:rPr>
            <w:noProof/>
            <w:webHidden/>
          </w:rPr>
          <w:t>166</w:t>
        </w:r>
        <w:r>
          <w:rPr>
            <w:noProof/>
            <w:webHidden/>
          </w:rPr>
          <w:fldChar w:fldCharType="end"/>
        </w:r>
      </w:hyperlink>
    </w:p>
    <w:p w14:paraId="360D1238" w14:textId="3BAAFBCE" w:rsidR="00315A11" w:rsidRDefault="00315A11">
      <w:pPr>
        <w:pStyle w:val="Obsah4"/>
        <w:rPr>
          <w:rFonts w:asciiTheme="minorHAnsi" w:eastAsiaTheme="minorEastAsia" w:hAnsiTheme="minorHAnsi"/>
          <w:noProof/>
          <w:sz w:val="22"/>
          <w:szCs w:val="22"/>
          <w:lang w:val="cs-CZ" w:eastAsia="cs-CZ"/>
        </w:rPr>
      </w:pPr>
      <w:hyperlink w:anchor="_Toc94181653" w:history="1">
        <w:r w:rsidRPr="00354A74">
          <w:rPr>
            <w:rStyle w:val="Hypertextovodkaz"/>
            <w:noProof/>
          </w:rPr>
          <w:t>Tabulka 102</w:t>
        </w:r>
        <w:r>
          <w:rPr>
            <w:rFonts w:asciiTheme="minorHAnsi" w:eastAsiaTheme="minorEastAsia" w:hAnsiTheme="minorHAnsi"/>
            <w:noProof/>
            <w:sz w:val="22"/>
            <w:szCs w:val="22"/>
            <w:lang w:val="cs-CZ" w:eastAsia="cs-CZ"/>
          </w:rPr>
          <w:tab/>
        </w:r>
        <w:r w:rsidRPr="00354A74">
          <w:rPr>
            <w:rStyle w:val="Hypertextovodkaz"/>
            <w:noProof/>
          </w:rPr>
          <w:t>Vývoj minimálních podílů biopaliv v ČR v objemových procentech (V/V) a v procentech energetického obsahu (e.o.) včetně kritérií udržitelnosti a snižování emisí GHG</w:t>
        </w:r>
        <w:r>
          <w:rPr>
            <w:noProof/>
            <w:webHidden/>
          </w:rPr>
          <w:tab/>
        </w:r>
        <w:r>
          <w:rPr>
            <w:noProof/>
            <w:webHidden/>
          </w:rPr>
          <w:fldChar w:fldCharType="begin"/>
        </w:r>
        <w:r>
          <w:rPr>
            <w:noProof/>
            <w:webHidden/>
          </w:rPr>
          <w:instrText xml:space="preserve"> PAGEREF _Toc94181653 \h </w:instrText>
        </w:r>
        <w:r>
          <w:rPr>
            <w:noProof/>
            <w:webHidden/>
          </w:rPr>
        </w:r>
        <w:r>
          <w:rPr>
            <w:noProof/>
            <w:webHidden/>
          </w:rPr>
          <w:fldChar w:fldCharType="separate"/>
        </w:r>
        <w:r>
          <w:rPr>
            <w:noProof/>
            <w:webHidden/>
          </w:rPr>
          <w:t>168</w:t>
        </w:r>
        <w:r>
          <w:rPr>
            <w:noProof/>
            <w:webHidden/>
          </w:rPr>
          <w:fldChar w:fldCharType="end"/>
        </w:r>
      </w:hyperlink>
    </w:p>
    <w:p w14:paraId="2E80AFAF" w14:textId="56367D26" w:rsidR="00315A11" w:rsidRDefault="00315A11">
      <w:pPr>
        <w:pStyle w:val="Obsah4"/>
        <w:rPr>
          <w:rFonts w:asciiTheme="minorHAnsi" w:eastAsiaTheme="minorEastAsia" w:hAnsiTheme="minorHAnsi"/>
          <w:noProof/>
          <w:sz w:val="22"/>
          <w:szCs w:val="22"/>
          <w:lang w:val="cs-CZ" w:eastAsia="cs-CZ"/>
        </w:rPr>
      </w:pPr>
      <w:hyperlink w:anchor="_Toc94181654" w:history="1">
        <w:r w:rsidRPr="00354A74">
          <w:rPr>
            <w:rStyle w:val="Hypertextovodkaz"/>
            <w:noProof/>
          </w:rPr>
          <w:t>Tabulka 103</w:t>
        </w:r>
        <w:r>
          <w:rPr>
            <w:rFonts w:asciiTheme="minorHAnsi" w:eastAsiaTheme="minorEastAsia" w:hAnsiTheme="minorHAnsi"/>
            <w:noProof/>
            <w:sz w:val="22"/>
            <w:szCs w:val="22"/>
            <w:lang w:val="cs-CZ" w:eastAsia="cs-CZ"/>
          </w:rPr>
          <w:tab/>
        </w:r>
        <w:r w:rsidRPr="00354A74">
          <w:rPr>
            <w:rStyle w:val="Hypertextovodkaz"/>
            <w:noProof/>
          </w:rPr>
          <w:t>Výrobní kapacity bioetanolu v ČR v roce 2017</w:t>
        </w:r>
        <w:r>
          <w:rPr>
            <w:noProof/>
            <w:webHidden/>
          </w:rPr>
          <w:tab/>
        </w:r>
        <w:r>
          <w:rPr>
            <w:noProof/>
            <w:webHidden/>
          </w:rPr>
          <w:fldChar w:fldCharType="begin"/>
        </w:r>
        <w:r>
          <w:rPr>
            <w:noProof/>
            <w:webHidden/>
          </w:rPr>
          <w:instrText xml:space="preserve"> PAGEREF _Toc94181654 \h </w:instrText>
        </w:r>
        <w:r>
          <w:rPr>
            <w:noProof/>
            <w:webHidden/>
          </w:rPr>
        </w:r>
        <w:r>
          <w:rPr>
            <w:noProof/>
            <w:webHidden/>
          </w:rPr>
          <w:fldChar w:fldCharType="separate"/>
        </w:r>
        <w:r>
          <w:rPr>
            <w:noProof/>
            <w:webHidden/>
          </w:rPr>
          <w:t>169</w:t>
        </w:r>
        <w:r>
          <w:rPr>
            <w:noProof/>
            <w:webHidden/>
          </w:rPr>
          <w:fldChar w:fldCharType="end"/>
        </w:r>
      </w:hyperlink>
    </w:p>
    <w:p w14:paraId="19E08F0A" w14:textId="4C6CAEF2" w:rsidR="00315A11" w:rsidRDefault="00315A11">
      <w:pPr>
        <w:pStyle w:val="Obsah4"/>
        <w:rPr>
          <w:rFonts w:asciiTheme="minorHAnsi" w:eastAsiaTheme="minorEastAsia" w:hAnsiTheme="minorHAnsi"/>
          <w:noProof/>
          <w:sz w:val="22"/>
          <w:szCs w:val="22"/>
          <w:lang w:val="cs-CZ" w:eastAsia="cs-CZ"/>
        </w:rPr>
      </w:pPr>
      <w:hyperlink w:anchor="_Toc94181655" w:history="1">
        <w:r w:rsidRPr="00354A74">
          <w:rPr>
            <w:rStyle w:val="Hypertextovodkaz"/>
            <w:rFonts w:cs="Times New Roman"/>
            <w:noProof/>
          </w:rPr>
          <w:t>Tabulka 104</w:t>
        </w:r>
        <w:r>
          <w:rPr>
            <w:rFonts w:asciiTheme="minorHAnsi" w:eastAsiaTheme="minorEastAsia" w:hAnsiTheme="minorHAnsi"/>
            <w:noProof/>
            <w:sz w:val="22"/>
            <w:szCs w:val="22"/>
            <w:lang w:val="cs-CZ" w:eastAsia="cs-CZ"/>
          </w:rPr>
          <w:tab/>
        </w:r>
        <w:r w:rsidRPr="00354A74">
          <w:rPr>
            <w:rStyle w:val="Hypertextovodkaz"/>
            <w:rFonts w:cs="Times New Roman"/>
            <w:noProof/>
          </w:rPr>
          <w:t>Bilance výroby, zahraničního obchodu a spotřeby bioetanolu (t)</w:t>
        </w:r>
        <w:r>
          <w:rPr>
            <w:noProof/>
            <w:webHidden/>
          </w:rPr>
          <w:tab/>
        </w:r>
        <w:r>
          <w:rPr>
            <w:noProof/>
            <w:webHidden/>
          </w:rPr>
          <w:fldChar w:fldCharType="begin"/>
        </w:r>
        <w:r>
          <w:rPr>
            <w:noProof/>
            <w:webHidden/>
          </w:rPr>
          <w:instrText xml:space="preserve"> PAGEREF _Toc94181655 \h </w:instrText>
        </w:r>
        <w:r>
          <w:rPr>
            <w:noProof/>
            <w:webHidden/>
          </w:rPr>
        </w:r>
        <w:r>
          <w:rPr>
            <w:noProof/>
            <w:webHidden/>
          </w:rPr>
          <w:fldChar w:fldCharType="separate"/>
        </w:r>
        <w:r>
          <w:rPr>
            <w:noProof/>
            <w:webHidden/>
          </w:rPr>
          <w:t>169</w:t>
        </w:r>
        <w:r>
          <w:rPr>
            <w:noProof/>
            <w:webHidden/>
          </w:rPr>
          <w:fldChar w:fldCharType="end"/>
        </w:r>
      </w:hyperlink>
    </w:p>
    <w:p w14:paraId="56DC2A87" w14:textId="2DA34264" w:rsidR="00315A11" w:rsidRDefault="00315A11">
      <w:pPr>
        <w:pStyle w:val="Obsah4"/>
        <w:rPr>
          <w:rFonts w:asciiTheme="minorHAnsi" w:eastAsiaTheme="minorEastAsia" w:hAnsiTheme="minorHAnsi"/>
          <w:noProof/>
          <w:sz w:val="22"/>
          <w:szCs w:val="22"/>
          <w:lang w:val="cs-CZ" w:eastAsia="cs-CZ"/>
        </w:rPr>
      </w:pPr>
      <w:hyperlink w:anchor="_Toc94181656" w:history="1">
        <w:r w:rsidRPr="00354A74">
          <w:rPr>
            <w:rStyle w:val="Hypertextovodkaz"/>
            <w:noProof/>
          </w:rPr>
          <w:t>Tabulka 105</w:t>
        </w:r>
        <w:r>
          <w:rPr>
            <w:rFonts w:asciiTheme="minorHAnsi" w:eastAsiaTheme="minorEastAsia" w:hAnsiTheme="minorHAnsi"/>
            <w:noProof/>
            <w:sz w:val="22"/>
            <w:szCs w:val="22"/>
            <w:lang w:val="cs-CZ" w:eastAsia="cs-CZ"/>
          </w:rPr>
          <w:tab/>
        </w:r>
        <w:r w:rsidRPr="00354A74">
          <w:rPr>
            <w:rStyle w:val="Hypertextovodkaz"/>
            <w:noProof/>
          </w:rPr>
          <w:t>Bilance výroby FAME a SMN30</w:t>
        </w:r>
        <w:r>
          <w:rPr>
            <w:noProof/>
            <w:webHidden/>
          </w:rPr>
          <w:tab/>
        </w:r>
        <w:r>
          <w:rPr>
            <w:noProof/>
            <w:webHidden/>
          </w:rPr>
          <w:fldChar w:fldCharType="begin"/>
        </w:r>
        <w:r>
          <w:rPr>
            <w:noProof/>
            <w:webHidden/>
          </w:rPr>
          <w:instrText xml:space="preserve"> PAGEREF _Toc94181656 \h </w:instrText>
        </w:r>
        <w:r>
          <w:rPr>
            <w:noProof/>
            <w:webHidden/>
          </w:rPr>
        </w:r>
        <w:r>
          <w:rPr>
            <w:noProof/>
            <w:webHidden/>
          </w:rPr>
          <w:fldChar w:fldCharType="separate"/>
        </w:r>
        <w:r>
          <w:rPr>
            <w:noProof/>
            <w:webHidden/>
          </w:rPr>
          <w:t>170</w:t>
        </w:r>
        <w:r>
          <w:rPr>
            <w:noProof/>
            <w:webHidden/>
          </w:rPr>
          <w:fldChar w:fldCharType="end"/>
        </w:r>
      </w:hyperlink>
    </w:p>
    <w:p w14:paraId="57586A36" w14:textId="22FF1511" w:rsidR="00315A11" w:rsidRDefault="00315A11">
      <w:pPr>
        <w:pStyle w:val="Obsah4"/>
        <w:rPr>
          <w:rFonts w:asciiTheme="minorHAnsi" w:eastAsiaTheme="minorEastAsia" w:hAnsiTheme="minorHAnsi"/>
          <w:noProof/>
          <w:sz w:val="22"/>
          <w:szCs w:val="22"/>
          <w:lang w:val="cs-CZ" w:eastAsia="cs-CZ"/>
        </w:rPr>
      </w:pPr>
      <w:hyperlink w:anchor="_Toc94181657" w:history="1">
        <w:r w:rsidRPr="00354A74">
          <w:rPr>
            <w:rStyle w:val="Hypertextovodkaz"/>
            <w:noProof/>
          </w:rPr>
          <w:t>Tabulka 106</w:t>
        </w:r>
        <w:r>
          <w:rPr>
            <w:rFonts w:asciiTheme="minorHAnsi" w:eastAsiaTheme="minorEastAsia" w:hAnsiTheme="minorHAnsi"/>
            <w:noProof/>
            <w:sz w:val="22"/>
            <w:szCs w:val="22"/>
            <w:lang w:val="cs-CZ" w:eastAsia="cs-CZ"/>
          </w:rPr>
          <w:tab/>
        </w:r>
        <w:r w:rsidRPr="00354A74">
          <w:rPr>
            <w:rStyle w:val="Hypertextovodkaz"/>
            <w:noProof/>
          </w:rPr>
          <w:t>Odvětvové (elektřina, vytápění a chlazení a doprava) a celkové podíly energie z obnovitelných zdrojů</w:t>
        </w:r>
        <w:r>
          <w:rPr>
            <w:noProof/>
            <w:webHidden/>
          </w:rPr>
          <w:tab/>
        </w:r>
        <w:r>
          <w:rPr>
            <w:noProof/>
            <w:webHidden/>
          </w:rPr>
          <w:fldChar w:fldCharType="begin"/>
        </w:r>
        <w:r>
          <w:rPr>
            <w:noProof/>
            <w:webHidden/>
          </w:rPr>
          <w:instrText xml:space="preserve"> PAGEREF _Toc94181657 \h </w:instrText>
        </w:r>
        <w:r>
          <w:rPr>
            <w:noProof/>
            <w:webHidden/>
          </w:rPr>
        </w:r>
        <w:r>
          <w:rPr>
            <w:noProof/>
            <w:webHidden/>
          </w:rPr>
          <w:fldChar w:fldCharType="separate"/>
        </w:r>
        <w:r>
          <w:rPr>
            <w:noProof/>
            <w:webHidden/>
          </w:rPr>
          <w:t>170</w:t>
        </w:r>
        <w:r>
          <w:rPr>
            <w:noProof/>
            <w:webHidden/>
          </w:rPr>
          <w:fldChar w:fldCharType="end"/>
        </w:r>
      </w:hyperlink>
    </w:p>
    <w:p w14:paraId="75EF8C68" w14:textId="1A03F57D" w:rsidR="00315A11" w:rsidRDefault="00315A11">
      <w:pPr>
        <w:pStyle w:val="Obsah4"/>
        <w:rPr>
          <w:rFonts w:asciiTheme="minorHAnsi" w:eastAsiaTheme="minorEastAsia" w:hAnsiTheme="minorHAnsi"/>
          <w:noProof/>
          <w:sz w:val="22"/>
          <w:szCs w:val="22"/>
          <w:lang w:val="cs-CZ" w:eastAsia="cs-CZ"/>
        </w:rPr>
      </w:pPr>
      <w:hyperlink w:anchor="_Toc94181658" w:history="1">
        <w:r w:rsidRPr="00354A74">
          <w:rPr>
            <w:rStyle w:val="Hypertextovodkaz"/>
            <w:noProof/>
          </w:rPr>
          <w:t>Tabulka 107</w:t>
        </w:r>
        <w:r>
          <w:rPr>
            <w:rFonts w:asciiTheme="minorHAnsi" w:eastAsiaTheme="minorEastAsia" w:hAnsiTheme="minorHAnsi"/>
            <w:noProof/>
            <w:sz w:val="22"/>
            <w:szCs w:val="22"/>
            <w:lang w:val="cs-CZ" w:eastAsia="cs-CZ"/>
          </w:rPr>
          <w:tab/>
        </w:r>
        <w:r w:rsidRPr="00354A74">
          <w:rPr>
            <w:rStyle w:val="Hypertextovodkaz"/>
            <w:noProof/>
          </w:rPr>
          <w:t>Tabulka 2 Hrubé odhady ploch potřebných pro zajištění plnění cílů v oblasti OZE do roku 2030</w:t>
        </w:r>
        <w:r>
          <w:rPr>
            <w:noProof/>
            <w:webHidden/>
          </w:rPr>
          <w:tab/>
        </w:r>
        <w:r>
          <w:rPr>
            <w:noProof/>
            <w:webHidden/>
          </w:rPr>
          <w:fldChar w:fldCharType="begin"/>
        </w:r>
        <w:r>
          <w:rPr>
            <w:noProof/>
            <w:webHidden/>
          </w:rPr>
          <w:instrText xml:space="preserve"> PAGEREF _Toc94181658 \h </w:instrText>
        </w:r>
        <w:r>
          <w:rPr>
            <w:noProof/>
            <w:webHidden/>
          </w:rPr>
        </w:r>
        <w:r>
          <w:rPr>
            <w:noProof/>
            <w:webHidden/>
          </w:rPr>
          <w:fldChar w:fldCharType="separate"/>
        </w:r>
        <w:r>
          <w:rPr>
            <w:noProof/>
            <w:webHidden/>
          </w:rPr>
          <w:t>173</w:t>
        </w:r>
        <w:r>
          <w:rPr>
            <w:noProof/>
            <w:webHidden/>
          </w:rPr>
          <w:fldChar w:fldCharType="end"/>
        </w:r>
      </w:hyperlink>
    </w:p>
    <w:p w14:paraId="01EA561D" w14:textId="04F292D5" w:rsidR="00315A11" w:rsidRDefault="00315A11">
      <w:pPr>
        <w:pStyle w:val="Obsah4"/>
        <w:rPr>
          <w:rFonts w:asciiTheme="minorHAnsi" w:eastAsiaTheme="minorEastAsia" w:hAnsiTheme="minorHAnsi"/>
          <w:noProof/>
          <w:sz w:val="22"/>
          <w:szCs w:val="22"/>
          <w:lang w:val="cs-CZ" w:eastAsia="cs-CZ"/>
        </w:rPr>
      </w:pPr>
      <w:hyperlink w:anchor="_Toc94181659" w:history="1">
        <w:r w:rsidRPr="00354A74">
          <w:rPr>
            <w:rStyle w:val="Hypertextovodkaz"/>
            <w:noProof/>
          </w:rPr>
          <w:t>Tabulka 108</w:t>
        </w:r>
        <w:r>
          <w:rPr>
            <w:rFonts w:asciiTheme="minorHAnsi" w:eastAsiaTheme="minorEastAsia" w:hAnsiTheme="minorHAnsi"/>
            <w:noProof/>
            <w:sz w:val="22"/>
            <w:szCs w:val="22"/>
            <w:lang w:val="cs-CZ" w:eastAsia="cs-CZ"/>
          </w:rPr>
          <w:tab/>
        </w:r>
        <w:r w:rsidRPr="00354A74">
          <w:rPr>
            <w:rStyle w:val="Hypertextovodkaz"/>
            <w:noProof/>
          </w:rPr>
          <w:t>Volné plochy pro bioenergetiku (tis. ha)</w:t>
        </w:r>
        <w:r>
          <w:rPr>
            <w:noProof/>
            <w:webHidden/>
          </w:rPr>
          <w:tab/>
        </w:r>
        <w:r>
          <w:rPr>
            <w:noProof/>
            <w:webHidden/>
          </w:rPr>
          <w:fldChar w:fldCharType="begin"/>
        </w:r>
        <w:r>
          <w:rPr>
            <w:noProof/>
            <w:webHidden/>
          </w:rPr>
          <w:instrText xml:space="preserve"> PAGEREF _Toc94181659 \h </w:instrText>
        </w:r>
        <w:r>
          <w:rPr>
            <w:noProof/>
            <w:webHidden/>
          </w:rPr>
        </w:r>
        <w:r>
          <w:rPr>
            <w:noProof/>
            <w:webHidden/>
          </w:rPr>
          <w:fldChar w:fldCharType="separate"/>
        </w:r>
        <w:r>
          <w:rPr>
            <w:noProof/>
            <w:webHidden/>
          </w:rPr>
          <w:t>175</w:t>
        </w:r>
        <w:r>
          <w:rPr>
            <w:noProof/>
            <w:webHidden/>
          </w:rPr>
          <w:fldChar w:fldCharType="end"/>
        </w:r>
      </w:hyperlink>
    </w:p>
    <w:p w14:paraId="556A2CD5" w14:textId="0E92BB96" w:rsidR="00D8312B" w:rsidRPr="00D03038" w:rsidRDefault="00D03038" w:rsidP="005D1920">
      <w:pPr>
        <w:pStyle w:val="UZEINadpis1stbezsla"/>
      </w:pPr>
      <w:r>
        <w:rPr>
          <w:rFonts w:eastAsiaTheme="minorHAnsi" w:cs="Times New Roman"/>
          <w:color w:val="auto"/>
          <w:sz w:val="20"/>
          <w:szCs w:val="20"/>
          <w:lang w:val="en-GB" w:eastAsia="en-US"/>
        </w:rPr>
        <w:lastRenderedPageBreak/>
        <w:fldChar w:fldCharType="end"/>
      </w:r>
      <w:bookmarkStart w:id="118" w:name="_Toc81343094"/>
      <w:bookmarkStart w:id="119" w:name="_Toc81343157"/>
      <w:bookmarkStart w:id="120" w:name="_Toc81343226"/>
      <w:bookmarkStart w:id="121" w:name="_Toc94181676"/>
      <w:r w:rsidR="00D8312B" w:rsidRPr="00D03038">
        <w:t>Seznam grafů</w:t>
      </w:r>
      <w:bookmarkEnd w:id="118"/>
      <w:bookmarkEnd w:id="119"/>
      <w:bookmarkEnd w:id="120"/>
      <w:bookmarkEnd w:id="121"/>
    </w:p>
    <w:bookmarkStart w:id="122" w:name="_Toc81343095"/>
    <w:bookmarkStart w:id="123" w:name="_Toc81343158"/>
    <w:bookmarkStart w:id="124" w:name="_Toc81343227"/>
    <w:p w14:paraId="65CB4246" w14:textId="0C5FCCC7" w:rsidR="007C4202" w:rsidRDefault="009114E7" w:rsidP="005D1920">
      <w:pPr>
        <w:pStyle w:val="Obsah4"/>
        <w:rPr>
          <w:rFonts w:asciiTheme="minorHAnsi" w:eastAsiaTheme="minorEastAsia" w:hAnsiTheme="minorHAnsi"/>
          <w:noProof/>
          <w:sz w:val="22"/>
          <w:szCs w:val="22"/>
          <w:lang w:val="cs-CZ" w:eastAsia="cs-CZ"/>
        </w:rPr>
      </w:pPr>
      <w:r>
        <w:rPr>
          <w:rFonts w:cs="Times New Roman"/>
          <w:b/>
          <w:smallCaps/>
          <w:szCs w:val="20"/>
        </w:rPr>
        <w:fldChar w:fldCharType="begin"/>
      </w:r>
      <w:r>
        <w:rPr>
          <w:rFonts w:cs="Times New Roman"/>
          <w:b/>
          <w:smallCaps/>
          <w:szCs w:val="20"/>
        </w:rPr>
        <w:instrText xml:space="preserve"> TOC \h \z \t "UZEI Graf;4" </w:instrText>
      </w:r>
      <w:r>
        <w:rPr>
          <w:rFonts w:cs="Times New Roman"/>
          <w:b/>
          <w:smallCaps/>
          <w:szCs w:val="20"/>
        </w:rPr>
        <w:fldChar w:fldCharType="separate"/>
      </w:r>
      <w:hyperlink w:anchor="_Toc93583611" w:history="1">
        <w:r w:rsidR="007C4202" w:rsidRPr="006617EE">
          <w:rPr>
            <w:rStyle w:val="Hypertextovodkaz"/>
            <w:noProof/>
          </w:rPr>
          <w:t>Graf 1</w:t>
        </w:r>
        <w:r w:rsidR="007C4202">
          <w:rPr>
            <w:rFonts w:asciiTheme="minorHAnsi" w:eastAsiaTheme="minorEastAsia" w:hAnsiTheme="minorHAnsi"/>
            <w:noProof/>
            <w:sz w:val="22"/>
            <w:szCs w:val="22"/>
            <w:lang w:val="cs-CZ" w:eastAsia="cs-CZ"/>
          </w:rPr>
          <w:tab/>
        </w:r>
        <w:r w:rsidR="007C4202" w:rsidRPr="006617EE">
          <w:rPr>
            <w:rStyle w:val="Hypertextovodkaz"/>
            <w:noProof/>
          </w:rPr>
          <w:t>Vývoj ploch zeměděls</w:t>
        </w:r>
        <w:r w:rsidR="007C4202" w:rsidRPr="006617EE">
          <w:rPr>
            <w:rStyle w:val="Hypertextovodkaz"/>
            <w:noProof/>
          </w:rPr>
          <w:t>k</w:t>
        </w:r>
        <w:r w:rsidR="007C4202" w:rsidRPr="006617EE">
          <w:rPr>
            <w:rStyle w:val="Hypertextovodkaz"/>
            <w:noProof/>
          </w:rPr>
          <w:t>ých kultur T, G vs. R (Výměra DPB [ha])</w:t>
        </w:r>
        <w:r w:rsidR="007C4202">
          <w:rPr>
            <w:noProof/>
            <w:webHidden/>
          </w:rPr>
          <w:tab/>
        </w:r>
        <w:r w:rsidR="007C4202">
          <w:rPr>
            <w:noProof/>
            <w:webHidden/>
          </w:rPr>
          <w:fldChar w:fldCharType="begin"/>
        </w:r>
        <w:r w:rsidR="007C4202">
          <w:rPr>
            <w:noProof/>
            <w:webHidden/>
          </w:rPr>
          <w:instrText xml:space="preserve"> PAGEREF _Toc93583611 \h </w:instrText>
        </w:r>
        <w:r w:rsidR="007C4202">
          <w:rPr>
            <w:noProof/>
            <w:webHidden/>
          </w:rPr>
        </w:r>
        <w:r w:rsidR="007C4202">
          <w:rPr>
            <w:noProof/>
            <w:webHidden/>
          </w:rPr>
          <w:fldChar w:fldCharType="separate"/>
        </w:r>
        <w:r w:rsidR="00315A11">
          <w:rPr>
            <w:noProof/>
            <w:webHidden/>
          </w:rPr>
          <w:t>17</w:t>
        </w:r>
        <w:r w:rsidR="007C4202">
          <w:rPr>
            <w:noProof/>
            <w:webHidden/>
          </w:rPr>
          <w:fldChar w:fldCharType="end"/>
        </w:r>
      </w:hyperlink>
    </w:p>
    <w:p w14:paraId="41BA5A69" w14:textId="3F7DB133" w:rsidR="007C4202" w:rsidRDefault="00DD15F0" w:rsidP="005D1920">
      <w:pPr>
        <w:pStyle w:val="Obsah4"/>
        <w:rPr>
          <w:rFonts w:asciiTheme="minorHAnsi" w:eastAsiaTheme="minorEastAsia" w:hAnsiTheme="minorHAnsi"/>
          <w:noProof/>
          <w:sz w:val="22"/>
          <w:szCs w:val="22"/>
          <w:lang w:val="cs-CZ" w:eastAsia="cs-CZ"/>
        </w:rPr>
      </w:pPr>
      <w:hyperlink w:anchor="_Toc93583612" w:history="1">
        <w:r w:rsidR="007C4202" w:rsidRPr="006617EE">
          <w:rPr>
            <w:rStyle w:val="Hypertextovodkaz"/>
            <w:noProof/>
          </w:rPr>
          <w:t>Graf 2</w:t>
        </w:r>
        <w:r w:rsidR="007C4202">
          <w:rPr>
            <w:rFonts w:asciiTheme="minorHAnsi" w:eastAsiaTheme="minorEastAsia" w:hAnsiTheme="minorHAnsi"/>
            <w:noProof/>
            <w:sz w:val="22"/>
            <w:szCs w:val="22"/>
            <w:lang w:val="cs-CZ" w:eastAsia="cs-CZ"/>
          </w:rPr>
          <w:tab/>
        </w:r>
        <w:r w:rsidR="007C4202" w:rsidRPr="006617EE">
          <w:rPr>
            <w:rStyle w:val="Hypertextovodkaz"/>
            <w:noProof/>
          </w:rPr>
          <w:t>Greening - Vývoj ploch zachování TTP</w:t>
        </w:r>
        <w:r w:rsidR="007C4202">
          <w:rPr>
            <w:noProof/>
            <w:webHidden/>
          </w:rPr>
          <w:tab/>
        </w:r>
        <w:r w:rsidR="007C4202">
          <w:rPr>
            <w:noProof/>
            <w:webHidden/>
          </w:rPr>
          <w:fldChar w:fldCharType="begin"/>
        </w:r>
        <w:r w:rsidR="007C4202">
          <w:rPr>
            <w:noProof/>
            <w:webHidden/>
          </w:rPr>
          <w:instrText xml:space="preserve"> PAGEREF _Toc93583612 \h </w:instrText>
        </w:r>
        <w:r w:rsidR="007C4202">
          <w:rPr>
            <w:noProof/>
            <w:webHidden/>
          </w:rPr>
        </w:r>
        <w:r w:rsidR="007C4202">
          <w:rPr>
            <w:noProof/>
            <w:webHidden/>
          </w:rPr>
          <w:fldChar w:fldCharType="separate"/>
        </w:r>
        <w:r w:rsidR="00315A11">
          <w:rPr>
            <w:noProof/>
            <w:webHidden/>
          </w:rPr>
          <w:t>105</w:t>
        </w:r>
        <w:r w:rsidR="007C4202">
          <w:rPr>
            <w:noProof/>
            <w:webHidden/>
          </w:rPr>
          <w:fldChar w:fldCharType="end"/>
        </w:r>
      </w:hyperlink>
    </w:p>
    <w:p w14:paraId="5D0E3627" w14:textId="3112D713" w:rsidR="002B48E3" w:rsidRDefault="009114E7" w:rsidP="005D1920">
      <w:pPr>
        <w:pStyle w:val="UZEINadpis1stbezsla"/>
      </w:pPr>
      <w:r>
        <w:rPr>
          <w:rFonts w:eastAsiaTheme="minorHAnsi" w:cs="Times New Roman"/>
          <w:smallCaps/>
          <w:color w:val="auto"/>
          <w:sz w:val="20"/>
          <w:szCs w:val="20"/>
          <w:lang w:val="en-GB" w:eastAsia="en-US"/>
        </w:rPr>
        <w:lastRenderedPageBreak/>
        <w:fldChar w:fldCharType="end"/>
      </w:r>
      <w:bookmarkStart w:id="125" w:name="_Toc94181677"/>
      <w:r w:rsidR="002B48E3">
        <w:t>Seznam obrázků</w:t>
      </w:r>
      <w:bookmarkEnd w:id="122"/>
      <w:bookmarkEnd w:id="123"/>
      <w:bookmarkEnd w:id="124"/>
      <w:bookmarkEnd w:id="125"/>
    </w:p>
    <w:p w14:paraId="3B6F504A" w14:textId="483AB5A3" w:rsidR="000C4C46" w:rsidRPr="005D1920" w:rsidRDefault="000C4C46" w:rsidP="005D1920">
      <w:pPr>
        <w:pStyle w:val="Obsah4"/>
        <w:rPr>
          <w:rStyle w:val="Hypertextovodkaz"/>
          <w:noProof/>
        </w:rPr>
      </w:pPr>
      <w:r w:rsidRPr="005D1920">
        <w:rPr>
          <w:rStyle w:val="Hypertextovodkaz"/>
          <w:noProof/>
        </w:rPr>
        <w:fldChar w:fldCharType="begin"/>
      </w:r>
      <w:r w:rsidRPr="005D1920">
        <w:rPr>
          <w:rStyle w:val="Hypertextovodkaz"/>
          <w:noProof/>
        </w:rPr>
        <w:instrText xml:space="preserve"> TOC \h \z \t "UZEI Obr;4" \c "Obrázek" </w:instrText>
      </w:r>
      <w:r w:rsidRPr="005D1920">
        <w:rPr>
          <w:rStyle w:val="Hypertextovodkaz"/>
          <w:noProof/>
        </w:rPr>
        <w:fldChar w:fldCharType="separate"/>
      </w:r>
      <w:hyperlink w:anchor="_Toc93583784" w:history="1">
        <w:r w:rsidRPr="005C606B">
          <w:rPr>
            <w:rStyle w:val="Hypertextovodkaz"/>
            <w:noProof/>
          </w:rPr>
          <w:t>Obrázek 1 Mapa ztrát organického uhlíku v půdě v ČR</w:t>
        </w:r>
        <w:r w:rsidRPr="005D1920">
          <w:rPr>
            <w:rStyle w:val="Hypertextovodkaz"/>
            <w:noProof/>
            <w:webHidden/>
          </w:rPr>
          <w:tab/>
        </w:r>
        <w:r w:rsidRPr="005D1920">
          <w:rPr>
            <w:rStyle w:val="Hypertextovodkaz"/>
            <w:noProof/>
            <w:webHidden/>
          </w:rPr>
          <w:fldChar w:fldCharType="begin"/>
        </w:r>
        <w:r w:rsidRPr="005D1920">
          <w:rPr>
            <w:rStyle w:val="Hypertextovodkaz"/>
            <w:noProof/>
            <w:webHidden/>
          </w:rPr>
          <w:instrText xml:space="preserve"> PAGEREF _Toc93583784 \h </w:instrText>
        </w:r>
        <w:r w:rsidRPr="005D1920">
          <w:rPr>
            <w:rStyle w:val="Hypertextovodkaz"/>
            <w:noProof/>
            <w:webHidden/>
          </w:rPr>
        </w:r>
        <w:r w:rsidRPr="005D1920">
          <w:rPr>
            <w:rStyle w:val="Hypertextovodkaz"/>
            <w:noProof/>
            <w:webHidden/>
          </w:rPr>
          <w:fldChar w:fldCharType="separate"/>
        </w:r>
        <w:r w:rsidR="00315A11">
          <w:rPr>
            <w:rStyle w:val="Hypertextovodkaz"/>
            <w:noProof/>
            <w:webHidden/>
          </w:rPr>
          <w:t>21</w:t>
        </w:r>
        <w:r w:rsidRPr="005D1920">
          <w:rPr>
            <w:rStyle w:val="Hypertextovodkaz"/>
            <w:noProof/>
            <w:webHidden/>
          </w:rPr>
          <w:fldChar w:fldCharType="end"/>
        </w:r>
      </w:hyperlink>
    </w:p>
    <w:p w14:paraId="3867F70F" w14:textId="6A8E35DD" w:rsidR="000C4C46" w:rsidRPr="005D1920" w:rsidRDefault="00DD15F0" w:rsidP="005D1920">
      <w:pPr>
        <w:pStyle w:val="Obsah4"/>
        <w:rPr>
          <w:rStyle w:val="Hypertextovodkaz"/>
          <w:noProof/>
        </w:rPr>
      </w:pPr>
      <w:hyperlink w:anchor="_Toc93583785" w:history="1">
        <w:r w:rsidR="000C4C46" w:rsidRPr="005C606B">
          <w:rPr>
            <w:rStyle w:val="Hypertextovodkaz"/>
            <w:noProof/>
          </w:rPr>
          <w:t>Obrázek 2 Vývoj emisí amoniaku v České republice mezi lety 2000–2018</w:t>
        </w:r>
        <w:r w:rsidR="000C4C46" w:rsidRPr="005D1920">
          <w:rPr>
            <w:rStyle w:val="Hypertextovodkaz"/>
            <w:noProof/>
            <w:webHidden/>
          </w:rPr>
          <w:tab/>
        </w:r>
        <w:r w:rsidR="000C4C46" w:rsidRPr="005D1920">
          <w:rPr>
            <w:rStyle w:val="Hypertextovodkaz"/>
            <w:noProof/>
            <w:webHidden/>
          </w:rPr>
          <w:fldChar w:fldCharType="begin"/>
        </w:r>
        <w:r w:rsidR="000C4C46" w:rsidRPr="005D1920">
          <w:rPr>
            <w:rStyle w:val="Hypertextovodkaz"/>
            <w:noProof/>
            <w:webHidden/>
          </w:rPr>
          <w:instrText xml:space="preserve"> PAGEREF _Toc93583785 \h </w:instrText>
        </w:r>
        <w:r w:rsidR="000C4C46" w:rsidRPr="005D1920">
          <w:rPr>
            <w:rStyle w:val="Hypertextovodkaz"/>
            <w:noProof/>
            <w:webHidden/>
          </w:rPr>
        </w:r>
        <w:r w:rsidR="000C4C46" w:rsidRPr="005D1920">
          <w:rPr>
            <w:rStyle w:val="Hypertextovodkaz"/>
            <w:noProof/>
            <w:webHidden/>
          </w:rPr>
          <w:fldChar w:fldCharType="separate"/>
        </w:r>
        <w:r w:rsidR="00315A11">
          <w:rPr>
            <w:rStyle w:val="Hypertextovodkaz"/>
            <w:noProof/>
            <w:webHidden/>
          </w:rPr>
          <w:t>54</w:t>
        </w:r>
        <w:r w:rsidR="000C4C46" w:rsidRPr="005D1920">
          <w:rPr>
            <w:rStyle w:val="Hypertextovodkaz"/>
            <w:noProof/>
            <w:webHidden/>
          </w:rPr>
          <w:fldChar w:fldCharType="end"/>
        </w:r>
      </w:hyperlink>
    </w:p>
    <w:p w14:paraId="077DBB91" w14:textId="025CB20B" w:rsidR="000C4C46" w:rsidRPr="005D1920" w:rsidRDefault="00DD15F0" w:rsidP="005D1920">
      <w:pPr>
        <w:pStyle w:val="Obsah4"/>
        <w:rPr>
          <w:rStyle w:val="Hypertextovodkaz"/>
          <w:noProof/>
        </w:rPr>
      </w:pPr>
      <w:hyperlink w:anchor="_Toc93583786" w:history="1">
        <w:r w:rsidR="000C4C46" w:rsidRPr="000C4C46">
          <w:rPr>
            <w:rStyle w:val="Hypertextovodkaz"/>
            <w:noProof/>
          </w:rPr>
          <w:t>Obrázek 3 Vývoj zastoupení v třídách defoliace v jehličnatých a listnatých porostech nad 60 let (zdroj: VÚLHM)</w:t>
        </w:r>
        <w:r w:rsidR="000C4C46" w:rsidRPr="005D1920">
          <w:rPr>
            <w:rStyle w:val="Hypertextovodkaz"/>
            <w:noProof/>
            <w:webHidden/>
          </w:rPr>
          <w:tab/>
        </w:r>
        <w:r w:rsidR="000C4C46">
          <w:rPr>
            <w:rStyle w:val="Hypertextovodkaz"/>
            <w:noProof/>
            <w:webHidden/>
          </w:rPr>
          <w:tab/>
        </w:r>
        <w:r w:rsidR="000C4C46" w:rsidRPr="005D1920">
          <w:rPr>
            <w:rStyle w:val="Hypertextovodkaz"/>
            <w:noProof/>
            <w:webHidden/>
          </w:rPr>
          <w:fldChar w:fldCharType="begin"/>
        </w:r>
        <w:r w:rsidR="000C4C46" w:rsidRPr="005D1920">
          <w:rPr>
            <w:rStyle w:val="Hypertextovodkaz"/>
            <w:noProof/>
            <w:webHidden/>
          </w:rPr>
          <w:instrText xml:space="preserve"> PAGEREF _Toc93583786 \h </w:instrText>
        </w:r>
        <w:r w:rsidR="000C4C46" w:rsidRPr="005D1920">
          <w:rPr>
            <w:rStyle w:val="Hypertextovodkaz"/>
            <w:noProof/>
            <w:webHidden/>
          </w:rPr>
        </w:r>
        <w:r w:rsidR="000C4C46" w:rsidRPr="005D1920">
          <w:rPr>
            <w:rStyle w:val="Hypertextovodkaz"/>
            <w:noProof/>
            <w:webHidden/>
          </w:rPr>
          <w:fldChar w:fldCharType="separate"/>
        </w:r>
        <w:r w:rsidR="00315A11">
          <w:rPr>
            <w:rStyle w:val="Hypertextovodkaz"/>
            <w:noProof/>
            <w:webHidden/>
          </w:rPr>
          <w:t>59</w:t>
        </w:r>
        <w:r w:rsidR="000C4C46" w:rsidRPr="005D1920">
          <w:rPr>
            <w:rStyle w:val="Hypertextovodkaz"/>
            <w:noProof/>
            <w:webHidden/>
          </w:rPr>
          <w:fldChar w:fldCharType="end"/>
        </w:r>
      </w:hyperlink>
    </w:p>
    <w:p w14:paraId="7D91573B" w14:textId="04BD0C70" w:rsidR="000C4C46" w:rsidRPr="005D1920" w:rsidRDefault="00DD15F0" w:rsidP="005D1920">
      <w:pPr>
        <w:pStyle w:val="Obsah4"/>
        <w:rPr>
          <w:rStyle w:val="Hypertextovodkaz"/>
          <w:noProof/>
        </w:rPr>
      </w:pPr>
      <w:hyperlink w:anchor="_Toc93583787" w:history="1">
        <w:r w:rsidR="000C4C46" w:rsidRPr="000C4C46">
          <w:rPr>
            <w:rStyle w:val="Hypertextovodkaz"/>
            <w:noProof/>
          </w:rPr>
          <w:t>Obrázek 4 Vývoj zastoupení v třídách defoliace v jehličnatých a listnatých porostech do 60 let (zdroj: VÚLHM)</w:t>
        </w:r>
        <w:r w:rsidR="000C4C46" w:rsidRPr="005D1920">
          <w:rPr>
            <w:rStyle w:val="Hypertextovodkaz"/>
            <w:noProof/>
            <w:webHidden/>
          </w:rPr>
          <w:tab/>
        </w:r>
        <w:r w:rsidR="000C4C46">
          <w:rPr>
            <w:rStyle w:val="Hypertextovodkaz"/>
            <w:noProof/>
            <w:webHidden/>
          </w:rPr>
          <w:tab/>
        </w:r>
        <w:r w:rsidR="000C4C46">
          <w:rPr>
            <w:rStyle w:val="Hypertextovodkaz"/>
            <w:noProof/>
            <w:webHidden/>
          </w:rPr>
          <w:tab/>
        </w:r>
        <w:r w:rsidR="000C4C46" w:rsidRPr="005D1920">
          <w:rPr>
            <w:rStyle w:val="Hypertextovodkaz"/>
            <w:noProof/>
            <w:webHidden/>
          </w:rPr>
          <w:fldChar w:fldCharType="begin"/>
        </w:r>
        <w:r w:rsidR="000C4C46" w:rsidRPr="005D1920">
          <w:rPr>
            <w:rStyle w:val="Hypertextovodkaz"/>
            <w:noProof/>
            <w:webHidden/>
          </w:rPr>
          <w:instrText xml:space="preserve"> PAGEREF _Toc93583787 \h </w:instrText>
        </w:r>
        <w:r w:rsidR="000C4C46" w:rsidRPr="005D1920">
          <w:rPr>
            <w:rStyle w:val="Hypertextovodkaz"/>
            <w:noProof/>
            <w:webHidden/>
          </w:rPr>
        </w:r>
        <w:r w:rsidR="000C4C46" w:rsidRPr="005D1920">
          <w:rPr>
            <w:rStyle w:val="Hypertextovodkaz"/>
            <w:noProof/>
            <w:webHidden/>
          </w:rPr>
          <w:fldChar w:fldCharType="separate"/>
        </w:r>
        <w:r w:rsidR="00315A11">
          <w:rPr>
            <w:rStyle w:val="Hypertextovodkaz"/>
            <w:noProof/>
            <w:webHidden/>
          </w:rPr>
          <w:t>60</w:t>
        </w:r>
        <w:r w:rsidR="000C4C46" w:rsidRPr="005D1920">
          <w:rPr>
            <w:rStyle w:val="Hypertextovodkaz"/>
            <w:noProof/>
            <w:webHidden/>
          </w:rPr>
          <w:fldChar w:fldCharType="end"/>
        </w:r>
      </w:hyperlink>
    </w:p>
    <w:p w14:paraId="4BCC5D0E" w14:textId="597C15C7" w:rsidR="000C4C46" w:rsidRPr="005D1920" w:rsidRDefault="00DD15F0" w:rsidP="005D1920">
      <w:pPr>
        <w:pStyle w:val="Obsah4"/>
        <w:rPr>
          <w:rStyle w:val="Hypertextovodkaz"/>
          <w:noProof/>
        </w:rPr>
      </w:pPr>
      <w:hyperlink w:anchor="_Toc93583788" w:history="1">
        <w:r w:rsidR="000C4C46" w:rsidRPr="000C4C46">
          <w:rPr>
            <w:rStyle w:val="Hypertextovodkaz"/>
            <w:noProof/>
          </w:rPr>
          <w:t>Obrázek 5 Vývoj průměrné hodnoty defoliace pro hlavní dřeviny v porostech nad 60 let a do 60 let)</w:t>
        </w:r>
        <w:r w:rsidR="000C4C46" w:rsidRPr="005D1920">
          <w:rPr>
            <w:rStyle w:val="Hypertextovodkaz"/>
            <w:noProof/>
            <w:webHidden/>
          </w:rPr>
          <w:tab/>
        </w:r>
        <w:r w:rsidR="000C4C46" w:rsidRPr="005D1920">
          <w:rPr>
            <w:rStyle w:val="Hypertextovodkaz"/>
            <w:noProof/>
            <w:webHidden/>
          </w:rPr>
          <w:fldChar w:fldCharType="begin"/>
        </w:r>
        <w:r w:rsidR="000C4C46" w:rsidRPr="005D1920">
          <w:rPr>
            <w:rStyle w:val="Hypertextovodkaz"/>
            <w:noProof/>
            <w:webHidden/>
          </w:rPr>
          <w:instrText xml:space="preserve"> PAGEREF _Toc93583788 \h </w:instrText>
        </w:r>
        <w:r w:rsidR="000C4C46" w:rsidRPr="005D1920">
          <w:rPr>
            <w:rStyle w:val="Hypertextovodkaz"/>
            <w:noProof/>
            <w:webHidden/>
          </w:rPr>
        </w:r>
        <w:r w:rsidR="000C4C46" w:rsidRPr="005D1920">
          <w:rPr>
            <w:rStyle w:val="Hypertextovodkaz"/>
            <w:noProof/>
            <w:webHidden/>
          </w:rPr>
          <w:fldChar w:fldCharType="separate"/>
        </w:r>
        <w:r w:rsidR="00315A11">
          <w:rPr>
            <w:rStyle w:val="Hypertextovodkaz"/>
            <w:noProof/>
            <w:webHidden/>
          </w:rPr>
          <w:t>61</w:t>
        </w:r>
        <w:r w:rsidR="000C4C46" w:rsidRPr="005D1920">
          <w:rPr>
            <w:rStyle w:val="Hypertextovodkaz"/>
            <w:noProof/>
            <w:webHidden/>
          </w:rPr>
          <w:fldChar w:fldCharType="end"/>
        </w:r>
      </w:hyperlink>
    </w:p>
    <w:p w14:paraId="7A1ACE34" w14:textId="0C515723" w:rsidR="000C4C46" w:rsidRPr="005D1920" w:rsidRDefault="00DD15F0" w:rsidP="005D1920">
      <w:pPr>
        <w:pStyle w:val="Obsah4"/>
        <w:rPr>
          <w:rStyle w:val="Hypertextovodkaz"/>
          <w:noProof/>
        </w:rPr>
      </w:pPr>
      <w:hyperlink w:anchor="_Toc93583789" w:history="1">
        <w:r w:rsidR="000C4C46" w:rsidRPr="000C4C46">
          <w:rPr>
            <w:rStyle w:val="Hypertextovodkaz"/>
            <w:noProof/>
          </w:rPr>
          <w:t>Obrázek 6 Evidovaný objem smrkového kůrovcového dříví od roku 1990 (zdroj: VÚLHM, LOS)</w:t>
        </w:r>
        <w:r w:rsidR="000C4C46" w:rsidRPr="005D1920">
          <w:rPr>
            <w:rStyle w:val="Hypertextovodkaz"/>
            <w:noProof/>
            <w:webHidden/>
          </w:rPr>
          <w:tab/>
        </w:r>
        <w:r w:rsidR="000C4C46" w:rsidRPr="005D1920">
          <w:rPr>
            <w:rStyle w:val="Hypertextovodkaz"/>
            <w:noProof/>
            <w:webHidden/>
          </w:rPr>
          <w:fldChar w:fldCharType="begin"/>
        </w:r>
        <w:r w:rsidR="000C4C46" w:rsidRPr="005D1920">
          <w:rPr>
            <w:rStyle w:val="Hypertextovodkaz"/>
            <w:noProof/>
            <w:webHidden/>
          </w:rPr>
          <w:instrText xml:space="preserve"> PAGEREF _Toc93583789 \h </w:instrText>
        </w:r>
        <w:r w:rsidR="000C4C46" w:rsidRPr="005D1920">
          <w:rPr>
            <w:rStyle w:val="Hypertextovodkaz"/>
            <w:noProof/>
            <w:webHidden/>
          </w:rPr>
        </w:r>
        <w:r w:rsidR="000C4C46" w:rsidRPr="005D1920">
          <w:rPr>
            <w:rStyle w:val="Hypertextovodkaz"/>
            <w:noProof/>
            <w:webHidden/>
          </w:rPr>
          <w:fldChar w:fldCharType="separate"/>
        </w:r>
        <w:r w:rsidR="00315A11">
          <w:rPr>
            <w:rStyle w:val="Hypertextovodkaz"/>
            <w:noProof/>
            <w:webHidden/>
          </w:rPr>
          <w:t>65</w:t>
        </w:r>
        <w:r w:rsidR="000C4C46" w:rsidRPr="005D1920">
          <w:rPr>
            <w:rStyle w:val="Hypertextovodkaz"/>
            <w:noProof/>
            <w:webHidden/>
          </w:rPr>
          <w:fldChar w:fldCharType="end"/>
        </w:r>
      </w:hyperlink>
    </w:p>
    <w:p w14:paraId="7165A536" w14:textId="2DBA1B1F" w:rsidR="000C4C46" w:rsidRPr="005D1920" w:rsidRDefault="00DD15F0" w:rsidP="005D1920">
      <w:pPr>
        <w:pStyle w:val="Obsah4"/>
        <w:rPr>
          <w:rStyle w:val="Hypertextovodkaz"/>
          <w:noProof/>
        </w:rPr>
      </w:pPr>
      <w:hyperlink w:anchor="_Toc93583790" w:history="1">
        <w:r w:rsidR="000C4C46" w:rsidRPr="000C4C46">
          <w:rPr>
            <w:rStyle w:val="Hypertextovodkaz"/>
            <w:noProof/>
          </w:rPr>
          <w:t>Obrázek 7 Evidovaný objem smrkového kůrovcového dříví na 1 ha smrkových porostů v roce 2019 (zdroj: VÚLHM, LOS)</w:t>
        </w:r>
        <w:r w:rsidR="000C4C46" w:rsidRPr="005D1920">
          <w:rPr>
            <w:rStyle w:val="Hypertextovodkaz"/>
            <w:noProof/>
            <w:webHidden/>
          </w:rPr>
          <w:tab/>
        </w:r>
        <w:r w:rsidR="000C4C46" w:rsidRPr="005D1920">
          <w:rPr>
            <w:rStyle w:val="Hypertextovodkaz"/>
            <w:noProof/>
            <w:webHidden/>
          </w:rPr>
          <w:fldChar w:fldCharType="begin"/>
        </w:r>
        <w:r w:rsidR="000C4C46" w:rsidRPr="005D1920">
          <w:rPr>
            <w:rStyle w:val="Hypertextovodkaz"/>
            <w:noProof/>
            <w:webHidden/>
          </w:rPr>
          <w:instrText xml:space="preserve"> PAGEREF _Toc93583790 \h </w:instrText>
        </w:r>
        <w:r w:rsidR="000C4C46" w:rsidRPr="005D1920">
          <w:rPr>
            <w:rStyle w:val="Hypertextovodkaz"/>
            <w:noProof/>
            <w:webHidden/>
          </w:rPr>
        </w:r>
        <w:r w:rsidR="000C4C46" w:rsidRPr="005D1920">
          <w:rPr>
            <w:rStyle w:val="Hypertextovodkaz"/>
            <w:noProof/>
            <w:webHidden/>
          </w:rPr>
          <w:fldChar w:fldCharType="separate"/>
        </w:r>
        <w:r w:rsidR="00315A11">
          <w:rPr>
            <w:rStyle w:val="Hypertextovodkaz"/>
            <w:noProof/>
            <w:webHidden/>
          </w:rPr>
          <w:t>66</w:t>
        </w:r>
        <w:r w:rsidR="000C4C46" w:rsidRPr="005D1920">
          <w:rPr>
            <w:rStyle w:val="Hypertextovodkaz"/>
            <w:noProof/>
            <w:webHidden/>
          </w:rPr>
          <w:fldChar w:fldCharType="end"/>
        </w:r>
      </w:hyperlink>
    </w:p>
    <w:p w14:paraId="6380006D" w14:textId="78AB010E" w:rsidR="000C4C46" w:rsidRPr="005D1920" w:rsidRDefault="00DD15F0" w:rsidP="005D1920">
      <w:pPr>
        <w:pStyle w:val="Obsah4"/>
        <w:rPr>
          <w:rStyle w:val="Hypertextovodkaz"/>
          <w:noProof/>
        </w:rPr>
      </w:pPr>
      <w:hyperlink w:anchor="_Toc93583791" w:history="1">
        <w:r w:rsidR="000C4C46" w:rsidRPr="000C4C46">
          <w:rPr>
            <w:rStyle w:val="Hypertextovodkaz"/>
            <w:noProof/>
          </w:rPr>
          <w:t>Obrázek 8 Evidovaný objem smrkového kůrovcového dříví v roce 2019 (zdroj: VÚLHM, LOS)</w:t>
        </w:r>
        <w:r w:rsidR="000C4C46" w:rsidRPr="005D1920">
          <w:rPr>
            <w:rStyle w:val="Hypertextovodkaz"/>
            <w:noProof/>
            <w:webHidden/>
          </w:rPr>
          <w:tab/>
        </w:r>
        <w:r w:rsidR="000C4C46" w:rsidRPr="005D1920">
          <w:rPr>
            <w:rStyle w:val="Hypertextovodkaz"/>
            <w:noProof/>
            <w:webHidden/>
          </w:rPr>
          <w:fldChar w:fldCharType="begin"/>
        </w:r>
        <w:r w:rsidR="000C4C46" w:rsidRPr="005D1920">
          <w:rPr>
            <w:rStyle w:val="Hypertextovodkaz"/>
            <w:noProof/>
            <w:webHidden/>
          </w:rPr>
          <w:instrText xml:space="preserve"> PAGEREF _Toc93583791 \h </w:instrText>
        </w:r>
        <w:r w:rsidR="000C4C46" w:rsidRPr="005D1920">
          <w:rPr>
            <w:rStyle w:val="Hypertextovodkaz"/>
            <w:noProof/>
            <w:webHidden/>
          </w:rPr>
        </w:r>
        <w:r w:rsidR="000C4C46" w:rsidRPr="005D1920">
          <w:rPr>
            <w:rStyle w:val="Hypertextovodkaz"/>
            <w:noProof/>
            <w:webHidden/>
          </w:rPr>
          <w:fldChar w:fldCharType="separate"/>
        </w:r>
        <w:r w:rsidR="00315A11">
          <w:rPr>
            <w:rStyle w:val="Hypertextovodkaz"/>
            <w:noProof/>
            <w:webHidden/>
          </w:rPr>
          <w:t>67</w:t>
        </w:r>
        <w:r w:rsidR="000C4C46" w:rsidRPr="005D1920">
          <w:rPr>
            <w:rStyle w:val="Hypertextovodkaz"/>
            <w:noProof/>
            <w:webHidden/>
          </w:rPr>
          <w:fldChar w:fldCharType="end"/>
        </w:r>
      </w:hyperlink>
    </w:p>
    <w:p w14:paraId="409D4085" w14:textId="1081429B" w:rsidR="000C4C46" w:rsidRPr="005D1920" w:rsidRDefault="00DD15F0" w:rsidP="005D1920">
      <w:pPr>
        <w:pStyle w:val="Obsah4"/>
        <w:rPr>
          <w:rStyle w:val="Hypertextovodkaz"/>
          <w:noProof/>
        </w:rPr>
      </w:pPr>
      <w:hyperlink w:anchor="_Toc93583792" w:history="1">
        <w:r w:rsidR="000C4C46" w:rsidRPr="000C4C46">
          <w:rPr>
            <w:rStyle w:val="Hypertextovodkaz"/>
            <w:noProof/>
          </w:rPr>
          <w:t>Obrázek 9 Rozdělení aktérů na venkově a jejich „role“ v produkci a spotřebě obnovitelných energií</w:t>
        </w:r>
        <w:r w:rsidR="000C4C46" w:rsidRPr="005D1920">
          <w:rPr>
            <w:rStyle w:val="Hypertextovodkaz"/>
            <w:noProof/>
            <w:webHidden/>
          </w:rPr>
          <w:tab/>
        </w:r>
        <w:r w:rsidR="000C4C46" w:rsidRPr="005D1920">
          <w:rPr>
            <w:rStyle w:val="Hypertextovodkaz"/>
            <w:noProof/>
            <w:webHidden/>
          </w:rPr>
          <w:fldChar w:fldCharType="begin"/>
        </w:r>
        <w:r w:rsidR="000C4C46" w:rsidRPr="005D1920">
          <w:rPr>
            <w:rStyle w:val="Hypertextovodkaz"/>
            <w:noProof/>
            <w:webHidden/>
          </w:rPr>
          <w:instrText xml:space="preserve"> PAGEREF _Toc93583792 \h </w:instrText>
        </w:r>
        <w:r w:rsidR="000C4C46" w:rsidRPr="005D1920">
          <w:rPr>
            <w:rStyle w:val="Hypertextovodkaz"/>
            <w:noProof/>
            <w:webHidden/>
          </w:rPr>
        </w:r>
        <w:r w:rsidR="000C4C46" w:rsidRPr="005D1920">
          <w:rPr>
            <w:rStyle w:val="Hypertextovodkaz"/>
            <w:noProof/>
            <w:webHidden/>
          </w:rPr>
          <w:fldChar w:fldCharType="separate"/>
        </w:r>
        <w:r w:rsidR="00315A11">
          <w:rPr>
            <w:rStyle w:val="Hypertextovodkaz"/>
            <w:noProof/>
            <w:webHidden/>
          </w:rPr>
          <w:t>93</w:t>
        </w:r>
        <w:r w:rsidR="000C4C46" w:rsidRPr="005D1920">
          <w:rPr>
            <w:rStyle w:val="Hypertextovodkaz"/>
            <w:noProof/>
            <w:webHidden/>
          </w:rPr>
          <w:fldChar w:fldCharType="end"/>
        </w:r>
      </w:hyperlink>
    </w:p>
    <w:p w14:paraId="6BC10FDF" w14:textId="49A2C02F" w:rsidR="000C4C46" w:rsidRPr="005D1920" w:rsidRDefault="00DD15F0" w:rsidP="005D1920">
      <w:pPr>
        <w:pStyle w:val="Obsah4"/>
        <w:rPr>
          <w:rStyle w:val="Hypertextovodkaz"/>
          <w:noProof/>
        </w:rPr>
      </w:pPr>
      <w:hyperlink r:id="rId9" w:anchor="_Toc93583793" w:history="1">
        <w:r w:rsidR="000C4C46" w:rsidRPr="000C4C46">
          <w:rPr>
            <w:rStyle w:val="Hypertextovodkaz"/>
            <w:noProof/>
          </w:rPr>
          <w:t>Obrázek 10 Vývoj výroby elektřiny z bioplynu</w:t>
        </w:r>
        <w:r w:rsidR="000C4C46" w:rsidRPr="005D1920">
          <w:rPr>
            <w:rStyle w:val="Hypertextovodkaz"/>
            <w:noProof/>
            <w:webHidden/>
          </w:rPr>
          <w:tab/>
        </w:r>
        <w:r w:rsidR="000C4C46" w:rsidRPr="005D1920">
          <w:rPr>
            <w:rStyle w:val="Hypertextovodkaz"/>
            <w:noProof/>
            <w:webHidden/>
          </w:rPr>
          <w:fldChar w:fldCharType="begin"/>
        </w:r>
        <w:r w:rsidR="000C4C46" w:rsidRPr="005D1920">
          <w:rPr>
            <w:rStyle w:val="Hypertextovodkaz"/>
            <w:noProof/>
            <w:webHidden/>
          </w:rPr>
          <w:instrText xml:space="preserve"> PAGEREF _Toc93583793 \h </w:instrText>
        </w:r>
        <w:r w:rsidR="000C4C46" w:rsidRPr="005D1920">
          <w:rPr>
            <w:rStyle w:val="Hypertextovodkaz"/>
            <w:noProof/>
            <w:webHidden/>
          </w:rPr>
        </w:r>
        <w:r w:rsidR="000C4C46" w:rsidRPr="005D1920">
          <w:rPr>
            <w:rStyle w:val="Hypertextovodkaz"/>
            <w:noProof/>
            <w:webHidden/>
          </w:rPr>
          <w:fldChar w:fldCharType="separate"/>
        </w:r>
        <w:r w:rsidR="00315A11">
          <w:rPr>
            <w:rStyle w:val="Hypertextovodkaz"/>
            <w:noProof/>
            <w:webHidden/>
          </w:rPr>
          <w:t>124</w:t>
        </w:r>
        <w:r w:rsidR="000C4C46" w:rsidRPr="005D1920">
          <w:rPr>
            <w:rStyle w:val="Hypertextovodkaz"/>
            <w:noProof/>
            <w:webHidden/>
          </w:rPr>
          <w:fldChar w:fldCharType="end"/>
        </w:r>
      </w:hyperlink>
    </w:p>
    <w:p w14:paraId="688ACAE1" w14:textId="2278BEF3" w:rsidR="000C4C46" w:rsidRPr="005D1920" w:rsidRDefault="00DD15F0" w:rsidP="005D1920">
      <w:pPr>
        <w:pStyle w:val="Obsah4"/>
        <w:rPr>
          <w:rStyle w:val="Hypertextovodkaz"/>
          <w:noProof/>
        </w:rPr>
      </w:pPr>
      <w:hyperlink w:anchor="_Toc93583794" w:history="1">
        <w:r w:rsidR="000C4C46" w:rsidRPr="000C4C46">
          <w:rPr>
            <w:rStyle w:val="Hypertextovodkaz"/>
            <w:noProof/>
          </w:rPr>
          <w:t>Obrázek 11 Struktura využití zemědělské půdy v roce 2017</w:t>
        </w:r>
        <w:r w:rsidR="000C4C46" w:rsidRPr="005D1920">
          <w:rPr>
            <w:rStyle w:val="Hypertextovodkaz"/>
            <w:noProof/>
            <w:webHidden/>
          </w:rPr>
          <w:tab/>
        </w:r>
        <w:r w:rsidR="000C4C46" w:rsidRPr="005D1920">
          <w:rPr>
            <w:rStyle w:val="Hypertextovodkaz"/>
            <w:noProof/>
            <w:webHidden/>
          </w:rPr>
          <w:fldChar w:fldCharType="begin"/>
        </w:r>
        <w:r w:rsidR="000C4C46" w:rsidRPr="005D1920">
          <w:rPr>
            <w:rStyle w:val="Hypertextovodkaz"/>
            <w:noProof/>
            <w:webHidden/>
          </w:rPr>
          <w:instrText xml:space="preserve"> PAGEREF _Toc93583794 \h </w:instrText>
        </w:r>
        <w:r w:rsidR="000C4C46" w:rsidRPr="005D1920">
          <w:rPr>
            <w:rStyle w:val="Hypertextovodkaz"/>
            <w:noProof/>
            <w:webHidden/>
          </w:rPr>
        </w:r>
        <w:r w:rsidR="000C4C46" w:rsidRPr="005D1920">
          <w:rPr>
            <w:rStyle w:val="Hypertextovodkaz"/>
            <w:noProof/>
            <w:webHidden/>
          </w:rPr>
          <w:fldChar w:fldCharType="separate"/>
        </w:r>
        <w:r w:rsidR="00315A11">
          <w:rPr>
            <w:rStyle w:val="Hypertextovodkaz"/>
            <w:noProof/>
            <w:webHidden/>
          </w:rPr>
          <w:t>164</w:t>
        </w:r>
        <w:r w:rsidR="000C4C46" w:rsidRPr="005D1920">
          <w:rPr>
            <w:rStyle w:val="Hypertextovodkaz"/>
            <w:noProof/>
            <w:webHidden/>
          </w:rPr>
          <w:fldChar w:fldCharType="end"/>
        </w:r>
      </w:hyperlink>
    </w:p>
    <w:p w14:paraId="2F961718" w14:textId="04C9C518" w:rsidR="000C4C46" w:rsidRPr="005D1920" w:rsidRDefault="00DD15F0" w:rsidP="005D1920">
      <w:pPr>
        <w:pStyle w:val="Obsah4"/>
        <w:rPr>
          <w:rStyle w:val="Hypertextovodkaz"/>
          <w:noProof/>
        </w:rPr>
      </w:pPr>
      <w:hyperlink w:anchor="_Toc93583795" w:history="1">
        <w:r w:rsidR="000C4C46" w:rsidRPr="000C4C46">
          <w:rPr>
            <w:rStyle w:val="Hypertextovodkaz"/>
            <w:noProof/>
          </w:rPr>
          <w:t>Obrázek 12 Vývoj instalovaného výkonu různých technologií z OZE při výrobě elektřiny [MWh]</w:t>
        </w:r>
        <w:r w:rsidR="000C4C46" w:rsidRPr="005D1920">
          <w:rPr>
            <w:rStyle w:val="Hypertextovodkaz"/>
            <w:noProof/>
            <w:webHidden/>
          </w:rPr>
          <w:tab/>
        </w:r>
        <w:r w:rsidR="000C4C46" w:rsidRPr="005D1920">
          <w:rPr>
            <w:rStyle w:val="Hypertextovodkaz"/>
            <w:noProof/>
            <w:webHidden/>
          </w:rPr>
          <w:fldChar w:fldCharType="begin"/>
        </w:r>
        <w:r w:rsidR="000C4C46" w:rsidRPr="005D1920">
          <w:rPr>
            <w:rStyle w:val="Hypertextovodkaz"/>
            <w:noProof/>
            <w:webHidden/>
          </w:rPr>
          <w:instrText xml:space="preserve"> PAGEREF _Toc93583795 \h </w:instrText>
        </w:r>
        <w:r w:rsidR="000C4C46" w:rsidRPr="005D1920">
          <w:rPr>
            <w:rStyle w:val="Hypertextovodkaz"/>
            <w:noProof/>
            <w:webHidden/>
          </w:rPr>
        </w:r>
        <w:r w:rsidR="000C4C46" w:rsidRPr="005D1920">
          <w:rPr>
            <w:rStyle w:val="Hypertextovodkaz"/>
            <w:noProof/>
            <w:webHidden/>
          </w:rPr>
          <w:fldChar w:fldCharType="separate"/>
        </w:r>
        <w:r w:rsidR="00315A11">
          <w:rPr>
            <w:rStyle w:val="Hypertextovodkaz"/>
            <w:noProof/>
            <w:webHidden/>
          </w:rPr>
          <w:t>171</w:t>
        </w:r>
        <w:r w:rsidR="000C4C46" w:rsidRPr="005D1920">
          <w:rPr>
            <w:rStyle w:val="Hypertextovodkaz"/>
            <w:noProof/>
            <w:webHidden/>
          </w:rPr>
          <w:fldChar w:fldCharType="end"/>
        </w:r>
      </w:hyperlink>
    </w:p>
    <w:p w14:paraId="2C00C923" w14:textId="29EBC170" w:rsidR="000C4C46" w:rsidRPr="005D1920" w:rsidRDefault="00DD15F0" w:rsidP="005D1920">
      <w:pPr>
        <w:pStyle w:val="Obsah4"/>
        <w:rPr>
          <w:rStyle w:val="Hypertextovodkaz"/>
          <w:noProof/>
        </w:rPr>
      </w:pPr>
      <w:hyperlink w:anchor="_Toc93583796" w:history="1">
        <w:r w:rsidR="000C4C46" w:rsidRPr="000C4C46">
          <w:rPr>
            <w:rStyle w:val="Hypertextovodkaz"/>
            <w:noProof/>
          </w:rPr>
          <w:t>Obrázek 13 Vývoj celkového skutečného příspěvku různých technologií z OZE při výrobě tepla a chladu (kToe)</w:t>
        </w:r>
        <w:r w:rsidR="000C4C46" w:rsidRPr="005D1920">
          <w:rPr>
            <w:rStyle w:val="Hypertextovodkaz"/>
            <w:noProof/>
            <w:webHidden/>
          </w:rPr>
          <w:tab/>
        </w:r>
        <w:r w:rsidR="000C4C46">
          <w:rPr>
            <w:rStyle w:val="Hypertextovodkaz"/>
            <w:noProof/>
            <w:webHidden/>
          </w:rPr>
          <w:tab/>
        </w:r>
        <w:r w:rsidR="000C4C46">
          <w:rPr>
            <w:rStyle w:val="Hypertextovodkaz"/>
            <w:noProof/>
            <w:webHidden/>
          </w:rPr>
          <w:tab/>
        </w:r>
        <w:r w:rsidR="000C4C46" w:rsidRPr="005D1920">
          <w:rPr>
            <w:rStyle w:val="Hypertextovodkaz"/>
            <w:noProof/>
            <w:webHidden/>
          </w:rPr>
          <w:fldChar w:fldCharType="begin"/>
        </w:r>
        <w:r w:rsidR="000C4C46" w:rsidRPr="005D1920">
          <w:rPr>
            <w:rStyle w:val="Hypertextovodkaz"/>
            <w:noProof/>
            <w:webHidden/>
          </w:rPr>
          <w:instrText xml:space="preserve"> PAGEREF _Toc93583796 \h </w:instrText>
        </w:r>
        <w:r w:rsidR="000C4C46" w:rsidRPr="005D1920">
          <w:rPr>
            <w:rStyle w:val="Hypertextovodkaz"/>
            <w:noProof/>
            <w:webHidden/>
          </w:rPr>
        </w:r>
        <w:r w:rsidR="000C4C46" w:rsidRPr="005D1920">
          <w:rPr>
            <w:rStyle w:val="Hypertextovodkaz"/>
            <w:noProof/>
            <w:webHidden/>
          </w:rPr>
          <w:fldChar w:fldCharType="separate"/>
        </w:r>
        <w:r w:rsidR="00315A11">
          <w:rPr>
            <w:rStyle w:val="Hypertextovodkaz"/>
            <w:noProof/>
            <w:webHidden/>
          </w:rPr>
          <w:t>171</w:t>
        </w:r>
        <w:r w:rsidR="000C4C46" w:rsidRPr="005D1920">
          <w:rPr>
            <w:rStyle w:val="Hypertextovodkaz"/>
            <w:noProof/>
            <w:webHidden/>
          </w:rPr>
          <w:fldChar w:fldCharType="end"/>
        </w:r>
      </w:hyperlink>
    </w:p>
    <w:p w14:paraId="35312041" w14:textId="6EAA2361" w:rsidR="000C4C46" w:rsidRPr="005D1920" w:rsidRDefault="00DD15F0" w:rsidP="005D1920">
      <w:pPr>
        <w:pStyle w:val="Obsah4"/>
        <w:rPr>
          <w:rStyle w:val="Hypertextovodkaz"/>
          <w:noProof/>
        </w:rPr>
      </w:pPr>
      <w:hyperlink w:anchor="_Toc93583797" w:history="1">
        <w:r w:rsidR="000C4C46" w:rsidRPr="000C4C46">
          <w:rPr>
            <w:rStyle w:val="Hypertextovodkaz"/>
            <w:noProof/>
          </w:rPr>
          <w:t>Obrázek 14 Vývoj celkového s</w:t>
        </w:r>
        <w:r w:rsidR="000C4C46" w:rsidRPr="000C4C46">
          <w:rPr>
            <w:rStyle w:val="Hypertextovodkaz"/>
            <w:noProof/>
          </w:rPr>
          <w:t>k</w:t>
        </w:r>
        <w:r w:rsidR="000C4C46" w:rsidRPr="000C4C46">
          <w:rPr>
            <w:rStyle w:val="Hypertextovodkaz"/>
            <w:noProof/>
          </w:rPr>
          <w:t>utečného příspěvku různých technolog</w:t>
        </w:r>
        <w:r w:rsidR="000C4C46" w:rsidRPr="000C4C46">
          <w:rPr>
            <w:rStyle w:val="Hypertextovodkaz"/>
            <w:noProof/>
          </w:rPr>
          <w:t>i</w:t>
        </w:r>
        <w:r w:rsidR="000C4C46" w:rsidRPr="000C4C46">
          <w:rPr>
            <w:rStyle w:val="Hypertextovodkaz"/>
            <w:noProof/>
          </w:rPr>
          <w:t>í z OZE v dopravě (kToe)</w:t>
        </w:r>
        <w:r w:rsidR="000C4C46" w:rsidRPr="005D1920">
          <w:rPr>
            <w:rStyle w:val="Hypertextovodkaz"/>
            <w:noProof/>
            <w:webHidden/>
          </w:rPr>
          <w:tab/>
        </w:r>
        <w:r w:rsidR="000C4C46" w:rsidRPr="005D1920">
          <w:rPr>
            <w:rStyle w:val="Hypertextovodkaz"/>
            <w:noProof/>
            <w:webHidden/>
          </w:rPr>
          <w:fldChar w:fldCharType="begin"/>
        </w:r>
        <w:r w:rsidR="000C4C46" w:rsidRPr="005D1920">
          <w:rPr>
            <w:rStyle w:val="Hypertextovodkaz"/>
            <w:noProof/>
            <w:webHidden/>
          </w:rPr>
          <w:instrText xml:space="preserve"> PAGEREF _Toc93583797 \h </w:instrText>
        </w:r>
        <w:r w:rsidR="000C4C46" w:rsidRPr="005D1920">
          <w:rPr>
            <w:rStyle w:val="Hypertextovodkaz"/>
            <w:noProof/>
            <w:webHidden/>
          </w:rPr>
        </w:r>
        <w:r w:rsidR="000C4C46" w:rsidRPr="005D1920">
          <w:rPr>
            <w:rStyle w:val="Hypertextovodkaz"/>
            <w:noProof/>
            <w:webHidden/>
          </w:rPr>
          <w:fldChar w:fldCharType="separate"/>
        </w:r>
        <w:r w:rsidR="00315A11">
          <w:rPr>
            <w:rStyle w:val="Hypertextovodkaz"/>
            <w:noProof/>
            <w:webHidden/>
          </w:rPr>
          <w:t>172</w:t>
        </w:r>
        <w:r w:rsidR="000C4C46" w:rsidRPr="005D1920">
          <w:rPr>
            <w:rStyle w:val="Hypertextovodkaz"/>
            <w:noProof/>
            <w:webHidden/>
          </w:rPr>
          <w:fldChar w:fldCharType="end"/>
        </w:r>
      </w:hyperlink>
    </w:p>
    <w:p w14:paraId="0C86C774" w14:textId="6B2C731B" w:rsidR="002966F3" w:rsidRDefault="000C4C46" w:rsidP="005D1920">
      <w:pPr>
        <w:pStyle w:val="Obsah4"/>
      </w:pPr>
      <w:r w:rsidRPr="005D1920">
        <w:rPr>
          <w:rStyle w:val="Hypertextovodkaz"/>
          <w:noProof/>
        </w:rPr>
        <w:fldChar w:fldCharType="end"/>
      </w:r>
    </w:p>
    <w:p w14:paraId="3E37C4B0" w14:textId="77777777" w:rsidR="002966F3" w:rsidRDefault="002966F3">
      <w:pPr>
        <w:spacing w:after="160" w:line="259" w:lineRule="auto"/>
        <w:jc w:val="left"/>
        <w:rPr>
          <w:rFonts w:eastAsia="Times New Roman" w:cstheme="minorHAnsi"/>
          <w:sz w:val="20"/>
          <w:szCs w:val="24"/>
          <w:lang w:val="cs-CZ" w:eastAsia="cs-CZ"/>
        </w:rPr>
      </w:pPr>
      <w:r>
        <w:rPr>
          <w:sz w:val="20"/>
        </w:rPr>
        <w:br w:type="page"/>
      </w:r>
    </w:p>
    <w:p w14:paraId="32D0DB52" w14:textId="77777777" w:rsidR="00315A11" w:rsidRDefault="00B857FF" w:rsidP="00127D64">
      <w:pPr>
        <w:pStyle w:val="UZEINormaln"/>
        <w:rPr>
          <w:noProof/>
        </w:rPr>
      </w:pPr>
      <w:r w:rsidRPr="00D87E86">
        <w:rPr>
          <w:b/>
          <w:bCs/>
          <w:sz w:val="28"/>
          <w:szCs w:val="28"/>
        </w:rPr>
        <w:lastRenderedPageBreak/>
        <w:t>O</w:t>
      </w:r>
      <w:r w:rsidR="00127D64" w:rsidRPr="00D87E86">
        <w:rPr>
          <w:b/>
          <w:bCs/>
          <w:sz w:val="28"/>
          <w:szCs w:val="28"/>
        </w:rPr>
        <w:t>bsah</w:t>
      </w:r>
      <w:r w:rsidR="00EF108C">
        <w:rPr>
          <w:b/>
          <w:bCs/>
          <w:sz w:val="28"/>
          <w:szCs w:val="28"/>
        </w:rPr>
        <w:fldChar w:fldCharType="begin"/>
      </w:r>
      <w:r w:rsidR="00EF108C" w:rsidRPr="00D87E86">
        <w:rPr>
          <w:b/>
          <w:bCs/>
          <w:sz w:val="28"/>
          <w:szCs w:val="28"/>
        </w:rPr>
        <w:instrText xml:space="preserve"> TOC \h \z \t "Nadpis 1;1;Nadpis 2;2;Nadpis 3;3;UZEI Nadpis 4.st;4;UZEI Nadpis 1. st.  bez čísla;1;Nadpis3;3" </w:instrText>
      </w:r>
      <w:r w:rsidR="00EF108C">
        <w:rPr>
          <w:b/>
          <w:bCs/>
          <w:sz w:val="28"/>
          <w:szCs w:val="28"/>
        </w:rPr>
        <w:fldChar w:fldCharType="separate"/>
      </w:r>
    </w:p>
    <w:p w14:paraId="117A9B8E" w14:textId="3680C127" w:rsidR="00315A11" w:rsidRDefault="00315A11">
      <w:pPr>
        <w:pStyle w:val="Obsah1"/>
        <w:tabs>
          <w:tab w:val="right" w:leader="dot" w:pos="9062"/>
        </w:tabs>
        <w:rPr>
          <w:rFonts w:asciiTheme="minorHAnsi" w:eastAsiaTheme="minorEastAsia" w:hAnsiTheme="minorHAnsi"/>
          <w:b w:val="0"/>
          <w:bCs w:val="0"/>
          <w:caps w:val="0"/>
          <w:noProof/>
          <w:sz w:val="22"/>
          <w:szCs w:val="22"/>
          <w:lang w:val="cs-CZ" w:eastAsia="cs-CZ"/>
        </w:rPr>
      </w:pPr>
      <w:hyperlink w:anchor="_Toc94181674" w:history="1">
        <w:r w:rsidRPr="00C0656A">
          <w:rPr>
            <w:rStyle w:val="Hypertextovodkaz"/>
            <w:noProof/>
          </w:rPr>
          <w:t>Seznam zkratek</w:t>
        </w:r>
        <w:r>
          <w:rPr>
            <w:noProof/>
            <w:webHidden/>
          </w:rPr>
          <w:tab/>
        </w:r>
        <w:r>
          <w:rPr>
            <w:noProof/>
            <w:webHidden/>
          </w:rPr>
          <w:fldChar w:fldCharType="begin"/>
        </w:r>
        <w:r>
          <w:rPr>
            <w:noProof/>
            <w:webHidden/>
          </w:rPr>
          <w:instrText xml:space="preserve"> PAGEREF _Toc94181674 \h </w:instrText>
        </w:r>
        <w:r>
          <w:rPr>
            <w:noProof/>
            <w:webHidden/>
          </w:rPr>
        </w:r>
        <w:r>
          <w:rPr>
            <w:noProof/>
            <w:webHidden/>
          </w:rPr>
          <w:fldChar w:fldCharType="separate"/>
        </w:r>
        <w:r>
          <w:rPr>
            <w:noProof/>
            <w:webHidden/>
          </w:rPr>
          <w:t>2</w:t>
        </w:r>
        <w:r>
          <w:rPr>
            <w:noProof/>
            <w:webHidden/>
          </w:rPr>
          <w:fldChar w:fldCharType="end"/>
        </w:r>
      </w:hyperlink>
    </w:p>
    <w:p w14:paraId="27AE43FF" w14:textId="2B2A695F" w:rsidR="00315A11" w:rsidRDefault="00315A11">
      <w:pPr>
        <w:pStyle w:val="Obsah1"/>
        <w:tabs>
          <w:tab w:val="right" w:leader="dot" w:pos="9062"/>
        </w:tabs>
        <w:rPr>
          <w:rFonts w:asciiTheme="minorHAnsi" w:eastAsiaTheme="minorEastAsia" w:hAnsiTheme="minorHAnsi"/>
          <w:b w:val="0"/>
          <w:bCs w:val="0"/>
          <w:caps w:val="0"/>
          <w:noProof/>
          <w:sz w:val="22"/>
          <w:szCs w:val="22"/>
          <w:lang w:val="cs-CZ" w:eastAsia="cs-CZ"/>
        </w:rPr>
      </w:pPr>
      <w:hyperlink w:anchor="_Toc94181675" w:history="1">
        <w:r w:rsidRPr="00C0656A">
          <w:rPr>
            <w:rStyle w:val="Hypertextovodkaz"/>
            <w:noProof/>
          </w:rPr>
          <w:t>Seznam tabulek</w:t>
        </w:r>
        <w:r>
          <w:rPr>
            <w:noProof/>
            <w:webHidden/>
          </w:rPr>
          <w:tab/>
        </w:r>
        <w:r>
          <w:rPr>
            <w:noProof/>
            <w:webHidden/>
          </w:rPr>
          <w:fldChar w:fldCharType="begin"/>
        </w:r>
        <w:r>
          <w:rPr>
            <w:noProof/>
            <w:webHidden/>
          </w:rPr>
          <w:instrText xml:space="preserve"> PAGEREF _Toc94181675 \h </w:instrText>
        </w:r>
        <w:r>
          <w:rPr>
            <w:noProof/>
            <w:webHidden/>
          </w:rPr>
        </w:r>
        <w:r>
          <w:rPr>
            <w:noProof/>
            <w:webHidden/>
          </w:rPr>
          <w:fldChar w:fldCharType="separate"/>
        </w:r>
        <w:r>
          <w:rPr>
            <w:noProof/>
            <w:webHidden/>
          </w:rPr>
          <w:t>4</w:t>
        </w:r>
        <w:r>
          <w:rPr>
            <w:noProof/>
            <w:webHidden/>
          </w:rPr>
          <w:fldChar w:fldCharType="end"/>
        </w:r>
      </w:hyperlink>
    </w:p>
    <w:p w14:paraId="637343F5" w14:textId="05ACA9FD" w:rsidR="00315A11" w:rsidRDefault="00315A11">
      <w:pPr>
        <w:pStyle w:val="Obsah1"/>
        <w:tabs>
          <w:tab w:val="right" w:leader="dot" w:pos="9062"/>
        </w:tabs>
        <w:rPr>
          <w:rFonts w:asciiTheme="minorHAnsi" w:eastAsiaTheme="minorEastAsia" w:hAnsiTheme="minorHAnsi"/>
          <w:b w:val="0"/>
          <w:bCs w:val="0"/>
          <w:caps w:val="0"/>
          <w:noProof/>
          <w:sz w:val="22"/>
          <w:szCs w:val="22"/>
          <w:lang w:val="cs-CZ" w:eastAsia="cs-CZ"/>
        </w:rPr>
      </w:pPr>
      <w:hyperlink w:anchor="_Toc94181676" w:history="1">
        <w:r w:rsidRPr="00C0656A">
          <w:rPr>
            <w:rStyle w:val="Hypertextovodkaz"/>
            <w:noProof/>
          </w:rPr>
          <w:t>Seznam grafů</w:t>
        </w:r>
        <w:r>
          <w:rPr>
            <w:noProof/>
            <w:webHidden/>
          </w:rPr>
          <w:tab/>
        </w:r>
        <w:r>
          <w:rPr>
            <w:noProof/>
            <w:webHidden/>
          </w:rPr>
          <w:fldChar w:fldCharType="begin"/>
        </w:r>
        <w:r>
          <w:rPr>
            <w:noProof/>
            <w:webHidden/>
          </w:rPr>
          <w:instrText xml:space="preserve"> PAGEREF _Toc94181676 \h </w:instrText>
        </w:r>
        <w:r>
          <w:rPr>
            <w:noProof/>
            <w:webHidden/>
          </w:rPr>
        </w:r>
        <w:r>
          <w:rPr>
            <w:noProof/>
            <w:webHidden/>
          </w:rPr>
          <w:fldChar w:fldCharType="separate"/>
        </w:r>
        <w:r>
          <w:rPr>
            <w:noProof/>
            <w:webHidden/>
          </w:rPr>
          <w:t>7</w:t>
        </w:r>
        <w:r>
          <w:rPr>
            <w:noProof/>
            <w:webHidden/>
          </w:rPr>
          <w:fldChar w:fldCharType="end"/>
        </w:r>
      </w:hyperlink>
    </w:p>
    <w:p w14:paraId="5803024B" w14:textId="2D994537" w:rsidR="00315A11" w:rsidRDefault="00315A11">
      <w:pPr>
        <w:pStyle w:val="Obsah1"/>
        <w:tabs>
          <w:tab w:val="right" w:leader="dot" w:pos="9062"/>
        </w:tabs>
        <w:rPr>
          <w:rFonts w:asciiTheme="minorHAnsi" w:eastAsiaTheme="minorEastAsia" w:hAnsiTheme="minorHAnsi"/>
          <w:b w:val="0"/>
          <w:bCs w:val="0"/>
          <w:caps w:val="0"/>
          <w:noProof/>
          <w:sz w:val="22"/>
          <w:szCs w:val="22"/>
          <w:lang w:val="cs-CZ" w:eastAsia="cs-CZ"/>
        </w:rPr>
      </w:pPr>
      <w:hyperlink w:anchor="_Toc94181677" w:history="1">
        <w:r w:rsidRPr="00C0656A">
          <w:rPr>
            <w:rStyle w:val="Hypertextovodkaz"/>
            <w:noProof/>
          </w:rPr>
          <w:t>Seznam obrázků</w:t>
        </w:r>
        <w:r>
          <w:rPr>
            <w:noProof/>
            <w:webHidden/>
          </w:rPr>
          <w:tab/>
        </w:r>
        <w:r>
          <w:rPr>
            <w:noProof/>
            <w:webHidden/>
          </w:rPr>
          <w:fldChar w:fldCharType="begin"/>
        </w:r>
        <w:r>
          <w:rPr>
            <w:noProof/>
            <w:webHidden/>
          </w:rPr>
          <w:instrText xml:space="preserve"> PAGEREF _Toc94181677 \h </w:instrText>
        </w:r>
        <w:r>
          <w:rPr>
            <w:noProof/>
            <w:webHidden/>
          </w:rPr>
        </w:r>
        <w:r>
          <w:rPr>
            <w:noProof/>
            <w:webHidden/>
          </w:rPr>
          <w:fldChar w:fldCharType="separate"/>
        </w:r>
        <w:r>
          <w:rPr>
            <w:noProof/>
            <w:webHidden/>
          </w:rPr>
          <w:t>8</w:t>
        </w:r>
        <w:r>
          <w:rPr>
            <w:noProof/>
            <w:webHidden/>
          </w:rPr>
          <w:fldChar w:fldCharType="end"/>
        </w:r>
      </w:hyperlink>
    </w:p>
    <w:p w14:paraId="067BCD7E" w14:textId="61F59880" w:rsidR="00315A11" w:rsidRDefault="00315A11">
      <w:pPr>
        <w:pStyle w:val="Obsah1"/>
        <w:tabs>
          <w:tab w:val="left" w:pos="480"/>
          <w:tab w:val="right" w:leader="dot" w:pos="9062"/>
        </w:tabs>
        <w:rPr>
          <w:rFonts w:asciiTheme="minorHAnsi" w:eastAsiaTheme="minorEastAsia" w:hAnsiTheme="minorHAnsi"/>
          <w:b w:val="0"/>
          <w:bCs w:val="0"/>
          <w:caps w:val="0"/>
          <w:noProof/>
          <w:sz w:val="22"/>
          <w:szCs w:val="22"/>
          <w:lang w:val="cs-CZ" w:eastAsia="cs-CZ"/>
        </w:rPr>
      </w:pPr>
      <w:hyperlink w:anchor="_Toc94181678" w:history="1">
        <w:r w:rsidRPr="00C0656A">
          <w:rPr>
            <w:rStyle w:val="Hypertextovodkaz"/>
            <w:noProof/>
          </w:rPr>
          <w:t>1</w:t>
        </w:r>
        <w:r>
          <w:rPr>
            <w:rFonts w:asciiTheme="minorHAnsi" w:eastAsiaTheme="minorEastAsia" w:hAnsiTheme="minorHAnsi"/>
            <w:b w:val="0"/>
            <w:bCs w:val="0"/>
            <w:caps w:val="0"/>
            <w:noProof/>
            <w:sz w:val="22"/>
            <w:szCs w:val="22"/>
            <w:lang w:val="cs-CZ" w:eastAsia="cs-CZ"/>
          </w:rPr>
          <w:tab/>
        </w:r>
        <w:r w:rsidRPr="00C0656A">
          <w:rPr>
            <w:rStyle w:val="Hypertextovodkaz"/>
            <w:noProof/>
          </w:rPr>
          <w:t>Analýza stávajících/navrhovaných právních předpisů EK/ČR a pravděpodobné nastavení směrů a cílů SZP</w:t>
        </w:r>
        <w:r>
          <w:rPr>
            <w:noProof/>
            <w:webHidden/>
          </w:rPr>
          <w:tab/>
        </w:r>
        <w:r>
          <w:rPr>
            <w:noProof/>
            <w:webHidden/>
          </w:rPr>
          <w:fldChar w:fldCharType="begin"/>
        </w:r>
        <w:r>
          <w:rPr>
            <w:noProof/>
            <w:webHidden/>
          </w:rPr>
          <w:instrText xml:space="preserve"> PAGEREF _Toc94181678 \h </w:instrText>
        </w:r>
        <w:r>
          <w:rPr>
            <w:noProof/>
            <w:webHidden/>
          </w:rPr>
        </w:r>
        <w:r>
          <w:rPr>
            <w:noProof/>
            <w:webHidden/>
          </w:rPr>
          <w:fldChar w:fldCharType="separate"/>
        </w:r>
        <w:r>
          <w:rPr>
            <w:noProof/>
            <w:webHidden/>
          </w:rPr>
          <w:t>10</w:t>
        </w:r>
        <w:r>
          <w:rPr>
            <w:noProof/>
            <w:webHidden/>
          </w:rPr>
          <w:fldChar w:fldCharType="end"/>
        </w:r>
      </w:hyperlink>
    </w:p>
    <w:p w14:paraId="568710DF" w14:textId="55F227FC" w:rsidR="00315A11" w:rsidRDefault="00315A11">
      <w:pPr>
        <w:pStyle w:val="Obsah1"/>
        <w:tabs>
          <w:tab w:val="left" w:pos="480"/>
          <w:tab w:val="right" w:leader="dot" w:pos="9062"/>
        </w:tabs>
        <w:rPr>
          <w:rFonts w:asciiTheme="minorHAnsi" w:eastAsiaTheme="minorEastAsia" w:hAnsiTheme="minorHAnsi"/>
          <w:b w:val="0"/>
          <w:bCs w:val="0"/>
          <w:caps w:val="0"/>
          <w:noProof/>
          <w:sz w:val="22"/>
          <w:szCs w:val="22"/>
          <w:lang w:val="cs-CZ" w:eastAsia="cs-CZ"/>
        </w:rPr>
      </w:pPr>
      <w:hyperlink w:anchor="_Toc94181679" w:history="1">
        <w:r w:rsidRPr="00C0656A">
          <w:rPr>
            <w:rStyle w:val="Hypertextovodkaz"/>
            <w:noProof/>
          </w:rPr>
          <w:t>2</w:t>
        </w:r>
        <w:r>
          <w:rPr>
            <w:rFonts w:asciiTheme="minorHAnsi" w:eastAsiaTheme="minorEastAsia" w:hAnsiTheme="minorHAnsi"/>
            <w:b w:val="0"/>
            <w:bCs w:val="0"/>
            <w:caps w:val="0"/>
            <w:noProof/>
            <w:sz w:val="22"/>
            <w:szCs w:val="22"/>
            <w:lang w:val="cs-CZ" w:eastAsia="cs-CZ"/>
          </w:rPr>
          <w:tab/>
        </w:r>
        <w:r w:rsidRPr="00C0656A">
          <w:rPr>
            <w:rStyle w:val="Hypertextovodkaz"/>
            <w:noProof/>
          </w:rPr>
          <w:t>Stanovení skutečného problému, na který má politika reagovat Co je skutečným problémem, na který má/by měla politika v rámci jednotlivých dílčích cílů reagovat?</w:t>
        </w:r>
        <w:r>
          <w:rPr>
            <w:noProof/>
            <w:webHidden/>
          </w:rPr>
          <w:tab/>
        </w:r>
        <w:r>
          <w:rPr>
            <w:noProof/>
            <w:webHidden/>
          </w:rPr>
          <w:fldChar w:fldCharType="begin"/>
        </w:r>
        <w:r>
          <w:rPr>
            <w:noProof/>
            <w:webHidden/>
          </w:rPr>
          <w:instrText xml:space="preserve"> PAGEREF _Toc94181679 \h </w:instrText>
        </w:r>
        <w:r>
          <w:rPr>
            <w:noProof/>
            <w:webHidden/>
          </w:rPr>
        </w:r>
        <w:r>
          <w:rPr>
            <w:noProof/>
            <w:webHidden/>
          </w:rPr>
          <w:fldChar w:fldCharType="separate"/>
        </w:r>
        <w:r>
          <w:rPr>
            <w:noProof/>
            <w:webHidden/>
          </w:rPr>
          <w:t>26</w:t>
        </w:r>
        <w:r>
          <w:rPr>
            <w:noProof/>
            <w:webHidden/>
          </w:rPr>
          <w:fldChar w:fldCharType="end"/>
        </w:r>
      </w:hyperlink>
    </w:p>
    <w:p w14:paraId="169F1A66" w14:textId="32FECE35" w:rsidR="00315A11" w:rsidRDefault="00315A11">
      <w:pPr>
        <w:pStyle w:val="Obsah1"/>
        <w:tabs>
          <w:tab w:val="left" w:pos="480"/>
          <w:tab w:val="right" w:leader="dot" w:pos="9062"/>
        </w:tabs>
        <w:rPr>
          <w:rFonts w:asciiTheme="minorHAnsi" w:eastAsiaTheme="minorEastAsia" w:hAnsiTheme="minorHAnsi"/>
          <w:b w:val="0"/>
          <w:bCs w:val="0"/>
          <w:caps w:val="0"/>
          <w:noProof/>
          <w:sz w:val="22"/>
          <w:szCs w:val="22"/>
          <w:lang w:val="cs-CZ" w:eastAsia="cs-CZ"/>
        </w:rPr>
      </w:pPr>
      <w:hyperlink w:anchor="_Toc94181680" w:history="1">
        <w:r w:rsidRPr="00C0656A">
          <w:rPr>
            <w:rStyle w:val="Hypertextovodkaz"/>
            <w:noProof/>
          </w:rPr>
          <w:t>3</w:t>
        </w:r>
        <w:r>
          <w:rPr>
            <w:rFonts w:asciiTheme="minorHAnsi" w:eastAsiaTheme="minorEastAsia" w:hAnsiTheme="minorHAnsi"/>
            <w:b w:val="0"/>
            <w:bCs w:val="0"/>
            <w:caps w:val="0"/>
            <w:noProof/>
            <w:sz w:val="22"/>
            <w:szCs w:val="22"/>
            <w:lang w:val="cs-CZ" w:eastAsia="cs-CZ"/>
          </w:rPr>
          <w:tab/>
        </w:r>
        <w:r w:rsidRPr="00C0656A">
          <w:rPr>
            <w:rStyle w:val="Hypertextovodkaz"/>
            <w:noProof/>
          </w:rPr>
          <w:t>Mechanizmus a příčiny problému</w:t>
        </w:r>
        <w:r>
          <w:rPr>
            <w:noProof/>
            <w:webHidden/>
          </w:rPr>
          <w:tab/>
        </w:r>
        <w:r>
          <w:rPr>
            <w:noProof/>
            <w:webHidden/>
          </w:rPr>
          <w:fldChar w:fldCharType="begin"/>
        </w:r>
        <w:r>
          <w:rPr>
            <w:noProof/>
            <w:webHidden/>
          </w:rPr>
          <w:instrText xml:space="preserve"> PAGEREF _Toc94181680 \h </w:instrText>
        </w:r>
        <w:r>
          <w:rPr>
            <w:noProof/>
            <w:webHidden/>
          </w:rPr>
        </w:r>
        <w:r>
          <w:rPr>
            <w:noProof/>
            <w:webHidden/>
          </w:rPr>
          <w:fldChar w:fldCharType="separate"/>
        </w:r>
        <w:r>
          <w:rPr>
            <w:noProof/>
            <w:webHidden/>
          </w:rPr>
          <w:t>35</w:t>
        </w:r>
        <w:r>
          <w:rPr>
            <w:noProof/>
            <w:webHidden/>
          </w:rPr>
          <w:fldChar w:fldCharType="end"/>
        </w:r>
      </w:hyperlink>
    </w:p>
    <w:p w14:paraId="70C4774B" w14:textId="1C0F5253" w:rsidR="00315A11" w:rsidRDefault="00315A11">
      <w:pPr>
        <w:pStyle w:val="Obsah1"/>
        <w:tabs>
          <w:tab w:val="left" w:pos="480"/>
          <w:tab w:val="right" w:leader="dot" w:pos="9062"/>
        </w:tabs>
        <w:rPr>
          <w:rFonts w:asciiTheme="minorHAnsi" w:eastAsiaTheme="minorEastAsia" w:hAnsiTheme="minorHAnsi"/>
          <w:b w:val="0"/>
          <w:bCs w:val="0"/>
          <w:caps w:val="0"/>
          <w:noProof/>
          <w:sz w:val="22"/>
          <w:szCs w:val="22"/>
          <w:lang w:val="cs-CZ" w:eastAsia="cs-CZ"/>
        </w:rPr>
      </w:pPr>
      <w:hyperlink w:anchor="_Toc94181681" w:history="1">
        <w:r w:rsidRPr="00C0656A">
          <w:rPr>
            <w:rStyle w:val="Hypertextovodkaz"/>
            <w:noProof/>
          </w:rPr>
          <w:t>4</w:t>
        </w:r>
        <w:r>
          <w:rPr>
            <w:rFonts w:asciiTheme="minorHAnsi" w:eastAsiaTheme="minorEastAsia" w:hAnsiTheme="minorHAnsi"/>
            <w:b w:val="0"/>
            <w:bCs w:val="0"/>
            <w:caps w:val="0"/>
            <w:noProof/>
            <w:sz w:val="22"/>
            <w:szCs w:val="22"/>
            <w:lang w:val="cs-CZ" w:eastAsia="cs-CZ"/>
          </w:rPr>
          <w:tab/>
        </w:r>
        <w:r w:rsidRPr="00C0656A">
          <w:rPr>
            <w:rStyle w:val="Hypertextovodkaz"/>
            <w:noProof/>
          </w:rPr>
          <w:t>Závažnost problému</w:t>
        </w:r>
        <w:r>
          <w:rPr>
            <w:noProof/>
            <w:webHidden/>
          </w:rPr>
          <w:tab/>
        </w:r>
        <w:r>
          <w:rPr>
            <w:noProof/>
            <w:webHidden/>
          </w:rPr>
          <w:fldChar w:fldCharType="begin"/>
        </w:r>
        <w:r>
          <w:rPr>
            <w:noProof/>
            <w:webHidden/>
          </w:rPr>
          <w:instrText xml:space="preserve"> PAGEREF _Toc94181681 \h </w:instrText>
        </w:r>
        <w:r>
          <w:rPr>
            <w:noProof/>
            <w:webHidden/>
          </w:rPr>
        </w:r>
        <w:r>
          <w:rPr>
            <w:noProof/>
            <w:webHidden/>
          </w:rPr>
          <w:fldChar w:fldCharType="separate"/>
        </w:r>
        <w:r>
          <w:rPr>
            <w:noProof/>
            <w:webHidden/>
          </w:rPr>
          <w:t>48</w:t>
        </w:r>
        <w:r>
          <w:rPr>
            <w:noProof/>
            <w:webHidden/>
          </w:rPr>
          <w:fldChar w:fldCharType="end"/>
        </w:r>
      </w:hyperlink>
    </w:p>
    <w:p w14:paraId="3C2179F3" w14:textId="2F79745B" w:rsidR="00315A11" w:rsidRDefault="00315A11">
      <w:pPr>
        <w:pStyle w:val="Obsah1"/>
        <w:tabs>
          <w:tab w:val="left" w:pos="480"/>
          <w:tab w:val="right" w:leader="dot" w:pos="9062"/>
        </w:tabs>
        <w:rPr>
          <w:rFonts w:asciiTheme="minorHAnsi" w:eastAsiaTheme="minorEastAsia" w:hAnsiTheme="minorHAnsi"/>
          <w:b w:val="0"/>
          <w:bCs w:val="0"/>
          <w:caps w:val="0"/>
          <w:noProof/>
          <w:sz w:val="22"/>
          <w:szCs w:val="22"/>
          <w:lang w:val="cs-CZ" w:eastAsia="cs-CZ"/>
        </w:rPr>
      </w:pPr>
      <w:hyperlink w:anchor="_Toc94181682" w:history="1">
        <w:r w:rsidRPr="00C0656A">
          <w:rPr>
            <w:rStyle w:val="Hypertextovodkaz"/>
            <w:noProof/>
          </w:rPr>
          <w:t>5</w:t>
        </w:r>
        <w:r>
          <w:rPr>
            <w:rFonts w:asciiTheme="minorHAnsi" w:eastAsiaTheme="minorEastAsia" w:hAnsiTheme="minorHAnsi"/>
            <w:b w:val="0"/>
            <w:bCs w:val="0"/>
            <w:caps w:val="0"/>
            <w:noProof/>
            <w:sz w:val="22"/>
            <w:szCs w:val="22"/>
            <w:lang w:val="cs-CZ" w:eastAsia="cs-CZ"/>
          </w:rPr>
          <w:tab/>
        </w:r>
        <w:r w:rsidRPr="00C0656A">
          <w:rPr>
            <w:rStyle w:val="Hypertextovodkaz"/>
            <w:noProof/>
          </w:rPr>
          <w:t>Existence/neexistence možnosti efektivního řešení v rámci nástrojů SZP, které lze uvažovat v nových návrzích SZP (které příčiny lze ovlivnit, a které ne).</w:t>
        </w:r>
        <w:r>
          <w:rPr>
            <w:noProof/>
            <w:webHidden/>
          </w:rPr>
          <w:tab/>
        </w:r>
        <w:r>
          <w:rPr>
            <w:noProof/>
            <w:webHidden/>
          </w:rPr>
          <w:fldChar w:fldCharType="begin"/>
        </w:r>
        <w:r>
          <w:rPr>
            <w:noProof/>
            <w:webHidden/>
          </w:rPr>
          <w:instrText xml:space="preserve"> PAGEREF _Toc94181682 \h </w:instrText>
        </w:r>
        <w:r>
          <w:rPr>
            <w:noProof/>
            <w:webHidden/>
          </w:rPr>
        </w:r>
        <w:r>
          <w:rPr>
            <w:noProof/>
            <w:webHidden/>
          </w:rPr>
          <w:fldChar w:fldCharType="separate"/>
        </w:r>
        <w:r>
          <w:rPr>
            <w:noProof/>
            <w:webHidden/>
          </w:rPr>
          <w:t>76</w:t>
        </w:r>
        <w:r>
          <w:rPr>
            <w:noProof/>
            <w:webHidden/>
          </w:rPr>
          <w:fldChar w:fldCharType="end"/>
        </w:r>
      </w:hyperlink>
    </w:p>
    <w:p w14:paraId="6B5022EF" w14:textId="360B1C0B" w:rsidR="00315A11" w:rsidRDefault="00315A11">
      <w:pPr>
        <w:pStyle w:val="Obsah1"/>
        <w:tabs>
          <w:tab w:val="left" w:pos="480"/>
          <w:tab w:val="right" w:leader="dot" w:pos="9062"/>
        </w:tabs>
        <w:rPr>
          <w:rFonts w:asciiTheme="minorHAnsi" w:eastAsiaTheme="minorEastAsia" w:hAnsiTheme="minorHAnsi"/>
          <w:b w:val="0"/>
          <w:bCs w:val="0"/>
          <w:caps w:val="0"/>
          <w:noProof/>
          <w:sz w:val="22"/>
          <w:szCs w:val="22"/>
          <w:lang w:val="cs-CZ" w:eastAsia="cs-CZ"/>
        </w:rPr>
      </w:pPr>
      <w:hyperlink w:anchor="_Toc94181683" w:history="1">
        <w:r w:rsidRPr="00C0656A">
          <w:rPr>
            <w:rStyle w:val="Hypertextovodkaz"/>
            <w:noProof/>
          </w:rPr>
          <w:t>6</w:t>
        </w:r>
        <w:r>
          <w:rPr>
            <w:rFonts w:asciiTheme="minorHAnsi" w:eastAsiaTheme="minorEastAsia" w:hAnsiTheme="minorHAnsi"/>
            <w:b w:val="0"/>
            <w:bCs w:val="0"/>
            <w:caps w:val="0"/>
            <w:noProof/>
            <w:sz w:val="22"/>
            <w:szCs w:val="22"/>
            <w:lang w:val="cs-CZ" w:eastAsia="cs-CZ"/>
          </w:rPr>
          <w:tab/>
        </w:r>
        <w:r w:rsidRPr="00C0656A">
          <w:rPr>
            <w:rStyle w:val="Hypertextovodkaz"/>
            <w:noProof/>
          </w:rPr>
          <w:t>Míra s</w:t>
        </w:r>
        <w:r w:rsidRPr="00C0656A">
          <w:rPr>
            <w:rStyle w:val="Hypertextovodkaz"/>
            <w:noProof/>
          </w:rPr>
          <w:t>t</w:t>
        </w:r>
        <w:r w:rsidRPr="00C0656A">
          <w:rPr>
            <w:rStyle w:val="Hypertextovodkaz"/>
            <w:noProof/>
          </w:rPr>
          <w:t>ávajícího řešení problému</w:t>
        </w:r>
        <w:r>
          <w:rPr>
            <w:noProof/>
            <w:webHidden/>
          </w:rPr>
          <w:tab/>
        </w:r>
        <w:r>
          <w:rPr>
            <w:noProof/>
            <w:webHidden/>
          </w:rPr>
          <w:fldChar w:fldCharType="begin"/>
        </w:r>
        <w:r>
          <w:rPr>
            <w:noProof/>
            <w:webHidden/>
          </w:rPr>
          <w:instrText xml:space="preserve"> PAGEREF _Toc94181683 \h </w:instrText>
        </w:r>
        <w:r>
          <w:rPr>
            <w:noProof/>
            <w:webHidden/>
          </w:rPr>
        </w:r>
        <w:r>
          <w:rPr>
            <w:noProof/>
            <w:webHidden/>
          </w:rPr>
          <w:fldChar w:fldCharType="separate"/>
        </w:r>
        <w:r>
          <w:rPr>
            <w:noProof/>
            <w:webHidden/>
          </w:rPr>
          <w:t>97</w:t>
        </w:r>
        <w:r>
          <w:rPr>
            <w:noProof/>
            <w:webHidden/>
          </w:rPr>
          <w:fldChar w:fldCharType="end"/>
        </w:r>
      </w:hyperlink>
    </w:p>
    <w:p w14:paraId="7C592BD9" w14:textId="5836DF46" w:rsidR="00315A11" w:rsidRDefault="00315A11">
      <w:pPr>
        <w:pStyle w:val="Obsah2"/>
        <w:rPr>
          <w:rFonts w:asciiTheme="minorHAnsi" w:eastAsiaTheme="minorEastAsia" w:hAnsiTheme="minorHAnsi"/>
          <w:smallCaps w:val="0"/>
          <w:noProof/>
          <w:sz w:val="22"/>
          <w:szCs w:val="22"/>
          <w:lang w:val="cs-CZ" w:eastAsia="cs-CZ"/>
        </w:rPr>
      </w:pPr>
      <w:hyperlink w:anchor="_Toc94181684" w:history="1">
        <w:r w:rsidRPr="00C0656A">
          <w:rPr>
            <w:rStyle w:val="Hypertextovodkaz"/>
            <w:noProof/>
          </w:rPr>
          <w:t>6.1</w:t>
        </w:r>
        <w:r>
          <w:rPr>
            <w:rFonts w:asciiTheme="minorHAnsi" w:eastAsiaTheme="minorEastAsia" w:hAnsiTheme="minorHAnsi"/>
            <w:smallCaps w:val="0"/>
            <w:noProof/>
            <w:sz w:val="22"/>
            <w:szCs w:val="22"/>
            <w:lang w:val="cs-CZ" w:eastAsia="cs-CZ"/>
          </w:rPr>
          <w:tab/>
        </w:r>
        <w:r w:rsidRPr="00C0656A">
          <w:rPr>
            <w:rStyle w:val="Hypertextovodkaz"/>
            <w:noProof/>
          </w:rPr>
          <w:t>Míra řešení ve stávající SZP (úspěšnost/neúspěšnost).</w:t>
        </w:r>
        <w:r>
          <w:rPr>
            <w:noProof/>
            <w:webHidden/>
          </w:rPr>
          <w:tab/>
        </w:r>
        <w:r>
          <w:rPr>
            <w:noProof/>
            <w:webHidden/>
          </w:rPr>
          <w:fldChar w:fldCharType="begin"/>
        </w:r>
        <w:r>
          <w:rPr>
            <w:noProof/>
            <w:webHidden/>
          </w:rPr>
          <w:instrText xml:space="preserve"> PAGEREF _Toc94181684 \h </w:instrText>
        </w:r>
        <w:r>
          <w:rPr>
            <w:noProof/>
            <w:webHidden/>
          </w:rPr>
        </w:r>
        <w:r>
          <w:rPr>
            <w:noProof/>
            <w:webHidden/>
          </w:rPr>
          <w:fldChar w:fldCharType="separate"/>
        </w:r>
        <w:r>
          <w:rPr>
            <w:noProof/>
            <w:webHidden/>
          </w:rPr>
          <w:t>97</w:t>
        </w:r>
        <w:r>
          <w:rPr>
            <w:noProof/>
            <w:webHidden/>
          </w:rPr>
          <w:fldChar w:fldCharType="end"/>
        </w:r>
      </w:hyperlink>
    </w:p>
    <w:p w14:paraId="03F41BF2" w14:textId="60D9A4C2" w:rsidR="00315A11" w:rsidRDefault="00315A11">
      <w:pPr>
        <w:pStyle w:val="Obsah2"/>
        <w:rPr>
          <w:rFonts w:asciiTheme="minorHAnsi" w:eastAsiaTheme="minorEastAsia" w:hAnsiTheme="minorHAnsi"/>
          <w:smallCaps w:val="0"/>
          <w:noProof/>
          <w:sz w:val="22"/>
          <w:szCs w:val="22"/>
          <w:lang w:val="cs-CZ" w:eastAsia="cs-CZ"/>
        </w:rPr>
      </w:pPr>
      <w:hyperlink w:anchor="_Toc94181685" w:history="1">
        <w:r w:rsidRPr="00C0656A">
          <w:rPr>
            <w:rStyle w:val="Hypertextovodkaz"/>
            <w:noProof/>
          </w:rPr>
          <w:t>6.2</w:t>
        </w:r>
        <w:r>
          <w:rPr>
            <w:rFonts w:asciiTheme="minorHAnsi" w:eastAsiaTheme="minorEastAsia" w:hAnsiTheme="minorHAnsi"/>
            <w:smallCaps w:val="0"/>
            <w:noProof/>
            <w:sz w:val="22"/>
            <w:szCs w:val="22"/>
            <w:lang w:val="cs-CZ" w:eastAsia="cs-CZ"/>
          </w:rPr>
          <w:tab/>
        </w:r>
        <w:r w:rsidRPr="00C0656A">
          <w:rPr>
            <w:rStyle w:val="Hypertextovodkaz"/>
            <w:noProof/>
          </w:rPr>
          <w:t>Míra současného řešení problému jinými politikami</w:t>
        </w:r>
        <w:r>
          <w:rPr>
            <w:noProof/>
            <w:webHidden/>
          </w:rPr>
          <w:tab/>
        </w:r>
        <w:r>
          <w:rPr>
            <w:noProof/>
            <w:webHidden/>
          </w:rPr>
          <w:fldChar w:fldCharType="begin"/>
        </w:r>
        <w:r>
          <w:rPr>
            <w:noProof/>
            <w:webHidden/>
          </w:rPr>
          <w:instrText xml:space="preserve"> PAGEREF _Toc94181685 \h </w:instrText>
        </w:r>
        <w:r>
          <w:rPr>
            <w:noProof/>
            <w:webHidden/>
          </w:rPr>
        </w:r>
        <w:r>
          <w:rPr>
            <w:noProof/>
            <w:webHidden/>
          </w:rPr>
          <w:fldChar w:fldCharType="separate"/>
        </w:r>
        <w:r>
          <w:rPr>
            <w:noProof/>
            <w:webHidden/>
          </w:rPr>
          <w:t>114</w:t>
        </w:r>
        <w:r>
          <w:rPr>
            <w:noProof/>
            <w:webHidden/>
          </w:rPr>
          <w:fldChar w:fldCharType="end"/>
        </w:r>
      </w:hyperlink>
    </w:p>
    <w:p w14:paraId="46E0CCFC" w14:textId="02B6F259" w:rsidR="00315A11" w:rsidRDefault="00315A11">
      <w:pPr>
        <w:pStyle w:val="Obsah1"/>
        <w:tabs>
          <w:tab w:val="left" w:pos="480"/>
          <w:tab w:val="right" w:leader="dot" w:pos="9062"/>
        </w:tabs>
        <w:rPr>
          <w:rFonts w:asciiTheme="minorHAnsi" w:eastAsiaTheme="minorEastAsia" w:hAnsiTheme="minorHAnsi"/>
          <w:b w:val="0"/>
          <w:bCs w:val="0"/>
          <w:caps w:val="0"/>
          <w:noProof/>
          <w:sz w:val="22"/>
          <w:szCs w:val="22"/>
          <w:lang w:val="cs-CZ" w:eastAsia="cs-CZ"/>
        </w:rPr>
      </w:pPr>
      <w:hyperlink w:anchor="_Toc94181686" w:history="1">
        <w:r w:rsidRPr="00C0656A">
          <w:rPr>
            <w:rStyle w:val="Hypertextovodkaz"/>
            <w:noProof/>
          </w:rPr>
          <w:t>7</w:t>
        </w:r>
        <w:r>
          <w:rPr>
            <w:rFonts w:asciiTheme="minorHAnsi" w:eastAsiaTheme="minorEastAsia" w:hAnsiTheme="minorHAnsi"/>
            <w:b w:val="0"/>
            <w:bCs w:val="0"/>
            <w:caps w:val="0"/>
            <w:noProof/>
            <w:sz w:val="22"/>
            <w:szCs w:val="22"/>
            <w:lang w:val="cs-CZ" w:eastAsia="cs-CZ"/>
          </w:rPr>
          <w:tab/>
        </w:r>
        <w:r w:rsidRPr="00C0656A">
          <w:rPr>
            <w:rStyle w:val="Hypertextovodkaz"/>
            <w:noProof/>
          </w:rPr>
          <w:t>Detailnější posouzení vlivu předpisů</w:t>
        </w:r>
        <w:r>
          <w:rPr>
            <w:noProof/>
            <w:webHidden/>
          </w:rPr>
          <w:tab/>
        </w:r>
        <w:r>
          <w:rPr>
            <w:noProof/>
            <w:webHidden/>
          </w:rPr>
          <w:fldChar w:fldCharType="begin"/>
        </w:r>
        <w:r>
          <w:rPr>
            <w:noProof/>
            <w:webHidden/>
          </w:rPr>
          <w:instrText xml:space="preserve"> PAGEREF _Toc94181686 \h </w:instrText>
        </w:r>
        <w:r>
          <w:rPr>
            <w:noProof/>
            <w:webHidden/>
          </w:rPr>
        </w:r>
        <w:r>
          <w:rPr>
            <w:noProof/>
            <w:webHidden/>
          </w:rPr>
          <w:fldChar w:fldCharType="separate"/>
        </w:r>
        <w:r>
          <w:rPr>
            <w:noProof/>
            <w:webHidden/>
          </w:rPr>
          <w:t>117</w:t>
        </w:r>
        <w:r>
          <w:rPr>
            <w:noProof/>
            <w:webHidden/>
          </w:rPr>
          <w:fldChar w:fldCharType="end"/>
        </w:r>
      </w:hyperlink>
    </w:p>
    <w:p w14:paraId="3924B09F" w14:textId="5BE06B87" w:rsidR="00315A11" w:rsidRDefault="00315A11">
      <w:pPr>
        <w:pStyle w:val="Obsah1"/>
        <w:tabs>
          <w:tab w:val="left" w:pos="480"/>
          <w:tab w:val="right" w:leader="dot" w:pos="9062"/>
        </w:tabs>
        <w:rPr>
          <w:rFonts w:asciiTheme="minorHAnsi" w:eastAsiaTheme="minorEastAsia" w:hAnsiTheme="minorHAnsi"/>
          <w:b w:val="0"/>
          <w:bCs w:val="0"/>
          <w:caps w:val="0"/>
          <w:noProof/>
          <w:sz w:val="22"/>
          <w:szCs w:val="22"/>
          <w:lang w:val="cs-CZ" w:eastAsia="cs-CZ"/>
        </w:rPr>
      </w:pPr>
      <w:hyperlink w:anchor="_Toc94181687" w:history="1">
        <w:r w:rsidRPr="00C0656A">
          <w:rPr>
            <w:rStyle w:val="Hypertextovodkaz"/>
            <w:noProof/>
          </w:rPr>
          <w:t>8</w:t>
        </w:r>
        <w:r>
          <w:rPr>
            <w:rFonts w:asciiTheme="minorHAnsi" w:eastAsiaTheme="minorEastAsia" w:hAnsiTheme="minorHAnsi"/>
            <w:b w:val="0"/>
            <w:bCs w:val="0"/>
            <w:caps w:val="0"/>
            <w:noProof/>
            <w:sz w:val="22"/>
            <w:szCs w:val="22"/>
            <w:lang w:val="cs-CZ" w:eastAsia="cs-CZ"/>
          </w:rPr>
          <w:tab/>
        </w:r>
        <w:r w:rsidRPr="00C0656A">
          <w:rPr>
            <w:rStyle w:val="Hypertextovodkaz"/>
            <w:noProof/>
          </w:rPr>
          <w:t>Předpokládaný vývoj situace bez zavedení příslušných intervencí</w:t>
        </w:r>
        <w:r>
          <w:rPr>
            <w:noProof/>
            <w:webHidden/>
          </w:rPr>
          <w:tab/>
        </w:r>
        <w:r>
          <w:rPr>
            <w:noProof/>
            <w:webHidden/>
          </w:rPr>
          <w:fldChar w:fldCharType="begin"/>
        </w:r>
        <w:r>
          <w:rPr>
            <w:noProof/>
            <w:webHidden/>
          </w:rPr>
          <w:instrText xml:space="preserve"> PAGEREF _Toc94181687 \h </w:instrText>
        </w:r>
        <w:r>
          <w:rPr>
            <w:noProof/>
            <w:webHidden/>
          </w:rPr>
        </w:r>
        <w:r>
          <w:rPr>
            <w:noProof/>
            <w:webHidden/>
          </w:rPr>
          <w:fldChar w:fldCharType="separate"/>
        </w:r>
        <w:r>
          <w:rPr>
            <w:noProof/>
            <w:webHidden/>
          </w:rPr>
          <w:t>120</w:t>
        </w:r>
        <w:r>
          <w:rPr>
            <w:noProof/>
            <w:webHidden/>
          </w:rPr>
          <w:fldChar w:fldCharType="end"/>
        </w:r>
      </w:hyperlink>
    </w:p>
    <w:p w14:paraId="4F988BC4" w14:textId="5624FBB7" w:rsidR="00315A11" w:rsidRDefault="00315A11">
      <w:pPr>
        <w:pStyle w:val="Obsah1"/>
        <w:tabs>
          <w:tab w:val="left" w:pos="480"/>
          <w:tab w:val="right" w:leader="dot" w:pos="9062"/>
        </w:tabs>
        <w:rPr>
          <w:rFonts w:asciiTheme="minorHAnsi" w:eastAsiaTheme="minorEastAsia" w:hAnsiTheme="minorHAnsi"/>
          <w:b w:val="0"/>
          <w:bCs w:val="0"/>
          <w:caps w:val="0"/>
          <w:noProof/>
          <w:sz w:val="22"/>
          <w:szCs w:val="22"/>
          <w:lang w:val="cs-CZ" w:eastAsia="cs-CZ"/>
        </w:rPr>
      </w:pPr>
      <w:hyperlink w:anchor="_Toc94181688" w:history="1">
        <w:r w:rsidRPr="00C0656A">
          <w:rPr>
            <w:rStyle w:val="Hypertextovodkaz"/>
            <w:noProof/>
          </w:rPr>
          <w:t>9</w:t>
        </w:r>
        <w:r>
          <w:rPr>
            <w:rFonts w:asciiTheme="minorHAnsi" w:eastAsiaTheme="minorEastAsia" w:hAnsiTheme="minorHAnsi"/>
            <w:b w:val="0"/>
            <w:bCs w:val="0"/>
            <w:caps w:val="0"/>
            <w:noProof/>
            <w:sz w:val="22"/>
            <w:szCs w:val="22"/>
            <w:lang w:val="cs-CZ" w:eastAsia="cs-CZ"/>
          </w:rPr>
          <w:tab/>
        </w:r>
        <w:r w:rsidRPr="00C0656A">
          <w:rPr>
            <w:rStyle w:val="Hypertextovodkaz"/>
            <w:noProof/>
          </w:rPr>
          <w:t>SWOT analýza</w:t>
        </w:r>
        <w:r>
          <w:rPr>
            <w:noProof/>
            <w:webHidden/>
          </w:rPr>
          <w:tab/>
        </w:r>
        <w:r>
          <w:rPr>
            <w:noProof/>
            <w:webHidden/>
          </w:rPr>
          <w:fldChar w:fldCharType="begin"/>
        </w:r>
        <w:r>
          <w:rPr>
            <w:noProof/>
            <w:webHidden/>
          </w:rPr>
          <w:instrText xml:space="preserve"> PAGEREF _Toc94181688 \h </w:instrText>
        </w:r>
        <w:r>
          <w:rPr>
            <w:noProof/>
            <w:webHidden/>
          </w:rPr>
        </w:r>
        <w:r>
          <w:rPr>
            <w:noProof/>
            <w:webHidden/>
          </w:rPr>
          <w:fldChar w:fldCharType="separate"/>
        </w:r>
        <w:r>
          <w:rPr>
            <w:noProof/>
            <w:webHidden/>
          </w:rPr>
          <w:t>126</w:t>
        </w:r>
        <w:r>
          <w:rPr>
            <w:noProof/>
            <w:webHidden/>
          </w:rPr>
          <w:fldChar w:fldCharType="end"/>
        </w:r>
      </w:hyperlink>
    </w:p>
    <w:p w14:paraId="2A36CD66" w14:textId="6C6CB000" w:rsidR="00315A11" w:rsidRDefault="00315A11">
      <w:pPr>
        <w:pStyle w:val="Obsah1"/>
        <w:tabs>
          <w:tab w:val="right" w:leader="dot" w:pos="9062"/>
        </w:tabs>
        <w:rPr>
          <w:rFonts w:asciiTheme="minorHAnsi" w:eastAsiaTheme="minorEastAsia" w:hAnsiTheme="minorHAnsi"/>
          <w:b w:val="0"/>
          <w:bCs w:val="0"/>
          <w:caps w:val="0"/>
          <w:noProof/>
          <w:sz w:val="22"/>
          <w:szCs w:val="22"/>
          <w:lang w:val="cs-CZ" w:eastAsia="cs-CZ"/>
        </w:rPr>
      </w:pPr>
      <w:hyperlink w:anchor="_Toc94181689" w:history="1">
        <w:r w:rsidRPr="00C0656A">
          <w:rPr>
            <w:rStyle w:val="Hypertextovodkaz"/>
            <w:noProof/>
          </w:rPr>
          <w:t>Reference</w:t>
        </w:r>
        <w:r>
          <w:rPr>
            <w:noProof/>
            <w:webHidden/>
          </w:rPr>
          <w:tab/>
        </w:r>
        <w:r>
          <w:rPr>
            <w:noProof/>
            <w:webHidden/>
          </w:rPr>
          <w:fldChar w:fldCharType="begin"/>
        </w:r>
        <w:r>
          <w:rPr>
            <w:noProof/>
            <w:webHidden/>
          </w:rPr>
          <w:instrText xml:space="preserve"> PAGEREF _Toc94181689 \h </w:instrText>
        </w:r>
        <w:r>
          <w:rPr>
            <w:noProof/>
            <w:webHidden/>
          </w:rPr>
        </w:r>
        <w:r>
          <w:rPr>
            <w:noProof/>
            <w:webHidden/>
          </w:rPr>
          <w:fldChar w:fldCharType="separate"/>
        </w:r>
        <w:r>
          <w:rPr>
            <w:noProof/>
            <w:webHidden/>
          </w:rPr>
          <w:t>134</w:t>
        </w:r>
        <w:r>
          <w:rPr>
            <w:noProof/>
            <w:webHidden/>
          </w:rPr>
          <w:fldChar w:fldCharType="end"/>
        </w:r>
      </w:hyperlink>
    </w:p>
    <w:p w14:paraId="13728AD0" w14:textId="62714F0B" w:rsidR="00315A11" w:rsidRDefault="00315A11">
      <w:pPr>
        <w:pStyle w:val="Obsah1"/>
        <w:tabs>
          <w:tab w:val="right" w:leader="dot" w:pos="9062"/>
        </w:tabs>
        <w:rPr>
          <w:rFonts w:asciiTheme="minorHAnsi" w:eastAsiaTheme="minorEastAsia" w:hAnsiTheme="minorHAnsi"/>
          <w:b w:val="0"/>
          <w:bCs w:val="0"/>
          <w:caps w:val="0"/>
          <w:noProof/>
          <w:sz w:val="22"/>
          <w:szCs w:val="22"/>
          <w:lang w:val="cs-CZ" w:eastAsia="cs-CZ"/>
        </w:rPr>
      </w:pPr>
      <w:hyperlink w:anchor="_Toc94181690" w:history="1">
        <w:r w:rsidRPr="00C0656A">
          <w:rPr>
            <w:rStyle w:val="Hypertextovodkaz"/>
            <w:noProof/>
          </w:rPr>
          <w:t>Přílohy</w:t>
        </w:r>
        <w:r>
          <w:rPr>
            <w:noProof/>
            <w:webHidden/>
          </w:rPr>
          <w:tab/>
        </w:r>
        <w:r>
          <w:rPr>
            <w:noProof/>
            <w:webHidden/>
          </w:rPr>
          <w:fldChar w:fldCharType="begin"/>
        </w:r>
        <w:r>
          <w:rPr>
            <w:noProof/>
            <w:webHidden/>
          </w:rPr>
          <w:instrText xml:space="preserve"> PAGEREF _Toc94181690 \h </w:instrText>
        </w:r>
        <w:r>
          <w:rPr>
            <w:noProof/>
            <w:webHidden/>
          </w:rPr>
        </w:r>
        <w:r>
          <w:rPr>
            <w:noProof/>
            <w:webHidden/>
          </w:rPr>
          <w:fldChar w:fldCharType="separate"/>
        </w:r>
        <w:r>
          <w:rPr>
            <w:noProof/>
            <w:webHidden/>
          </w:rPr>
          <w:t>140</w:t>
        </w:r>
        <w:r>
          <w:rPr>
            <w:noProof/>
            <w:webHidden/>
          </w:rPr>
          <w:fldChar w:fldCharType="end"/>
        </w:r>
      </w:hyperlink>
    </w:p>
    <w:p w14:paraId="2C440F5A" w14:textId="65F28877" w:rsidR="00315A11" w:rsidRDefault="00315A11">
      <w:pPr>
        <w:pStyle w:val="Obsah4"/>
        <w:rPr>
          <w:rFonts w:asciiTheme="minorHAnsi" w:eastAsiaTheme="minorEastAsia" w:hAnsiTheme="minorHAnsi"/>
          <w:noProof/>
          <w:sz w:val="22"/>
          <w:szCs w:val="22"/>
          <w:lang w:val="cs-CZ" w:eastAsia="cs-CZ"/>
        </w:rPr>
      </w:pPr>
      <w:hyperlink w:anchor="_Toc94181691" w:history="1">
        <w:r w:rsidRPr="00C0656A">
          <w:rPr>
            <w:rStyle w:val="Hypertextovodkaz"/>
            <w:noProof/>
          </w:rPr>
          <w:t>Příloha 1 ANALÝZA SITUACE PODLE TEMATICKÝCH OBLASTÍ (KLIMA)</w:t>
        </w:r>
        <w:r>
          <w:rPr>
            <w:noProof/>
            <w:webHidden/>
          </w:rPr>
          <w:tab/>
        </w:r>
        <w:r>
          <w:rPr>
            <w:noProof/>
            <w:webHidden/>
          </w:rPr>
          <w:fldChar w:fldCharType="begin"/>
        </w:r>
        <w:r>
          <w:rPr>
            <w:noProof/>
            <w:webHidden/>
          </w:rPr>
          <w:instrText xml:space="preserve"> PAGEREF _Toc94181691 \h </w:instrText>
        </w:r>
        <w:r>
          <w:rPr>
            <w:noProof/>
            <w:webHidden/>
          </w:rPr>
        </w:r>
        <w:r>
          <w:rPr>
            <w:noProof/>
            <w:webHidden/>
          </w:rPr>
          <w:fldChar w:fldCharType="separate"/>
        </w:r>
        <w:r>
          <w:rPr>
            <w:noProof/>
            <w:webHidden/>
          </w:rPr>
          <w:t>140</w:t>
        </w:r>
        <w:r>
          <w:rPr>
            <w:noProof/>
            <w:webHidden/>
          </w:rPr>
          <w:fldChar w:fldCharType="end"/>
        </w:r>
      </w:hyperlink>
    </w:p>
    <w:p w14:paraId="09BF44F9" w14:textId="63066AA8" w:rsidR="006F7C38" w:rsidRDefault="00EF108C" w:rsidP="00381FCE">
      <w:pPr>
        <w:pStyle w:val="Obsah2"/>
      </w:pPr>
      <w:r>
        <w:fldChar w:fldCharType="end"/>
      </w:r>
    </w:p>
    <w:p w14:paraId="21B9167E" w14:textId="10590D54" w:rsidR="00021B81" w:rsidRDefault="00021B81" w:rsidP="006F7C38">
      <w:pPr>
        <w:pStyle w:val="UZEINormaln"/>
        <w:rPr>
          <w:b/>
          <w:bCs/>
          <w:sz w:val="28"/>
          <w:szCs w:val="28"/>
        </w:rPr>
      </w:pPr>
    </w:p>
    <w:p w14:paraId="4360F714" w14:textId="680B87CF" w:rsidR="00021B81" w:rsidRDefault="00021B81" w:rsidP="006F7C38">
      <w:pPr>
        <w:pStyle w:val="UZEINormaln"/>
        <w:rPr>
          <w:b/>
          <w:bCs/>
          <w:sz w:val="28"/>
          <w:szCs w:val="28"/>
        </w:rPr>
      </w:pPr>
    </w:p>
    <w:p w14:paraId="1D65FAE6" w14:textId="07CE99FF" w:rsidR="00021B81" w:rsidRDefault="00021B81" w:rsidP="006F7C38">
      <w:pPr>
        <w:pStyle w:val="UZEINormaln"/>
        <w:rPr>
          <w:b/>
          <w:bCs/>
          <w:sz w:val="28"/>
          <w:szCs w:val="28"/>
        </w:rPr>
      </w:pPr>
    </w:p>
    <w:p w14:paraId="1BF68662" w14:textId="776128A5" w:rsidR="00021B81" w:rsidRDefault="00021B81" w:rsidP="006F7C38">
      <w:pPr>
        <w:pStyle w:val="UZEINormaln"/>
        <w:rPr>
          <w:b/>
          <w:bCs/>
          <w:sz w:val="28"/>
          <w:szCs w:val="28"/>
        </w:rPr>
      </w:pPr>
    </w:p>
    <w:p w14:paraId="65613AF3" w14:textId="5F69FD7A" w:rsidR="00021B81" w:rsidRDefault="00021B81" w:rsidP="006F7C38">
      <w:pPr>
        <w:pStyle w:val="UZEINormaln"/>
        <w:rPr>
          <w:b/>
          <w:bCs/>
          <w:sz w:val="28"/>
          <w:szCs w:val="28"/>
        </w:rPr>
      </w:pPr>
    </w:p>
    <w:p w14:paraId="002E2BD5" w14:textId="4559D244" w:rsidR="00021B81" w:rsidRDefault="00021B81" w:rsidP="006F7C38">
      <w:pPr>
        <w:pStyle w:val="UZEINormaln"/>
        <w:rPr>
          <w:b/>
          <w:bCs/>
          <w:sz w:val="28"/>
          <w:szCs w:val="28"/>
        </w:rPr>
      </w:pPr>
    </w:p>
    <w:p w14:paraId="21E458D1" w14:textId="4C13335B" w:rsidR="00021B81" w:rsidRDefault="00021B81">
      <w:pPr>
        <w:spacing w:after="160" w:line="259" w:lineRule="auto"/>
        <w:jc w:val="left"/>
        <w:rPr>
          <w:rFonts w:eastAsia="Times New Roman" w:cstheme="minorHAnsi"/>
          <w:b/>
          <w:bCs/>
          <w:sz w:val="28"/>
          <w:szCs w:val="28"/>
          <w:lang w:val="cs-CZ" w:eastAsia="cs-CZ"/>
        </w:rPr>
      </w:pPr>
      <w:r>
        <w:rPr>
          <w:b/>
          <w:bCs/>
          <w:sz w:val="28"/>
          <w:szCs w:val="28"/>
        </w:rPr>
        <w:br w:type="page"/>
      </w:r>
    </w:p>
    <w:p w14:paraId="17A602A1" w14:textId="77777777" w:rsidR="00021B81" w:rsidRDefault="00021B81" w:rsidP="006F7C38">
      <w:pPr>
        <w:pStyle w:val="UZEINormaln"/>
        <w:rPr>
          <w:b/>
          <w:bCs/>
          <w:sz w:val="28"/>
          <w:szCs w:val="28"/>
        </w:rPr>
      </w:pPr>
    </w:p>
    <w:p w14:paraId="3B1F48DB" w14:textId="5D34ED65" w:rsidR="003E0F58" w:rsidRPr="00021B81" w:rsidRDefault="003E0F58" w:rsidP="00021B81">
      <w:pPr>
        <w:pStyle w:val="Nadpis1"/>
      </w:pPr>
      <w:bookmarkStart w:id="126" w:name="_Toc521315958"/>
      <w:bookmarkStart w:id="127" w:name="_Ref522274102"/>
      <w:bookmarkStart w:id="128" w:name="_Toc522523035"/>
      <w:bookmarkStart w:id="129" w:name="_Toc523143772"/>
      <w:bookmarkStart w:id="130" w:name="_Toc523146689"/>
      <w:bookmarkStart w:id="131" w:name="_Toc7429643"/>
      <w:bookmarkStart w:id="132" w:name="_Toc7429845"/>
      <w:bookmarkStart w:id="133" w:name="_Toc7430776"/>
      <w:bookmarkStart w:id="134" w:name="_Toc7432028"/>
      <w:bookmarkStart w:id="135" w:name="_Toc9611296"/>
      <w:bookmarkStart w:id="136" w:name="_Toc23326651"/>
      <w:bookmarkStart w:id="137" w:name="_Toc23327258"/>
      <w:bookmarkStart w:id="138" w:name="_Toc77245891"/>
      <w:bookmarkStart w:id="139" w:name="_Toc81343096"/>
      <w:bookmarkStart w:id="140" w:name="_Toc81343159"/>
      <w:bookmarkStart w:id="141" w:name="_Toc81343228"/>
      <w:bookmarkStart w:id="142" w:name="_Toc94181678"/>
      <w:r w:rsidRPr="00021B81">
        <w:t>Analýza stávajících/navrhovaných právních předpisů EK/ČR a pravděpodobné nastavení směrů a cílů SZP</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3A3AD858" w14:textId="77777777" w:rsidR="003E0F58" w:rsidRPr="007C705C" w:rsidRDefault="003E0F58" w:rsidP="00AE4B79">
      <w:pPr>
        <w:pStyle w:val="UZEINormaln"/>
        <w:rPr>
          <w:rFonts w:eastAsiaTheme="minorEastAsia" w:cs="Times New Roman"/>
          <w:b/>
          <w:bCs/>
        </w:rPr>
      </w:pPr>
      <w:r w:rsidRPr="007C705C">
        <w:rPr>
          <w:rFonts w:eastAsiaTheme="minorEastAsia" w:cs="Times New Roman"/>
          <w:b/>
          <w:bCs/>
        </w:rPr>
        <w:t>KLIMA:</w:t>
      </w:r>
    </w:p>
    <w:p w14:paraId="7E8A7930" w14:textId="77777777" w:rsidR="003E0F58" w:rsidRPr="007C705C" w:rsidRDefault="003E0F58" w:rsidP="00397B18">
      <w:pPr>
        <w:pStyle w:val="UZEINormaln"/>
        <w:rPr>
          <w:rFonts w:eastAsiaTheme="minorEastAsia" w:cs="Times New Roman"/>
          <w:b/>
          <w:bCs/>
          <w:u w:val="single"/>
        </w:rPr>
      </w:pPr>
      <w:r w:rsidRPr="007C705C">
        <w:rPr>
          <w:rFonts w:eastAsiaTheme="minorEastAsia" w:cs="Times New Roman"/>
          <w:b/>
          <w:bCs/>
          <w:u w:val="single"/>
        </w:rPr>
        <w:t xml:space="preserve">Dokumenty </w:t>
      </w:r>
    </w:p>
    <w:p w14:paraId="215822BF" w14:textId="77777777" w:rsidR="003E0F58" w:rsidRPr="007C705C" w:rsidRDefault="003E0F58" w:rsidP="008A1AE3">
      <w:pPr>
        <w:pStyle w:val="Odstavecseseznamem"/>
        <w:numPr>
          <w:ilvl w:val="0"/>
          <w:numId w:val="34"/>
        </w:numPr>
        <w:spacing w:before="60" w:line="360" w:lineRule="atLeast"/>
      </w:pPr>
      <w:r w:rsidRPr="007C705C">
        <w:t>Právní předpisy ČR</w:t>
      </w:r>
    </w:p>
    <w:p w14:paraId="4D39BA0D" w14:textId="77777777" w:rsidR="003E0F58" w:rsidRPr="007C705C" w:rsidRDefault="003E0F58" w:rsidP="003E0F58">
      <w:pPr>
        <w:pStyle w:val="Odstavecseseznamem"/>
      </w:pPr>
      <w:r w:rsidRPr="007C705C">
        <w:t>Zákon č. 254/2001 Sb., o vodách a o změně některých zákonů (vodní zákon), § 33</w:t>
      </w:r>
    </w:p>
    <w:p w14:paraId="3AA35532" w14:textId="77777777" w:rsidR="003E0F58" w:rsidRPr="007C705C" w:rsidRDefault="003E0F58" w:rsidP="003E0F58">
      <w:pPr>
        <w:pStyle w:val="Odstavecseseznamem"/>
      </w:pPr>
      <w:r w:rsidRPr="007C705C">
        <w:t>Vyhláška č. 377/2013 Sb., o skladování a způsobu používání hnojiv</w:t>
      </w:r>
    </w:p>
    <w:p w14:paraId="27083C27" w14:textId="77777777" w:rsidR="003E0F58" w:rsidRPr="007C705C" w:rsidRDefault="003E0F58" w:rsidP="003E0F58">
      <w:pPr>
        <w:pStyle w:val="Odstavecseseznamem"/>
      </w:pPr>
      <w:r w:rsidRPr="007C705C">
        <w:t>Zákon č. 156/1998 Sb., o hnojivech, pomocných půdních látkách, pomocných rostlinných přípravcích a substrátech a o agrochemickém zkoušení zemědělských půd (zákon o hnojivech) , ve znění pozdějších předpisů</w:t>
      </w:r>
    </w:p>
    <w:p w14:paraId="01F8679C" w14:textId="77777777" w:rsidR="003E0F58" w:rsidRPr="007C705C" w:rsidRDefault="003E0F58" w:rsidP="003E0F58">
      <w:pPr>
        <w:pStyle w:val="Odstavecseseznamem"/>
      </w:pPr>
      <w:r w:rsidRPr="007C705C">
        <w:t>Zákon č. 180/2005 Sb., o podpoře výroby elektřiny z obnovitelných zdrojů</w:t>
      </w:r>
    </w:p>
    <w:p w14:paraId="31AB6B11" w14:textId="77777777" w:rsidR="003E0F58" w:rsidRPr="007C705C" w:rsidRDefault="003E0F58" w:rsidP="003E0F58">
      <w:pPr>
        <w:pStyle w:val="Odstavecseseznamem"/>
      </w:pPr>
      <w:r w:rsidRPr="007C705C">
        <w:t>Zákon č. 165/2012 Sb., o podporovaných zdrojích energie</w:t>
      </w:r>
    </w:p>
    <w:p w14:paraId="18374924" w14:textId="77777777" w:rsidR="003E0F58" w:rsidRPr="007C705C" w:rsidRDefault="003E0F58" w:rsidP="003E0F58">
      <w:pPr>
        <w:pStyle w:val="Odstavecseseznamem"/>
      </w:pPr>
      <w:r w:rsidRPr="007C705C">
        <w:t>Zákon č. 406/2000 Sb., o hospodaření energií, ve znění pozdějších předpisů,</w:t>
      </w:r>
    </w:p>
    <w:p w14:paraId="1BFDAC04" w14:textId="77777777" w:rsidR="003E0F58" w:rsidRPr="007C705C" w:rsidRDefault="003E0F58" w:rsidP="003E0F58">
      <w:pPr>
        <w:pStyle w:val="Odstavecseseznamem"/>
      </w:pPr>
      <w:r w:rsidRPr="007C705C">
        <w:t>Zákon č. 458/2000 Sb. o podmínkách podnikání a o výkonu státní správy v energetických odvětvích a o změně některých zákonů, ve znění pozdějších předpisů (energetický zákon)</w:t>
      </w:r>
    </w:p>
    <w:p w14:paraId="6DBCE94C" w14:textId="77777777" w:rsidR="003E0F58" w:rsidRPr="007C705C" w:rsidRDefault="003E0F58" w:rsidP="003E0F58">
      <w:pPr>
        <w:pStyle w:val="Odstavecseseznamem"/>
      </w:pPr>
      <w:r w:rsidRPr="007C705C">
        <w:t>Zákon č. 299/2017 Sb. o rostlinolékařské péči</w:t>
      </w:r>
    </w:p>
    <w:p w14:paraId="034EEC45" w14:textId="52251115" w:rsidR="003E0F58" w:rsidRDefault="003E0F58" w:rsidP="003E0F58">
      <w:pPr>
        <w:pStyle w:val="Odstavecseseznamem"/>
      </w:pPr>
      <w:r w:rsidRPr="007C705C">
        <w:t>Nařízení vlády č. 262/2012 Sb., o stanovení zranitelných oblastí a akčním programu, ve znění pozdějších předpisů</w:t>
      </w:r>
    </w:p>
    <w:p w14:paraId="730D3ADA" w14:textId="79FBE10E" w:rsidR="00CE05AE" w:rsidRDefault="003C0166" w:rsidP="003E0F58">
      <w:pPr>
        <w:pStyle w:val="Odstavecseseznamem"/>
      </w:pPr>
      <w:r>
        <w:t>Z</w:t>
      </w:r>
      <w:r w:rsidRPr="003C0166">
        <w:t>ákon č. 201/2012 Sb., o ochraně ovzduší</w:t>
      </w:r>
    </w:p>
    <w:p w14:paraId="45114A53" w14:textId="77777777" w:rsidR="00751773" w:rsidRPr="00751773" w:rsidRDefault="00751773" w:rsidP="00751773">
      <w:pPr>
        <w:pStyle w:val="Odstavecseseznamem"/>
      </w:pPr>
      <w:r w:rsidRPr="00751773">
        <w:t>Zákon č. 25/2008 Sb., o integrovaném registru znečišťování životního prostředí a integrovaném systému plnění ohlašovacích povinností v oblasti životního prostředí a o změně některých zákonů, ve znění pozdějších předpisů</w:t>
      </w:r>
    </w:p>
    <w:p w14:paraId="435D2506" w14:textId="77777777" w:rsidR="00751773" w:rsidRPr="00751773" w:rsidRDefault="00751773" w:rsidP="00751773">
      <w:pPr>
        <w:pStyle w:val="Odstavecseseznamem"/>
      </w:pPr>
      <w:r w:rsidRPr="00751773">
        <w:t>Zákon č. 76/2002 Sb. o integrované prevenci a o omezování znečištění, o integrovaném registru znečišťování a o změně některých zákonů (zákon o integrované prevenci)</w:t>
      </w:r>
    </w:p>
    <w:p w14:paraId="72C7F62C" w14:textId="77777777" w:rsidR="00751773" w:rsidRPr="00751773" w:rsidRDefault="00751773" w:rsidP="00751773">
      <w:pPr>
        <w:pStyle w:val="Odstavecseseznamem"/>
      </w:pPr>
      <w:r w:rsidRPr="00751773">
        <w:t>Vyhláška č. 415/2012 Sb., o přípustné úrovni znečišťování a jejím zjišťování a o provedení některých dalších ustanovení zákona o ochraně ovzduší</w:t>
      </w:r>
    </w:p>
    <w:p w14:paraId="7C3BEEFD" w14:textId="77777777" w:rsidR="00751773" w:rsidRPr="00751773" w:rsidRDefault="00751773" w:rsidP="00751773">
      <w:pPr>
        <w:pStyle w:val="Odstavecseseznamem"/>
      </w:pPr>
      <w:r w:rsidRPr="00751773">
        <w:t>Metodický pokyn odboru ochrany ovzduší „k zařazování chovů hospodářských zvířat podle zákona č. 201/2012 Sb. o ochraně ovzduší, k výpočtu emisí znečišťujících látek z těchto stacionárních zdrojů a k seznamu technologií snižujících emise z těchto stacionárních zdrojů“</w:t>
      </w:r>
    </w:p>
    <w:p w14:paraId="224C6D9A" w14:textId="77777777" w:rsidR="00751773" w:rsidRPr="00751773" w:rsidRDefault="00751773" w:rsidP="00751773">
      <w:pPr>
        <w:pStyle w:val="Odstavecseseznamem"/>
      </w:pPr>
      <w:r w:rsidRPr="00751773">
        <w:t>Národní program snižování emisí České republiky (NPSE)</w:t>
      </w:r>
    </w:p>
    <w:p w14:paraId="69157300" w14:textId="77777777" w:rsidR="00751773" w:rsidRPr="00751773" w:rsidRDefault="00751773" w:rsidP="00751773">
      <w:pPr>
        <w:pStyle w:val="Odstavecseseznamem"/>
      </w:pPr>
      <w:r w:rsidRPr="00751773">
        <w:t>National Greenhouse Gas Inventory Report Of The Czech Republic</w:t>
      </w:r>
    </w:p>
    <w:p w14:paraId="76E9C0D5" w14:textId="6E3F0B9A" w:rsidR="00751773" w:rsidRDefault="00751773" w:rsidP="00751773">
      <w:pPr>
        <w:pStyle w:val="Odstavecseseznamem"/>
      </w:pPr>
      <w:r w:rsidRPr="00751773">
        <w:t>Programy zlepšování kvality ovzduší pro oblasti s překročenými imisními limity</w:t>
      </w:r>
    </w:p>
    <w:p w14:paraId="03ACFEEC" w14:textId="6B1476FF" w:rsidR="00763CE2" w:rsidRPr="00751773" w:rsidRDefault="00763CE2" w:rsidP="00751773">
      <w:pPr>
        <w:pStyle w:val="Odstavecseseznamem"/>
      </w:pPr>
      <w:r w:rsidRPr="00763CE2">
        <w:t>Vnitrostátní plán České republiky v oblasti energetiky a klimatu</w:t>
      </w:r>
    </w:p>
    <w:p w14:paraId="05CAB6A9" w14:textId="77777777" w:rsidR="003E0F58" w:rsidRPr="007C705C" w:rsidRDefault="003E0F58" w:rsidP="003E0F58">
      <w:pPr>
        <w:rPr>
          <w:rFonts w:eastAsiaTheme="minorEastAsia" w:cs="Times New Roman"/>
          <w:lang w:val="cs-CZ"/>
        </w:rPr>
      </w:pPr>
      <w:r w:rsidRPr="007C705C">
        <w:rPr>
          <w:rFonts w:eastAsiaTheme="minorEastAsia" w:cs="Times New Roman"/>
          <w:lang w:val="cs-CZ"/>
        </w:rPr>
        <w:tab/>
      </w:r>
    </w:p>
    <w:p w14:paraId="4CCE2F96" w14:textId="77777777" w:rsidR="003E0F58" w:rsidRPr="007C705C" w:rsidRDefault="003E0F58" w:rsidP="008A1AE3">
      <w:pPr>
        <w:pStyle w:val="Odstavecseseznamem"/>
        <w:numPr>
          <w:ilvl w:val="0"/>
          <w:numId w:val="34"/>
        </w:numPr>
        <w:spacing w:before="60" w:line="360" w:lineRule="atLeast"/>
        <w:rPr>
          <w:rFonts w:eastAsiaTheme="minorEastAsia"/>
        </w:rPr>
      </w:pPr>
      <w:r w:rsidRPr="007C705C">
        <w:rPr>
          <w:rFonts w:eastAsiaTheme="minorEastAsia"/>
        </w:rPr>
        <w:t xml:space="preserve">Mezinárodní právo </w:t>
      </w:r>
    </w:p>
    <w:p w14:paraId="1D047530" w14:textId="77777777" w:rsidR="003E0F58" w:rsidRPr="007C705C" w:rsidRDefault="003E0F58" w:rsidP="003E0F58">
      <w:pPr>
        <w:pStyle w:val="Odstavecseseznamem"/>
        <w:rPr>
          <w:rFonts w:eastAsiaTheme="minorEastAsia"/>
        </w:rPr>
      </w:pPr>
      <w:r w:rsidRPr="007C705C">
        <w:rPr>
          <w:rFonts w:eastAsiaTheme="minorEastAsia"/>
        </w:rPr>
        <w:t>Nařízení Evropského parlamentu a Rady z 1. 6. 2018, 392/2018 (zejména čl. 6 odst.1 písm. d) a f), články 28, 65, 68, 70.</w:t>
      </w:r>
    </w:p>
    <w:p w14:paraId="4F10659D" w14:textId="77777777" w:rsidR="003E0F58" w:rsidRPr="007C705C" w:rsidRDefault="003E0F58" w:rsidP="003E0F58">
      <w:pPr>
        <w:pStyle w:val="Odstavecseseznamem"/>
        <w:rPr>
          <w:rFonts w:eastAsiaTheme="minorEastAsia"/>
        </w:rPr>
      </w:pPr>
      <w:r w:rsidRPr="007C705C">
        <w:rPr>
          <w:rFonts w:eastAsiaTheme="minorEastAsia"/>
        </w:rPr>
        <w:t>Směrnice Rady 91/676/EHS o ochraně vod před znečištěním dusičnany ze zemědělských zdrojů</w:t>
      </w:r>
    </w:p>
    <w:p w14:paraId="43171432" w14:textId="77777777" w:rsidR="003E0F58" w:rsidRPr="007C705C" w:rsidRDefault="003E0F58" w:rsidP="003E0F58">
      <w:pPr>
        <w:pStyle w:val="Odstavecseseznamem"/>
        <w:rPr>
          <w:rFonts w:eastAsiaTheme="minorEastAsia"/>
        </w:rPr>
      </w:pPr>
      <w:r w:rsidRPr="007C705C">
        <w:rPr>
          <w:rFonts w:eastAsiaTheme="minorEastAsia"/>
        </w:rPr>
        <w:lastRenderedPageBreak/>
        <w:t>Zelená kniha o ochraně lesů v Evropě a souvisejících informacích v EU – příprava lesů na klimatickou změnu.</w:t>
      </w:r>
    </w:p>
    <w:p w14:paraId="676EAC09" w14:textId="77777777" w:rsidR="003E0F58" w:rsidRPr="007C705C" w:rsidRDefault="003E0F58" w:rsidP="003E0F58">
      <w:pPr>
        <w:pStyle w:val="Odstavecseseznamem"/>
        <w:rPr>
          <w:rFonts w:eastAsiaTheme="minorEastAsia"/>
        </w:rPr>
      </w:pPr>
      <w:r w:rsidRPr="007C705C">
        <w:rPr>
          <w:rFonts w:eastAsiaTheme="minorEastAsia"/>
        </w:rPr>
        <w:t>Nařízení Evropského parlamentu a Rady (ES) č. 1774/2002 ze dne 3. října 2002 o hygienických pravidlech pro vedlejší produkty živočišného původu</w:t>
      </w:r>
    </w:p>
    <w:p w14:paraId="1BCAC85D" w14:textId="77777777" w:rsidR="003E0F58" w:rsidRPr="007C705C" w:rsidRDefault="003E0F58" w:rsidP="003E0F58">
      <w:pPr>
        <w:ind w:firstLine="708"/>
        <w:rPr>
          <w:rFonts w:eastAsiaTheme="minorEastAsia" w:cs="Times New Roman"/>
          <w:lang w:val="cs-CZ"/>
        </w:rPr>
      </w:pPr>
      <w:r w:rsidRPr="007C705C">
        <w:rPr>
          <w:rFonts w:eastAsiaTheme="minorEastAsia" w:cs="Times New Roman"/>
          <w:lang w:val="cs-CZ"/>
        </w:rPr>
        <w:t>National Greenhouse Gas Inventory Report Of The Czech Republic</w:t>
      </w:r>
    </w:p>
    <w:p w14:paraId="4D754B43" w14:textId="77777777" w:rsidR="003E0F58" w:rsidRPr="007C705C" w:rsidRDefault="003E0F58" w:rsidP="003E0F58">
      <w:pPr>
        <w:ind w:firstLine="708"/>
        <w:rPr>
          <w:rFonts w:eastAsiaTheme="minorEastAsia" w:cs="Times New Roman"/>
          <w:lang w:val="cs-CZ"/>
        </w:rPr>
      </w:pPr>
      <w:r w:rsidRPr="007C705C">
        <w:rPr>
          <w:rFonts w:eastAsiaTheme="minorEastAsia" w:cs="Times New Roman"/>
          <w:lang w:val="cs-CZ"/>
        </w:rPr>
        <w:t>Směrnice o podpoře využívání energie z obnovitelných zdrojů (RED I, II)</w:t>
      </w:r>
    </w:p>
    <w:p w14:paraId="27D51B03" w14:textId="77777777" w:rsidR="003E0F58" w:rsidRPr="007C705C" w:rsidRDefault="003E0F58" w:rsidP="003E0F58">
      <w:pPr>
        <w:pStyle w:val="Odstavecseseznamem"/>
        <w:rPr>
          <w:rFonts w:eastAsiaTheme="minorEastAsia"/>
        </w:rPr>
      </w:pPr>
      <w:r w:rsidRPr="007C705C">
        <w:rPr>
          <w:rFonts w:eastAsiaTheme="minorEastAsia"/>
        </w:rPr>
        <w:t>Prováděcí rozhodnutí komise (EU) 2017/302 ze dne 15. února 2017, kterým se stanoví závěry o nejlepších dostupných technikách (BAT) podle směrnice Evropského parlamentu a Rady 2010/75/EU pro intenzivní chov drůbeže nebo prasat (oznámeno pod číslem C (2017) 688)</w:t>
      </w:r>
    </w:p>
    <w:p w14:paraId="357A1B7B" w14:textId="7B111F54" w:rsidR="003E0F58" w:rsidRDefault="003E0F58" w:rsidP="003E0F58">
      <w:pPr>
        <w:pStyle w:val="Odstavecseseznamem"/>
        <w:rPr>
          <w:rFonts w:eastAsiaTheme="minorEastAsia"/>
        </w:rPr>
      </w:pPr>
      <w:r w:rsidRPr="007C705C">
        <w:rPr>
          <w:rFonts w:eastAsiaTheme="minorEastAsia"/>
        </w:rPr>
        <w:t>Směrnice Evropského parlamentu a Rady 2000/60/ES ze dne 23. října 2000, kterou se stanoví rámec pro činnost Společenství v oblasti vodní politiky</w:t>
      </w:r>
    </w:p>
    <w:p w14:paraId="5AEBCDF4" w14:textId="0E654FC3" w:rsidR="009569F4" w:rsidRDefault="009569F4" w:rsidP="003E0F58">
      <w:pPr>
        <w:pStyle w:val="Odstavecseseznamem"/>
        <w:rPr>
          <w:rFonts w:eastAsiaTheme="minorEastAsia"/>
        </w:rPr>
      </w:pPr>
      <w:r>
        <w:rPr>
          <w:rFonts w:eastAsiaTheme="minorEastAsia"/>
        </w:rPr>
        <w:t>N</w:t>
      </w:r>
      <w:r w:rsidRPr="009569F4">
        <w:rPr>
          <w:rFonts w:eastAsiaTheme="minorEastAsia"/>
        </w:rPr>
        <w:t>ařízení Rady a EP (EU) 2018/842 o sdílení úsilí</w:t>
      </w:r>
    </w:p>
    <w:p w14:paraId="5FB1A6F5" w14:textId="589ED832" w:rsidR="00F91191" w:rsidRDefault="00F91191" w:rsidP="003E0F58">
      <w:pPr>
        <w:pStyle w:val="Odstavecseseznamem"/>
        <w:rPr>
          <w:rFonts w:eastAsiaTheme="minorEastAsia"/>
        </w:rPr>
      </w:pPr>
      <w:r>
        <w:rPr>
          <w:rFonts w:eastAsiaTheme="minorEastAsia"/>
        </w:rPr>
        <w:t>N</w:t>
      </w:r>
      <w:r w:rsidRPr="00F91191">
        <w:rPr>
          <w:rFonts w:eastAsiaTheme="minorEastAsia"/>
        </w:rPr>
        <w:t>ařízení EP a Rady (EU) 2018/841 ze dne 30. května 2018 o zahrnutí emisí skleníkových plynů a jejich pohlcování v důsledku využívání půdy, změn ve využívání půdy a lesnictví do rámce politiky v oblasti klimatu a energetiky do roku 2030</w:t>
      </w:r>
      <w:r w:rsidR="00CC28EE">
        <w:rPr>
          <w:rFonts w:eastAsiaTheme="minorEastAsia"/>
        </w:rPr>
        <w:t>¨</w:t>
      </w:r>
    </w:p>
    <w:p w14:paraId="60D8D4F2" w14:textId="7737200B" w:rsidR="00CC28EE" w:rsidRDefault="00CC28EE" w:rsidP="003E0F58">
      <w:pPr>
        <w:pStyle w:val="Odstavecseseznamem"/>
        <w:rPr>
          <w:rFonts w:eastAsiaTheme="minorEastAsia"/>
        </w:rPr>
      </w:pPr>
      <w:r w:rsidRPr="00CC28EE">
        <w:rPr>
          <w:rFonts w:eastAsiaTheme="minorEastAsia"/>
        </w:rPr>
        <w:t>Směrnice EP a Rady (EU) 2016/2284 ze dne 14. prosince 2016 o snížení národních emisí některých látek znečišťujících ovzduší</w:t>
      </w:r>
      <w:r>
        <w:rPr>
          <w:rFonts w:eastAsiaTheme="minorEastAsia"/>
        </w:rPr>
        <w:t>.</w:t>
      </w:r>
    </w:p>
    <w:p w14:paraId="1C84EE2B" w14:textId="77777777" w:rsidR="00751773" w:rsidRPr="00751773" w:rsidRDefault="00751773" w:rsidP="00751773">
      <w:pPr>
        <w:ind w:left="708"/>
        <w:rPr>
          <w:rFonts w:eastAsiaTheme="minorEastAsia" w:cs="Times New Roman"/>
          <w:lang w:val="cs-CZ"/>
        </w:rPr>
      </w:pPr>
      <w:r w:rsidRPr="00751773">
        <w:rPr>
          <w:rFonts w:eastAsiaTheme="minorEastAsia" w:cs="Times New Roman"/>
          <w:lang w:val="cs-CZ"/>
        </w:rPr>
        <w:t>Úmluva o dálkovém znečišťování ovzduší přesahujícím hranice států (Convention on Long-range Transboundary Air Pollution), Ženeva, 1979</w:t>
      </w:r>
    </w:p>
    <w:p w14:paraId="0D2363D3" w14:textId="77777777" w:rsidR="00751773" w:rsidRPr="00751773" w:rsidRDefault="00751773" w:rsidP="00751773">
      <w:pPr>
        <w:ind w:left="708"/>
        <w:rPr>
          <w:rFonts w:eastAsiaTheme="minorEastAsia" w:cs="Times New Roman"/>
          <w:lang w:val="cs-CZ"/>
        </w:rPr>
      </w:pPr>
      <w:r w:rsidRPr="00751773">
        <w:rPr>
          <w:rFonts w:eastAsiaTheme="minorEastAsia" w:cs="Times New Roman"/>
          <w:lang w:val="cs-CZ"/>
        </w:rPr>
        <w:t>Směrnice 2001/81/ES Evropského parlamentu a Rady ze dne 23. října 2001 o národních emisních stropech pro některé látky znečišťující ovzduší</w:t>
      </w:r>
    </w:p>
    <w:p w14:paraId="43B51BFC" w14:textId="77777777" w:rsidR="00751773" w:rsidRPr="00751773" w:rsidRDefault="00751773" w:rsidP="00751773">
      <w:pPr>
        <w:ind w:left="708"/>
        <w:rPr>
          <w:rFonts w:eastAsiaTheme="minorEastAsia" w:cs="Times New Roman"/>
          <w:lang w:val="cs-CZ"/>
        </w:rPr>
      </w:pPr>
      <w:r w:rsidRPr="00751773">
        <w:rPr>
          <w:rFonts w:eastAsiaTheme="minorEastAsia" w:cs="Times New Roman"/>
          <w:lang w:val="cs-CZ"/>
        </w:rPr>
        <w:t>Směrnice Evropského parlamentu a Rady 2008/50/ES ze dne 21. května 2008 o kvalitě vnějšího ovzduší a čistším ovzduší pro Evropu (Air Quality Directive)</w:t>
      </w:r>
    </w:p>
    <w:p w14:paraId="15FF5B01" w14:textId="77777777" w:rsidR="00751773" w:rsidRPr="00751773" w:rsidRDefault="00751773" w:rsidP="00751773">
      <w:pPr>
        <w:ind w:left="708"/>
        <w:rPr>
          <w:rFonts w:eastAsiaTheme="minorEastAsia" w:cs="Times New Roman"/>
          <w:lang w:val="cs-CZ"/>
        </w:rPr>
      </w:pPr>
      <w:r w:rsidRPr="00751773">
        <w:rPr>
          <w:rFonts w:eastAsiaTheme="minorEastAsia" w:cs="Times New Roman"/>
          <w:lang w:val="cs-CZ"/>
        </w:rPr>
        <w:t>Směrnice Evropského parlamentu a Rady 2010/75/EU ze dne 24. listopadu 2010 o průmyslových emisích (integrované prevenci a omezování znečištění) (přepracované znění)</w:t>
      </w:r>
    </w:p>
    <w:p w14:paraId="005301A5" w14:textId="77777777" w:rsidR="00751773" w:rsidRPr="00751773" w:rsidRDefault="00751773" w:rsidP="00751773">
      <w:pPr>
        <w:ind w:left="708"/>
        <w:rPr>
          <w:rFonts w:eastAsiaTheme="minorEastAsia" w:cs="Times New Roman"/>
          <w:lang w:val="cs-CZ"/>
        </w:rPr>
      </w:pPr>
      <w:r w:rsidRPr="00751773">
        <w:rPr>
          <w:rFonts w:eastAsiaTheme="minorEastAsia" w:cs="Times New Roman"/>
          <w:lang w:val="cs-CZ"/>
        </w:rPr>
        <w:t>Protokol k omezování acidifikace, eutrofizace a tvorby přízemního ozonu (Göteborský protokol) k Úmluvě EHK OSN o dálkovém znečišťování ovzduší přesahujícím hranice států, ze dne 30. listopadu 1999</w:t>
      </w:r>
    </w:p>
    <w:p w14:paraId="3A9E34F4" w14:textId="77777777" w:rsidR="00751773" w:rsidRPr="00751773" w:rsidRDefault="00751773" w:rsidP="00751773">
      <w:pPr>
        <w:ind w:left="708"/>
        <w:rPr>
          <w:rFonts w:eastAsiaTheme="minorEastAsia" w:cs="Times New Roman"/>
          <w:lang w:val="cs-CZ"/>
        </w:rPr>
      </w:pPr>
      <w:r w:rsidRPr="00751773">
        <w:rPr>
          <w:rFonts w:eastAsiaTheme="minorEastAsia" w:cs="Times New Roman"/>
          <w:lang w:val="cs-CZ"/>
        </w:rPr>
        <w:t>Rozhodnutí Evropského parlamentu a Rady č. 1386/2013/EU ze dne 20. listopadu 2013 o všeobecném akčním programu Unie pro životní prostředí na období do roku 2020 „Spokojený život v mezích naší planety“</w:t>
      </w:r>
    </w:p>
    <w:p w14:paraId="62625632" w14:textId="77777777" w:rsidR="00751773" w:rsidRPr="00751773" w:rsidRDefault="00751773" w:rsidP="00751773">
      <w:pPr>
        <w:ind w:left="708"/>
        <w:rPr>
          <w:rFonts w:eastAsiaTheme="minorEastAsia" w:cs="Times New Roman"/>
          <w:lang w:val="cs-CZ"/>
        </w:rPr>
      </w:pPr>
      <w:r w:rsidRPr="00751773">
        <w:rPr>
          <w:rFonts w:eastAsiaTheme="minorEastAsia" w:cs="Times New Roman"/>
          <w:lang w:val="cs-CZ"/>
        </w:rPr>
        <w:t>Nařízení Evropského parlamentu a Rady č. 525/2013 o mechanismu monitorování a vykazování emisí skleníkových plynů a podávání dalších informací vztahujících se ke změně klimatu],</w:t>
      </w:r>
    </w:p>
    <w:p w14:paraId="7191A908" w14:textId="77777777" w:rsidR="00751773" w:rsidRPr="00751773" w:rsidRDefault="00751773" w:rsidP="00751773">
      <w:pPr>
        <w:ind w:firstLine="708"/>
        <w:rPr>
          <w:rFonts w:eastAsiaTheme="minorEastAsia" w:cs="Times New Roman"/>
          <w:lang w:val="cs-CZ"/>
        </w:rPr>
      </w:pPr>
      <w:r w:rsidRPr="00751773">
        <w:rPr>
          <w:rFonts w:eastAsiaTheme="minorEastAsia" w:cs="Times New Roman"/>
          <w:lang w:val="cs-CZ"/>
        </w:rPr>
        <w:t>Závěry konference, Pařížská dohoda (prosinec 2015)</w:t>
      </w:r>
    </w:p>
    <w:p w14:paraId="7C0E952F" w14:textId="77777777" w:rsidR="00751773" w:rsidRPr="00751773" w:rsidRDefault="00751773" w:rsidP="00751773">
      <w:pPr>
        <w:ind w:firstLine="708"/>
        <w:rPr>
          <w:rFonts w:eastAsiaTheme="minorEastAsia" w:cs="Times New Roman"/>
          <w:lang w:val="cs-CZ"/>
        </w:rPr>
      </w:pPr>
      <w:r w:rsidRPr="00751773">
        <w:rPr>
          <w:rFonts w:eastAsiaTheme="minorEastAsia" w:cs="Times New Roman"/>
          <w:lang w:val="cs-CZ"/>
        </w:rPr>
        <w:t xml:space="preserve">Nařízení (ES) č. 715/2009, </w:t>
      </w:r>
    </w:p>
    <w:p w14:paraId="567E20E3" w14:textId="77777777" w:rsidR="00751773" w:rsidRPr="00751773" w:rsidRDefault="00751773" w:rsidP="00751773">
      <w:pPr>
        <w:ind w:firstLine="708"/>
        <w:rPr>
          <w:rFonts w:eastAsiaTheme="minorEastAsia" w:cs="Times New Roman"/>
          <w:lang w:val="cs-CZ"/>
        </w:rPr>
      </w:pPr>
      <w:r w:rsidRPr="00751773">
        <w:rPr>
          <w:rFonts w:eastAsiaTheme="minorEastAsia" w:cs="Times New Roman"/>
          <w:lang w:val="cs-CZ"/>
        </w:rPr>
        <w:t xml:space="preserve">Směrnice 2009/73/ES, </w:t>
      </w:r>
    </w:p>
    <w:p w14:paraId="3FC08533" w14:textId="77777777" w:rsidR="00751773" w:rsidRPr="00751773" w:rsidRDefault="00751773" w:rsidP="00751773">
      <w:pPr>
        <w:ind w:firstLine="708"/>
        <w:rPr>
          <w:rFonts w:eastAsiaTheme="minorEastAsia" w:cs="Times New Roman"/>
          <w:lang w:val="cs-CZ"/>
        </w:rPr>
      </w:pPr>
      <w:r w:rsidRPr="00751773">
        <w:rPr>
          <w:rFonts w:eastAsiaTheme="minorEastAsia" w:cs="Times New Roman"/>
          <w:lang w:val="cs-CZ"/>
        </w:rPr>
        <w:t xml:space="preserve">Směrnice Rady 2009/119/ES, </w:t>
      </w:r>
    </w:p>
    <w:p w14:paraId="57C2BC1C" w14:textId="77777777" w:rsidR="00751773" w:rsidRPr="00751773" w:rsidRDefault="00751773" w:rsidP="00751773">
      <w:pPr>
        <w:ind w:firstLine="708"/>
        <w:rPr>
          <w:rFonts w:eastAsiaTheme="minorEastAsia" w:cs="Times New Roman"/>
          <w:lang w:val="cs-CZ"/>
        </w:rPr>
      </w:pPr>
      <w:r w:rsidRPr="00751773">
        <w:rPr>
          <w:rFonts w:eastAsiaTheme="minorEastAsia" w:cs="Times New Roman"/>
          <w:lang w:val="cs-CZ"/>
        </w:rPr>
        <w:t xml:space="preserve">Směrnice 2010/31/EU, </w:t>
      </w:r>
    </w:p>
    <w:p w14:paraId="64B75C0E" w14:textId="77777777" w:rsidR="00751773" w:rsidRPr="00751773" w:rsidRDefault="00751773" w:rsidP="00751773">
      <w:pPr>
        <w:ind w:firstLine="708"/>
        <w:rPr>
          <w:rFonts w:eastAsiaTheme="minorEastAsia" w:cs="Times New Roman"/>
          <w:lang w:val="cs-CZ"/>
        </w:rPr>
      </w:pPr>
      <w:r w:rsidRPr="00751773">
        <w:rPr>
          <w:rFonts w:eastAsiaTheme="minorEastAsia" w:cs="Times New Roman"/>
          <w:lang w:val="cs-CZ"/>
        </w:rPr>
        <w:t xml:space="preserve">Směrnice 2012/27/EU, </w:t>
      </w:r>
    </w:p>
    <w:p w14:paraId="695375C7" w14:textId="77777777" w:rsidR="00751773" w:rsidRPr="00751773" w:rsidRDefault="00751773" w:rsidP="00751773">
      <w:pPr>
        <w:ind w:firstLine="708"/>
        <w:rPr>
          <w:rFonts w:eastAsiaTheme="minorEastAsia" w:cs="Times New Roman"/>
          <w:lang w:val="cs-CZ"/>
        </w:rPr>
      </w:pPr>
      <w:r w:rsidRPr="00751773">
        <w:rPr>
          <w:rFonts w:eastAsiaTheme="minorEastAsia" w:cs="Times New Roman"/>
          <w:lang w:val="cs-CZ"/>
        </w:rPr>
        <w:t xml:space="preserve">Směrnice 2013/30/EU </w:t>
      </w:r>
    </w:p>
    <w:p w14:paraId="41DA3453" w14:textId="77777777" w:rsidR="00751773" w:rsidRPr="00751773" w:rsidRDefault="00751773" w:rsidP="00751773">
      <w:pPr>
        <w:ind w:firstLine="708"/>
        <w:rPr>
          <w:rFonts w:eastAsiaTheme="minorEastAsia" w:cs="Times New Roman"/>
          <w:lang w:val="cs-CZ"/>
        </w:rPr>
      </w:pPr>
      <w:r w:rsidRPr="00751773">
        <w:rPr>
          <w:rFonts w:eastAsiaTheme="minorEastAsia" w:cs="Times New Roman"/>
          <w:lang w:val="cs-CZ"/>
        </w:rPr>
        <w:t xml:space="preserve">Směrnice Rady (EU) 2015/652 a zrušuje nařízení (EU) č. 525/2013], </w:t>
      </w:r>
    </w:p>
    <w:p w14:paraId="6B16369B" w14:textId="77777777" w:rsidR="00751773" w:rsidRPr="00751773" w:rsidRDefault="00751773" w:rsidP="00751773">
      <w:pPr>
        <w:ind w:left="708"/>
        <w:rPr>
          <w:rFonts w:eastAsiaTheme="minorEastAsia" w:cs="Times New Roman"/>
          <w:lang w:val="cs-CZ"/>
        </w:rPr>
      </w:pPr>
      <w:r w:rsidRPr="00751773">
        <w:rPr>
          <w:rFonts w:eastAsiaTheme="minorEastAsia" w:cs="Times New Roman"/>
          <w:lang w:val="cs-CZ"/>
        </w:rPr>
        <w:t xml:space="preserve">Směrnice Evropského parlamentu a Rady 2009/128/ES ze dne 21. října 2009, kterou se stanoví rámec pro činnost Společenství za účelem dosažení udržitelného používání pesticidů) </w:t>
      </w:r>
    </w:p>
    <w:p w14:paraId="55115F87" w14:textId="77777777" w:rsidR="00F35781" w:rsidRPr="007C705C" w:rsidRDefault="00F35781" w:rsidP="003E0F58">
      <w:pPr>
        <w:pStyle w:val="Odstavecseseznamem"/>
        <w:rPr>
          <w:rFonts w:eastAsiaTheme="minorEastAsia"/>
        </w:rPr>
      </w:pPr>
    </w:p>
    <w:p w14:paraId="287D0BE9" w14:textId="77777777" w:rsidR="003E0F58" w:rsidRPr="007C705C" w:rsidRDefault="003E0F58" w:rsidP="008A1AE3">
      <w:pPr>
        <w:pStyle w:val="Odstavecseseznamem"/>
        <w:numPr>
          <w:ilvl w:val="0"/>
          <w:numId w:val="34"/>
        </w:numPr>
        <w:spacing w:before="60" w:line="360" w:lineRule="atLeast"/>
        <w:rPr>
          <w:rFonts w:eastAsiaTheme="minorEastAsia"/>
        </w:rPr>
      </w:pPr>
      <w:r w:rsidRPr="007C705C">
        <w:rPr>
          <w:rFonts w:eastAsiaTheme="minorEastAsia"/>
        </w:rPr>
        <w:lastRenderedPageBreak/>
        <w:t>Strategie</w:t>
      </w:r>
    </w:p>
    <w:p w14:paraId="603EB565" w14:textId="77777777" w:rsidR="003E0F58" w:rsidRPr="007C705C" w:rsidRDefault="003E0F58" w:rsidP="003E0F58">
      <w:pPr>
        <w:ind w:firstLine="708"/>
        <w:rPr>
          <w:rFonts w:eastAsiaTheme="minorEastAsia" w:cs="Times New Roman"/>
          <w:lang w:val="cs-CZ"/>
        </w:rPr>
      </w:pPr>
      <w:r w:rsidRPr="007C705C">
        <w:rPr>
          <w:rFonts w:eastAsiaTheme="minorEastAsia" w:cs="Times New Roman"/>
          <w:lang w:val="cs-CZ"/>
        </w:rPr>
        <w:t>Politika ochrany klimatu v ČR (MŽP)</w:t>
      </w:r>
    </w:p>
    <w:p w14:paraId="60C1D608" w14:textId="77777777" w:rsidR="003E0F58" w:rsidRPr="007C705C" w:rsidRDefault="003E0F58" w:rsidP="003E0F58">
      <w:pPr>
        <w:ind w:firstLine="708"/>
        <w:rPr>
          <w:rFonts w:eastAsiaTheme="minorEastAsia" w:cs="Times New Roman"/>
          <w:lang w:val="cs-CZ"/>
        </w:rPr>
      </w:pPr>
      <w:r w:rsidRPr="007C705C">
        <w:rPr>
          <w:rFonts w:eastAsiaTheme="minorEastAsia" w:cs="Times New Roman"/>
          <w:lang w:val="cs-CZ"/>
        </w:rPr>
        <w:t>Národní program snižování emisí</w:t>
      </w:r>
    </w:p>
    <w:p w14:paraId="073CD1CB" w14:textId="54AB7AAB" w:rsidR="003E0F58" w:rsidRPr="007C705C" w:rsidRDefault="003E0F58" w:rsidP="003E0F58">
      <w:pPr>
        <w:ind w:firstLine="708"/>
        <w:rPr>
          <w:rFonts w:eastAsiaTheme="minorEastAsia" w:cs="Times New Roman"/>
          <w:lang w:val="cs-CZ"/>
        </w:rPr>
      </w:pPr>
      <w:r w:rsidRPr="007C705C">
        <w:rPr>
          <w:rFonts w:eastAsiaTheme="minorEastAsia" w:cs="Times New Roman"/>
          <w:lang w:val="cs-CZ"/>
        </w:rPr>
        <w:t xml:space="preserve">Strategie resortu </w:t>
      </w:r>
      <w:r w:rsidR="004D2249">
        <w:rPr>
          <w:rFonts w:eastAsiaTheme="minorEastAsia" w:cs="Times New Roman"/>
          <w:lang w:val="cs-CZ"/>
        </w:rPr>
        <w:t xml:space="preserve">Ministerstva </w:t>
      </w:r>
      <w:r w:rsidRPr="007C705C">
        <w:rPr>
          <w:rFonts w:eastAsiaTheme="minorEastAsia" w:cs="Times New Roman"/>
          <w:lang w:val="cs-CZ"/>
        </w:rPr>
        <w:t xml:space="preserve">zemědělství </w:t>
      </w:r>
      <w:r w:rsidR="004D2249">
        <w:rPr>
          <w:rFonts w:eastAsiaTheme="minorEastAsia" w:cs="Times New Roman"/>
          <w:lang w:val="cs-CZ"/>
        </w:rPr>
        <w:t xml:space="preserve">České republiky s výhledem </w:t>
      </w:r>
      <w:r w:rsidRPr="007C705C">
        <w:rPr>
          <w:rFonts w:eastAsiaTheme="minorEastAsia" w:cs="Times New Roman"/>
          <w:lang w:val="cs-CZ"/>
        </w:rPr>
        <w:t>do roku 2030</w:t>
      </w:r>
    </w:p>
    <w:p w14:paraId="434906E7" w14:textId="06A46FF4" w:rsidR="003E0F58" w:rsidRDefault="003E0F58" w:rsidP="003E0F58">
      <w:pPr>
        <w:ind w:left="12" w:firstLine="708"/>
        <w:rPr>
          <w:rFonts w:eastAsiaTheme="minorEastAsia" w:cs="Times New Roman"/>
          <w:lang w:val="cs-CZ"/>
        </w:rPr>
      </w:pPr>
      <w:r w:rsidRPr="007C705C">
        <w:rPr>
          <w:rFonts w:eastAsiaTheme="minorEastAsia" w:cs="Times New Roman"/>
          <w:lang w:val="cs-CZ"/>
        </w:rPr>
        <w:t>Národní akční plán pro obnovitelné zdroje energií</w:t>
      </w:r>
    </w:p>
    <w:p w14:paraId="639AA18F" w14:textId="77777777" w:rsidR="003E0F58" w:rsidRPr="007C705C" w:rsidRDefault="003E0F58" w:rsidP="003E0F58">
      <w:pPr>
        <w:ind w:left="12" w:firstLine="708"/>
        <w:rPr>
          <w:rFonts w:eastAsiaTheme="minorEastAsia" w:cs="Times New Roman"/>
          <w:lang w:val="cs-CZ"/>
        </w:rPr>
      </w:pPr>
      <w:r w:rsidRPr="007C705C">
        <w:rPr>
          <w:rFonts w:eastAsiaTheme="minorEastAsia" w:cs="Times New Roman"/>
          <w:lang w:val="cs-CZ"/>
        </w:rPr>
        <w:t>Národní akční plán energetické účinnosti</w:t>
      </w:r>
    </w:p>
    <w:p w14:paraId="3E34DC64" w14:textId="77777777" w:rsidR="003E0F58" w:rsidRPr="007C705C" w:rsidRDefault="003E0F58" w:rsidP="003E0F58">
      <w:pPr>
        <w:ind w:firstLine="708"/>
        <w:rPr>
          <w:rFonts w:eastAsiaTheme="minorEastAsia" w:cs="Times New Roman"/>
          <w:lang w:val="cs-CZ"/>
        </w:rPr>
      </w:pPr>
      <w:r w:rsidRPr="007C705C">
        <w:rPr>
          <w:rFonts w:eastAsiaTheme="minorEastAsia" w:cs="Times New Roman"/>
          <w:lang w:val="cs-CZ"/>
        </w:rPr>
        <w:t>Návrh vnitrostátního plánu České republiky v oblasti energetiky a klimatu</w:t>
      </w:r>
    </w:p>
    <w:p w14:paraId="0CF7C252" w14:textId="77777777" w:rsidR="003E0F58" w:rsidRPr="007C705C" w:rsidRDefault="003E0F58" w:rsidP="003E0F58">
      <w:pPr>
        <w:ind w:left="12" w:firstLine="708"/>
        <w:rPr>
          <w:rFonts w:eastAsiaTheme="minorEastAsia" w:cs="Times New Roman"/>
          <w:lang w:val="cs-CZ"/>
        </w:rPr>
      </w:pPr>
      <w:r w:rsidRPr="007C705C">
        <w:rPr>
          <w:rFonts w:eastAsiaTheme="minorEastAsia" w:cs="Times New Roman"/>
          <w:lang w:val="cs-CZ"/>
        </w:rPr>
        <w:t>Akční plán pro biomasu na roky 2012–2020</w:t>
      </w:r>
    </w:p>
    <w:p w14:paraId="17E67D09" w14:textId="77777777" w:rsidR="003E0F58" w:rsidRPr="007C705C" w:rsidRDefault="003E0F58" w:rsidP="003E0F58">
      <w:pPr>
        <w:pStyle w:val="Odstavecseseznamem"/>
        <w:rPr>
          <w:rFonts w:eastAsiaTheme="minorEastAsia"/>
        </w:rPr>
      </w:pPr>
      <w:r w:rsidRPr="007C705C">
        <w:rPr>
          <w:rFonts w:eastAsiaTheme="minorEastAsia"/>
        </w:rPr>
        <w:t>Strategie přizpůsobení se změně klimatu v podmínkách České republiky (Usnesení vlády ČR č. 861 ze dne 26. října 2015)</w:t>
      </w:r>
    </w:p>
    <w:p w14:paraId="0057936C" w14:textId="77777777" w:rsidR="003E0F58" w:rsidRPr="007C705C" w:rsidRDefault="003E0F58" w:rsidP="003E0F58">
      <w:pPr>
        <w:pStyle w:val="Odstavecseseznamem"/>
        <w:rPr>
          <w:rFonts w:eastAsiaTheme="minorEastAsia"/>
        </w:rPr>
      </w:pPr>
      <w:r w:rsidRPr="007C705C">
        <w:rPr>
          <w:rFonts w:eastAsiaTheme="minorEastAsia"/>
        </w:rPr>
        <w:t>Národní akční plán adaptace na změnu klimatu: Implementační dokument Strategie přizpůsobení se změně klimatu v podmínkách ČR (2015)</w:t>
      </w:r>
    </w:p>
    <w:p w14:paraId="3ABF3ED9" w14:textId="77777777" w:rsidR="003E0F58" w:rsidRPr="007C705C" w:rsidRDefault="003E0F58" w:rsidP="003E0F58">
      <w:pPr>
        <w:ind w:firstLine="708"/>
        <w:rPr>
          <w:rFonts w:eastAsiaTheme="minorEastAsia" w:cs="Times New Roman"/>
          <w:lang w:val="cs-CZ"/>
        </w:rPr>
      </w:pPr>
      <w:r w:rsidRPr="007C705C">
        <w:rPr>
          <w:rFonts w:eastAsiaTheme="minorEastAsia" w:cs="Times New Roman"/>
          <w:lang w:val="cs-CZ"/>
        </w:rPr>
        <w:t>Generel vodního hospodářství krajiny České republiky</w:t>
      </w:r>
    </w:p>
    <w:p w14:paraId="55DACF8B" w14:textId="77777777" w:rsidR="003E0F58" w:rsidRPr="007C705C" w:rsidRDefault="003E0F58" w:rsidP="003E0F58">
      <w:pPr>
        <w:ind w:firstLine="708"/>
        <w:rPr>
          <w:rFonts w:eastAsiaTheme="minorEastAsia" w:cs="Times New Roman"/>
          <w:lang w:val="cs-CZ"/>
        </w:rPr>
      </w:pPr>
      <w:r w:rsidRPr="007C705C">
        <w:rPr>
          <w:rFonts w:eastAsiaTheme="minorEastAsia" w:cs="Times New Roman"/>
          <w:lang w:val="cs-CZ"/>
        </w:rPr>
        <w:t>Akční plán ČR pro rozvoj ekologického zemědělství</w:t>
      </w:r>
    </w:p>
    <w:p w14:paraId="498DD18D" w14:textId="233821EF" w:rsidR="00751773" w:rsidRPr="00751773" w:rsidRDefault="003E0F58" w:rsidP="00751773">
      <w:pPr>
        <w:ind w:left="708"/>
        <w:rPr>
          <w:rFonts w:eastAsiaTheme="minorEastAsia" w:cs="Times New Roman"/>
          <w:lang w:val="cs-CZ"/>
        </w:rPr>
      </w:pPr>
      <w:r w:rsidRPr="007C705C">
        <w:rPr>
          <w:rFonts w:eastAsiaTheme="minorEastAsia" w:cs="Times New Roman"/>
          <w:lang w:val="cs-CZ"/>
        </w:rPr>
        <w:t>Strategie EU Farm To Fork</w:t>
      </w:r>
      <w:r w:rsidR="00751773">
        <w:rPr>
          <w:rFonts w:eastAsiaTheme="minorEastAsia" w:cs="Times New Roman"/>
          <w:lang w:val="cs-CZ"/>
        </w:rPr>
        <w:t xml:space="preserve"> </w:t>
      </w:r>
      <w:r w:rsidR="00751773" w:rsidRPr="00751773">
        <w:rPr>
          <w:rFonts w:eastAsiaTheme="minorEastAsia" w:cs="Times New Roman"/>
          <w:lang w:val="cs-CZ"/>
        </w:rPr>
        <w:t>–</w:t>
      </w:r>
      <w:r w:rsidR="00751773">
        <w:rPr>
          <w:rFonts w:eastAsiaTheme="minorEastAsia" w:cs="Times New Roman"/>
          <w:lang w:val="cs-CZ"/>
        </w:rPr>
        <w:t xml:space="preserve"> </w:t>
      </w:r>
      <w:r w:rsidR="00751773" w:rsidRPr="00751773">
        <w:rPr>
          <w:rFonts w:eastAsiaTheme="minorEastAsia" w:cs="Times New Roman"/>
          <w:lang w:val="cs-CZ"/>
        </w:rPr>
        <w:t>Strategie „od zemědělce ke spotřebiteli“ pro spravedlivé, zdravé a ekologické potravinové systémy</w:t>
      </w:r>
    </w:p>
    <w:p w14:paraId="2D822D7C" w14:textId="77777777" w:rsidR="00751773" w:rsidRDefault="00751773" w:rsidP="00751773">
      <w:pPr>
        <w:ind w:left="12" w:firstLine="708"/>
        <w:rPr>
          <w:rFonts w:eastAsiaTheme="minorEastAsia" w:cs="Times New Roman"/>
          <w:lang w:val="cs-CZ"/>
        </w:rPr>
      </w:pPr>
      <w:r w:rsidRPr="00751773">
        <w:rPr>
          <w:rFonts w:eastAsiaTheme="minorEastAsia" w:cs="Times New Roman"/>
          <w:lang w:val="cs-CZ"/>
        </w:rPr>
        <w:t>Střednědobá strategie (do roku 2020) zlepšení kvality ovzduší v České republice</w:t>
      </w:r>
    </w:p>
    <w:p w14:paraId="5D2F6798" w14:textId="670E5FE8" w:rsidR="00751773" w:rsidRPr="00751773" w:rsidRDefault="00751773" w:rsidP="00751773">
      <w:pPr>
        <w:ind w:firstLine="720"/>
        <w:rPr>
          <w:rFonts w:eastAsiaTheme="minorEastAsia" w:cs="Times New Roman"/>
          <w:lang w:val="cs-CZ"/>
        </w:rPr>
      </w:pPr>
      <w:r w:rsidRPr="00751773">
        <w:rPr>
          <w:rFonts w:eastAsiaTheme="minorEastAsia" w:cs="Times New Roman"/>
          <w:lang w:val="cs-CZ"/>
        </w:rPr>
        <w:t>Programy zlepšování kvality ovzduší pro oblasti s překročenými imisními limity</w:t>
      </w:r>
    </w:p>
    <w:p w14:paraId="3E347229" w14:textId="77777777" w:rsidR="00751773" w:rsidRPr="007C705C" w:rsidRDefault="00751773" w:rsidP="00751773">
      <w:pPr>
        <w:ind w:left="12" w:firstLine="708"/>
        <w:rPr>
          <w:rFonts w:eastAsiaTheme="minorEastAsia" w:cs="Times New Roman"/>
          <w:lang w:val="cs-CZ"/>
        </w:rPr>
      </w:pPr>
    </w:p>
    <w:p w14:paraId="5A7055EC" w14:textId="77777777" w:rsidR="003E0F58" w:rsidRPr="007C705C" w:rsidRDefault="003E0F58" w:rsidP="008A1AE3">
      <w:pPr>
        <w:pStyle w:val="Odstavecseseznamem"/>
        <w:numPr>
          <w:ilvl w:val="0"/>
          <w:numId w:val="34"/>
        </w:numPr>
        <w:spacing w:before="60" w:line="360" w:lineRule="atLeast"/>
        <w:rPr>
          <w:rFonts w:eastAsiaTheme="minorEastAsia"/>
        </w:rPr>
      </w:pPr>
      <w:r w:rsidRPr="007C705C">
        <w:rPr>
          <w:rFonts w:eastAsiaTheme="minorEastAsia"/>
        </w:rPr>
        <w:t>Dotační programy</w:t>
      </w:r>
    </w:p>
    <w:p w14:paraId="229D24CA" w14:textId="77777777" w:rsidR="003E0F58" w:rsidRPr="007C705C" w:rsidRDefault="003E0F58" w:rsidP="003E0F58">
      <w:pPr>
        <w:ind w:left="708"/>
        <w:rPr>
          <w:rFonts w:eastAsiaTheme="minorEastAsia" w:cs="Times New Roman"/>
          <w:lang w:val="cs-CZ"/>
        </w:rPr>
      </w:pPr>
      <w:r w:rsidRPr="007C705C">
        <w:rPr>
          <w:rFonts w:eastAsiaTheme="minorEastAsia" w:cs="Times New Roman"/>
          <w:lang w:val="cs-CZ"/>
        </w:rPr>
        <w:t>Základní podmínky pro hospodaření: DZES 4, 5 ,6 a 7 (půda a zásoby C), viz nařízení vlády č. 48/ 2017 Sb.</w:t>
      </w:r>
    </w:p>
    <w:p w14:paraId="61DA0E27" w14:textId="77777777" w:rsidR="00DD15F0" w:rsidRDefault="00DD15F0" w:rsidP="00795015">
      <w:pPr>
        <w:pStyle w:val="UZEINormaln"/>
        <w:rPr>
          <w:rFonts w:eastAsiaTheme="minorEastAsia" w:cs="Times New Roman"/>
          <w:b/>
          <w:bCs/>
        </w:rPr>
      </w:pPr>
    </w:p>
    <w:p w14:paraId="01991C00" w14:textId="5123B4C0" w:rsidR="003E0F58" w:rsidRPr="007C705C" w:rsidRDefault="003E0F58" w:rsidP="00795015">
      <w:pPr>
        <w:pStyle w:val="UZEINormaln"/>
        <w:rPr>
          <w:rFonts w:eastAsiaTheme="minorEastAsia" w:cs="Times New Roman"/>
          <w:b/>
          <w:bCs/>
        </w:rPr>
      </w:pPr>
      <w:r w:rsidRPr="007C705C">
        <w:rPr>
          <w:rFonts w:eastAsiaTheme="minorEastAsia" w:cs="Times New Roman"/>
          <w:b/>
          <w:bCs/>
        </w:rPr>
        <w:t>LESY:</w:t>
      </w:r>
    </w:p>
    <w:p w14:paraId="69D3CB78" w14:textId="77777777" w:rsidR="003E0F58" w:rsidRPr="007C705C" w:rsidRDefault="003E0F58" w:rsidP="00795015">
      <w:pPr>
        <w:pStyle w:val="UZEINormaln"/>
        <w:rPr>
          <w:rFonts w:cs="Times New Roman"/>
          <w:noProof/>
        </w:rPr>
      </w:pPr>
      <w:r w:rsidRPr="007C705C">
        <w:rPr>
          <w:rFonts w:cs="Times New Roman"/>
          <w:noProof/>
        </w:rPr>
        <w:t>Zákon č. 252/1997 Sb., o zemědělství,</w:t>
      </w:r>
    </w:p>
    <w:p w14:paraId="7D319F85" w14:textId="77777777" w:rsidR="003E0F58" w:rsidRPr="007C705C" w:rsidRDefault="003E0F58" w:rsidP="00795015">
      <w:pPr>
        <w:pStyle w:val="UZEINormaln"/>
        <w:rPr>
          <w:rFonts w:cs="Times New Roman"/>
          <w:noProof/>
        </w:rPr>
      </w:pPr>
      <w:r w:rsidRPr="007C705C">
        <w:rPr>
          <w:rFonts w:cs="Times New Roman"/>
          <w:noProof/>
        </w:rPr>
        <w:t>Zákon č. 256/2000 Sb., o Státním zemědělském intervenčním fondu,</w:t>
      </w:r>
    </w:p>
    <w:p w14:paraId="73C1B051" w14:textId="77777777" w:rsidR="003E0F58" w:rsidRPr="007C705C" w:rsidRDefault="003E0F58" w:rsidP="00795015">
      <w:pPr>
        <w:pStyle w:val="UZEINormaln"/>
        <w:rPr>
          <w:rFonts w:cs="Times New Roman"/>
          <w:noProof/>
        </w:rPr>
      </w:pPr>
      <w:r w:rsidRPr="007C705C">
        <w:rPr>
          <w:rFonts w:cs="Times New Roman"/>
          <w:noProof/>
        </w:rPr>
        <w:t>Zákon č. 289/1995 Sb., lesní zákon,</w:t>
      </w:r>
    </w:p>
    <w:p w14:paraId="68960F21" w14:textId="77777777" w:rsidR="003E0F58" w:rsidRPr="007C705C" w:rsidRDefault="003E0F58" w:rsidP="00795015">
      <w:pPr>
        <w:pStyle w:val="UZEINormaln"/>
        <w:rPr>
          <w:rFonts w:cs="Times New Roman"/>
          <w:noProof/>
        </w:rPr>
      </w:pPr>
      <w:r w:rsidRPr="007C705C">
        <w:rPr>
          <w:rFonts w:cs="Times New Roman"/>
          <w:noProof/>
        </w:rPr>
        <w:t>Zákon č. 256/2013 Sb., o katastru nemovitostí (katastrální zákon),</w:t>
      </w:r>
    </w:p>
    <w:p w14:paraId="5FCF60FE" w14:textId="77777777" w:rsidR="003E0F58" w:rsidRPr="007C705C" w:rsidRDefault="003E0F58" w:rsidP="00795015">
      <w:pPr>
        <w:pStyle w:val="UZEINormaln"/>
        <w:rPr>
          <w:rFonts w:cs="Times New Roman"/>
          <w:noProof/>
        </w:rPr>
      </w:pPr>
      <w:r w:rsidRPr="007C705C">
        <w:rPr>
          <w:rFonts w:cs="Times New Roman"/>
          <w:noProof/>
        </w:rPr>
        <w:t>Zákon č. 183/2006 Sb., stavební zákon,</w:t>
      </w:r>
    </w:p>
    <w:p w14:paraId="31C8E1B7" w14:textId="77777777" w:rsidR="003E0F58" w:rsidRPr="007C705C" w:rsidRDefault="003E0F58" w:rsidP="00795015">
      <w:pPr>
        <w:pStyle w:val="UZEINormaln"/>
        <w:rPr>
          <w:rFonts w:cs="Times New Roman"/>
          <w:noProof/>
        </w:rPr>
      </w:pPr>
      <w:r w:rsidRPr="007C705C">
        <w:rPr>
          <w:rFonts w:cs="Times New Roman"/>
          <w:noProof/>
        </w:rPr>
        <w:t>Zákon č. 149/2003 Sb., o obchodu s reprodukčním materiálem lesních dřevin,</w:t>
      </w:r>
    </w:p>
    <w:p w14:paraId="02880379" w14:textId="59CEC153" w:rsidR="003E0F58" w:rsidRPr="007C705C" w:rsidRDefault="003E0F58" w:rsidP="00795015">
      <w:pPr>
        <w:pStyle w:val="UZEINormaln"/>
        <w:rPr>
          <w:rFonts w:cs="Times New Roman"/>
          <w:noProof/>
        </w:rPr>
      </w:pPr>
      <w:r w:rsidRPr="007C705C">
        <w:rPr>
          <w:rFonts w:cs="Times New Roman"/>
          <w:noProof/>
        </w:rPr>
        <w:t xml:space="preserve">Zákon č. 254/2001 Sb. </w:t>
      </w:r>
      <w:r w:rsidR="00DD15F0">
        <w:rPr>
          <w:rFonts w:cs="Times New Roman"/>
          <w:noProof/>
        </w:rPr>
        <w:t>v</w:t>
      </w:r>
      <w:r w:rsidRPr="007C705C">
        <w:rPr>
          <w:rFonts w:cs="Times New Roman"/>
          <w:noProof/>
        </w:rPr>
        <w:t>odní zákon</w:t>
      </w:r>
    </w:p>
    <w:p w14:paraId="36F9F234" w14:textId="77777777" w:rsidR="003E0F58" w:rsidRPr="007C705C" w:rsidRDefault="003E0F58" w:rsidP="00795015">
      <w:pPr>
        <w:pStyle w:val="UZEINormaln"/>
        <w:rPr>
          <w:rFonts w:cs="Times New Roman"/>
          <w:noProof/>
        </w:rPr>
      </w:pPr>
      <w:r w:rsidRPr="007C705C">
        <w:rPr>
          <w:rFonts w:cs="Times New Roman"/>
          <w:noProof/>
        </w:rPr>
        <w:t>Zákon č. 326/2004 Sb., o rostlinolékařské péči</w:t>
      </w:r>
    </w:p>
    <w:p w14:paraId="2DCD860B" w14:textId="77777777" w:rsidR="003E0F58" w:rsidRPr="007C705C" w:rsidRDefault="003E0F58" w:rsidP="00795015">
      <w:pPr>
        <w:pStyle w:val="UZEINormaln"/>
        <w:rPr>
          <w:rFonts w:cs="Times New Roman"/>
          <w:noProof/>
        </w:rPr>
      </w:pPr>
      <w:r w:rsidRPr="007C705C">
        <w:rPr>
          <w:rFonts w:cs="Times New Roman"/>
          <w:noProof/>
        </w:rPr>
        <w:t>Zákon č. 114/1992 Sb. o ochraně přírody a krajiny</w:t>
      </w:r>
    </w:p>
    <w:p w14:paraId="409C139C" w14:textId="77777777" w:rsidR="003E0F58" w:rsidRPr="007C705C" w:rsidRDefault="003E0F58" w:rsidP="00795015">
      <w:pPr>
        <w:pStyle w:val="UZEINormaln"/>
        <w:rPr>
          <w:rFonts w:cs="Times New Roman"/>
          <w:noProof/>
        </w:rPr>
      </w:pPr>
      <w:r w:rsidRPr="007C705C">
        <w:rPr>
          <w:rFonts w:cs="Times New Roman"/>
          <w:noProof/>
        </w:rPr>
        <w:t>Nařízení vlády č. 307/2014 Sb., o stanovení podrobností evidence využití půdy podle uživatelských vztahů,</w:t>
      </w:r>
    </w:p>
    <w:p w14:paraId="3EA929AE" w14:textId="77777777" w:rsidR="003E0F58" w:rsidRPr="007C705C" w:rsidRDefault="003E0F58" w:rsidP="00795015">
      <w:pPr>
        <w:pStyle w:val="UZEINormaln"/>
        <w:rPr>
          <w:rFonts w:cs="Times New Roman"/>
          <w:noProof/>
        </w:rPr>
      </w:pPr>
      <w:r w:rsidRPr="007C705C">
        <w:rPr>
          <w:rFonts w:cs="Times New Roman"/>
          <w:noProof/>
        </w:rPr>
        <w:t>Usnesení vlády ČR 861 z 26. 10. 2015 „Strategie přizpůsobení se změně klimatu v podmínkách ČR“</w:t>
      </w:r>
    </w:p>
    <w:p w14:paraId="7AB0C229" w14:textId="77777777" w:rsidR="003E0F58" w:rsidRPr="007C705C" w:rsidRDefault="003E0F58" w:rsidP="00795015">
      <w:pPr>
        <w:pStyle w:val="UZEINormaln"/>
        <w:rPr>
          <w:rFonts w:cs="Times New Roman"/>
          <w:noProof/>
        </w:rPr>
      </w:pPr>
      <w:r w:rsidRPr="007C705C">
        <w:rPr>
          <w:rFonts w:cs="Times New Roman"/>
          <w:noProof/>
        </w:rPr>
        <w:t>Národní akční plán adaptace na změnu klimatu v podmínkách ČR</w:t>
      </w:r>
    </w:p>
    <w:p w14:paraId="6A15A9CF" w14:textId="77777777" w:rsidR="003E0F58" w:rsidRPr="007C705C" w:rsidRDefault="003E0F58" w:rsidP="00795015">
      <w:pPr>
        <w:pStyle w:val="UZEINormaln"/>
        <w:rPr>
          <w:rFonts w:cs="Times New Roman"/>
          <w:noProof/>
        </w:rPr>
      </w:pPr>
      <w:r w:rsidRPr="007C705C">
        <w:rPr>
          <w:rFonts w:cs="Times New Roman"/>
          <w:noProof/>
        </w:rPr>
        <w:t>Vyhláška č. 29/2004 Sb., kterou se provádí zákon č. 149/2003 Sb., o obchodu s reprodukčním materiálem lesních dřevin,</w:t>
      </w:r>
    </w:p>
    <w:p w14:paraId="5C206169" w14:textId="00CAD9F6" w:rsidR="003E0F58" w:rsidRPr="007C705C" w:rsidRDefault="00DD15F0" w:rsidP="00795015">
      <w:pPr>
        <w:pStyle w:val="UZEINormaln"/>
        <w:rPr>
          <w:rFonts w:cs="Times New Roman"/>
          <w:noProof/>
        </w:rPr>
      </w:pPr>
      <w:r>
        <w:rPr>
          <w:rFonts w:cs="Arial"/>
          <w:bCs/>
        </w:rPr>
        <w:t xml:space="preserve">Vyhláška č. 456/2021 Sb., </w:t>
      </w:r>
      <w:r w:rsidRPr="00623518">
        <w:rPr>
          <w:rFonts w:cs="Arial"/>
          <w:bCs/>
        </w:rPr>
        <w:t>o</w:t>
      </w:r>
      <w:r>
        <w:rPr>
          <w:rFonts w:cs="Arial"/>
          <w:bCs/>
        </w:rPr>
        <w:t> </w:t>
      </w:r>
      <w:r w:rsidRPr="00623518">
        <w:rPr>
          <w:rFonts w:cs="Arial"/>
          <w:bCs/>
        </w:rPr>
        <w:t xml:space="preserve">podrobnostech přenosu reprodukčního materiálu lesních dřevin, o evidenci o původu reprodukčního materiálu a podrobnostech o obnově lesních porostů a o </w:t>
      </w:r>
      <w:r w:rsidRPr="00623518">
        <w:rPr>
          <w:rFonts w:cs="Arial"/>
          <w:bCs/>
        </w:rPr>
        <w:lastRenderedPageBreak/>
        <w:t>zalesňování pozemků prohlášených za pozemky určené k plnění funkcí lesa</w:t>
      </w:r>
      <w:r>
        <w:rPr>
          <w:rFonts w:cs="Arial"/>
          <w:bCs/>
        </w:rPr>
        <w:t xml:space="preserve"> (od 1. 1. 2022 nahrazuje </w:t>
      </w:r>
      <w:r w:rsidR="003E0F58" w:rsidRPr="007C705C">
        <w:rPr>
          <w:rFonts w:cs="Times New Roman"/>
          <w:noProof/>
        </w:rPr>
        <w:t>Vyhlášk</w:t>
      </w:r>
      <w:r>
        <w:rPr>
          <w:rFonts w:cs="Times New Roman"/>
          <w:noProof/>
        </w:rPr>
        <w:t>u</w:t>
      </w:r>
      <w:r w:rsidR="003E0F58" w:rsidRPr="007C705C">
        <w:rPr>
          <w:rFonts w:cs="Times New Roman"/>
          <w:noProof/>
        </w:rPr>
        <w:t xml:space="preserve"> č. 139/2004 Sb., kterou se stanoví podrobnosti o přenosu semen a sazenic lesních dřevin, o evidenci o původu reprodukčního materiálu a podrobnosti o obnově lesních porostů a o zalesňování pozemků prohlášených za pozemky určené k plnění funkcí lesa</w:t>
      </w:r>
      <w:r>
        <w:rPr>
          <w:rFonts w:cs="Times New Roman"/>
          <w:noProof/>
        </w:rPr>
        <w:t>)</w:t>
      </w:r>
      <w:r w:rsidR="003E0F58" w:rsidRPr="007C705C">
        <w:rPr>
          <w:rFonts w:cs="Times New Roman"/>
          <w:noProof/>
        </w:rPr>
        <w:t>,</w:t>
      </w:r>
    </w:p>
    <w:p w14:paraId="6145D29B" w14:textId="77777777" w:rsidR="003E0F58" w:rsidRPr="007C705C" w:rsidRDefault="003E0F58" w:rsidP="00795015">
      <w:pPr>
        <w:pStyle w:val="UZEINormaln"/>
        <w:rPr>
          <w:rFonts w:cs="Times New Roman"/>
          <w:noProof/>
        </w:rPr>
      </w:pPr>
      <w:r w:rsidRPr="007C705C">
        <w:rPr>
          <w:rFonts w:cs="Times New Roman"/>
          <w:noProof/>
        </w:rPr>
        <w:t>Vyhláška č. 298/2018 Sb., o zpracování oblastních plánů rozvoje lesů a o vymezení hospodářských souborů,</w:t>
      </w:r>
    </w:p>
    <w:p w14:paraId="4EAD7FDD" w14:textId="77777777" w:rsidR="003E0F58" w:rsidRPr="007C705C" w:rsidRDefault="003E0F58" w:rsidP="00795015">
      <w:pPr>
        <w:pStyle w:val="UZEINormaln"/>
        <w:rPr>
          <w:rFonts w:cs="Times New Roman"/>
          <w:noProof/>
        </w:rPr>
      </w:pPr>
      <w:r w:rsidRPr="007C705C">
        <w:rPr>
          <w:rFonts w:cs="Times New Roman"/>
          <w:noProof/>
        </w:rPr>
        <w:t>Vyhláška č. 84/1996 Sb., o lesním hospodářském plánování,</w:t>
      </w:r>
    </w:p>
    <w:p w14:paraId="710F2F47" w14:textId="77777777" w:rsidR="003E0F58" w:rsidRPr="007C705C" w:rsidRDefault="003E0F58" w:rsidP="00795015">
      <w:pPr>
        <w:pStyle w:val="UZEINormaln"/>
        <w:rPr>
          <w:rFonts w:cs="Times New Roman"/>
          <w:noProof/>
        </w:rPr>
      </w:pPr>
      <w:r w:rsidRPr="007C705C">
        <w:rPr>
          <w:rFonts w:cs="Times New Roman"/>
          <w:noProof/>
        </w:rPr>
        <w:t>Vyhláška č. 101/1996 Sb., kterou se stanoví podrobnosti o opatřeních k ochraně lesa a vzor služebního odznaku a vzor průkazu lesní stráže, v platném znění.</w:t>
      </w:r>
    </w:p>
    <w:p w14:paraId="6E95A981" w14:textId="77777777" w:rsidR="003E0F58" w:rsidRPr="007C705C" w:rsidRDefault="003E0F58" w:rsidP="00795015">
      <w:pPr>
        <w:pStyle w:val="UZEINormaln"/>
        <w:rPr>
          <w:rFonts w:cs="Times New Roman"/>
          <w:noProof/>
        </w:rPr>
      </w:pPr>
      <w:r w:rsidRPr="007C705C">
        <w:rPr>
          <w:rFonts w:cs="Times New Roman"/>
          <w:noProof/>
        </w:rPr>
        <w:t>Nová evropská nařízení k SZP.</w:t>
      </w:r>
    </w:p>
    <w:p w14:paraId="7E94BDA9" w14:textId="77777777" w:rsidR="003E0F58" w:rsidRPr="007C705C" w:rsidRDefault="003E0F58" w:rsidP="00795015">
      <w:pPr>
        <w:pStyle w:val="UZEINormaln"/>
        <w:rPr>
          <w:rFonts w:cs="Times New Roman"/>
          <w:noProof/>
        </w:rPr>
      </w:pPr>
      <w:r w:rsidRPr="007C705C">
        <w:rPr>
          <w:rFonts w:cs="Times New Roman"/>
          <w:noProof/>
        </w:rPr>
        <w:t>Strategie resortu Ministerstva zemědělství České republiky s výhledem do roku 2030</w:t>
      </w:r>
    </w:p>
    <w:p w14:paraId="2B3CE9B7" w14:textId="77777777" w:rsidR="003E0F58" w:rsidRPr="007C705C" w:rsidRDefault="003E0F58" w:rsidP="00795015">
      <w:pPr>
        <w:pStyle w:val="UZEINormaln"/>
        <w:rPr>
          <w:rFonts w:cs="Times New Roman"/>
          <w:noProof/>
        </w:rPr>
      </w:pPr>
      <w:r w:rsidRPr="007C705C">
        <w:rPr>
          <w:rFonts w:cs="Times New Roman"/>
          <w:noProof/>
        </w:rPr>
        <w:t>Strategie přizpůsobení se změně klimatu v podmínkách ČR</w:t>
      </w:r>
    </w:p>
    <w:p w14:paraId="5ADEEBEB" w14:textId="77777777" w:rsidR="003E0F58" w:rsidRPr="007C705C" w:rsidRDefault="003E0F58" w:rsidP="00795015">
      <w:pPr>
        <w:pStyle w:val="UZEINormaln"/>
        <w:rPr>
          <w:rFonts w:cs="Times New Roman"/>
          <w:noProof/>
        </w:rPr>
      </w:pPr>
      <w:r w:rsidRPr="007C705C">
        <w:rPr>
          <w:rFonts w:cs="Times New Roman"/>
          <w:noProof/>
        </w:rPr>
        <w:t>Národní lesnický program pro období do roku 2013</w:t>
      </w:r>
    </w:p>
    <w:p w14:paraId="60F82961" w14:textId="77777777" w:rsidR="003E0F58" w:rsidRPr="007C705C" w:rsidRDefault="003E0F58" w:rsidP="00795015">
      <w:pPr>
        <w:pStyle w:val="UZEINormaln"/>
        <w:rPr>
          <w:rFonts w:eastAsiaTheme="minorEastAsia" w:cs="Times New Roman"/>
        </w:rPr>
      </w:pPr>
      <w:r w:rsidRPr="007C705C">
        <w:rPr>
          <w:rFonts w:eastAsiaTheme="minorEastAsia" w:cs="Times New Roman"/>
        </w:rPr>
        <w:t>Je zřejmé, že většina indikátorů se odvíjí od stavu lesů, zejména od jejich vhodného druhového složení, věkové a prostorové struktury. Související problematikou je posilování půdoochranné (protierozní) a vodoochranné (protipovodňové i retenční) funkce lesů.</w:t>
      </w:r>
    </w:p>
    <w:p w14:paraId="2B5865D3" w14:textId="77777777" w:rsidR="003E0F58" w:rsidRPr="007C705C" w:rsidRDefault="003E0F58" w:rsidP="003E0F58">
      <w:pPr>
        <w:rPr>
          <w:rFonts w:eastAsiaTheme="minorEastAsia" w:cs="Times New Roman"/>
          <w:b/>
          <w:u w:val="single"/>
          <w:lang w:val="cs-CZ"/>
        </w:rPr>
      </w:pPr>
    </w:p>
    <w:p w14:paraId="79472598" w14:textId="77777777" w:rsidR="003E0F58" w:rsidRPr="007C705C" w:rsidRDefault="003E0F58" w:rsidP="00664136">
      <w:pPr>
        <w:pStyle w:val="UZEINormaln"/>
        <w:rPr>
          <w:rFonts w:eastAsiaTheme="minorEastAsia" w:cs="Times New Roman"/>
          <w:b/>
          <w:bCs/>
          <w:u w:val="single"/>
        </w:rPr>
      </w:pPr>
      <w:r w:rsidRPr="007C705C">
        <w:rPr>
          <w:rFonts w:eastAsiaTheme="minorEastAsia" w:cs="Times New Roman"/>
          <w:b/>
          <w:bCs/>
          <w:u w:val="single"/>
        </w:rPr>
        <w:t>Indikátory za oblast klimatu</w:t>
      </w:r>
    </w:p>
    <w:p w14:paraId="397A1F2C" w14:textId="77777777" w:rsidR="003E0F58" w:rsidRPr="007C705C" w:rsidRDefault="003E0F58" w:rsidP="00664136">
      <w:pPr>
        <w:pStyle w:val="UZEINormaln"/>
        <w:rPr>
          <w:rFonts w:cs="Times New Roman"/>
        </w:rPr>
      </w:pPr>
      <w:r w:rsidRPr="007C705C">
        <w:rPr>
          <w:rFonts w:cs="Times New Roman"/>
        </w:rPr>
        <w:t>Z dostupných kontextových indikátorů byly vybrány ty, u kterých byla shledána souvislost s danou problematikou a vycházejí z Draft list of Context and Impact indicators for the PMEF</w:t>
      </w:r>
    </w:p>
    <w:p w14:paraId="1D0AA4A4" w14:textId="77777777" w:rsidR="003E0F58" w:rsidRPr="007C705C" w:rsidRDefault="003E0F58" w:rsidP="00664136">
      <w:pPr>
        <w:pStyle w:val="UZEINormaln"/>
        <w:rPr>
          <w:rFonts w:cs="Times New Roman"/>
        </w:rPr>
      </w:pPr>
      <w:r w:rsidRPr="007C705C">
        <w:rPr>
          <w:rFonts w:cs="Times New Roman"/>
        </w:rPr>
        <w:t xml:space="preserve">8 February 2019. </w:t>
      </w:r>
    </w:p>
    <w:p w14:paraId="3C5AF042" w14:textId="2D591370" w:rsidR="003E0F58" w:rsidRPr="007C705C" w:rsidRDefault="003E0F58" w:rsidP="00664136">
      <w:pPr>
        <w:pStyle w:val="UZEINormaln"/>
        <w:rPr>
          <w:rFonts w:cs="Times New Roman"/>
        </w:rPr>
      </w:pPr>
      <w:r w:rsidRPr="007C705C">
        <w:rPr>
          <w:rFonts w:cs="Times New Roman"/>
        </w:rPr>
        <w:t>Uvažované výstupové, výsledkové a dopadové ukazatele (indikátory) vztahující se ke specifickému cíli vycházejí z přílohy návrhu NAŘÍZENÍ EVROPSKÉHO PARLAMENTU A RADY: „COM-2018-392-F1-CS-ANNEX-1-PART-1“ ze dne 1.</w:t>
      </w:r>
      <w:r w:rsidR="00C64A5C">
        <w:rPr>
          <w:rFonts w:cs="Times New Roman"/>
        </w:rPr>
        <w:t xml:space="preserve"> </w:t>
      </w:r>
      <w:r w:rsidRPr="007C705C">
        <w:rPr>
          <w:rFonts w:cs="Times New Roman"/>
        </w:rPr>
        <w:t>6.</w:t>
      </w:r>
      <w:r w:rsidR="00C64A5C">
        <w:rPr>
          <w:rFonts w:cs="Times New Roman"/>
        </w:rPr>
        <w:t xml:space="preserve"> </w:t>
      </w:r>
      <w:r w:rsidRPr="007C705C">
        <w:rPr>
          <w:rFonts w:cs="Times New Roman"/>
        </w:rPr>
        <w:t>2018 a k nim aktuálně dostupných fichí.</w:t>
      </w:r>
    </w:p>
    <w:p w14:paraId="07BFF52A" w14:textId="77777777" w:rsidR="003E0F58" w:rsidRPr="007C705C" w:rsidRDefault="003E0F58" w:rsidP="008A1AE3">
      <w:pPr>
        <w:pStyle w:val="Odstavecseseznamem"/>
        <w:numPr>
          <w:ilvl w:val="0"/>
          <w:numId w:val="14"/>
        </w:numPr>
        <w:spacing w:before="60" w:line="360" w:lineRule="atLeast"/>
        <w:ind w:left="0"/>
        <w:rPr>
          <w:rFonts w:eastAsiaTheme="minorEastAsia"/>
        </w:rPr>
      </w:pPr>
      <w:r w:rsidRPr="007C705C">
        <w:rPr>
          <w:rFonts w:eastAsiaTheme="minorEastAsia"/>
        </w:rPr>
        <w:t>indikátory za oblast GHG a NH</w:t>
      </w:r>
      <w:r w:rsidRPr="007C705C">
        <w:rPr>
          <w:rFonts w:eastAsiaTheme="minorEastAsia"/>
          <w:vertAlign w:val="subscript"/>
        </w:rPr>
        <w:t>3</w:t>
      </w:r>
    </w:p>
    <w:p w14:paraId="6A2CEFEC" w14:textId="77777777" w:rsidR="003E0F58" w:rsidRPr="007C705C" w:rsidRDefault="003E0F58" w:rsidP="003E0F58">
      <w:pPr>
        <w:pStyle w:val="Odstavecseseznamem"/>
        <w:ind w:left="0"/>
        <w:rPr>
          <w:rFonts w:eastAsiaTheme="minorEastAsia"/>
          <w:b/>
        </w:rPr>
      </w:pPr>
      <w:r w:rsidRPr="007C705C">
        <w:rPr>
          <w:rFonts w:eastAsiaTheme="minorEastAsia"/>
          <w:b/>
          <w:bCs/>
        </w:rPr>
        <w:t>Kontextové indikátory</w:t>
      </w:r>
    </w:p>
    <w:p w14:paraId="58FD1C41" w14:textId="77777777" w:rsidR="003E0F58" w:rsidRPr="007C705C" w:rsidRDefault="003E0F58" w:rsidP="003E0F58">
      <w:pPr>
        <w:rPr>
          <w:rFonts w:eastAsiaTheme="minorEastAsia" w:cs="Times New Roman"/>
          <w:lang w:val="cs-CZ"/>
        </w:rPr>
      </w:pPr>
      <w:r w:rsidRPr="007C705C">
        <w:rPr>
          <w:rFonts w:eastAsiaTheme="minorEastAsia" w:cs="Times New Roman"/>
          <w:lang w:val="cs-CZ"/>
        </w:rPr>
        <w:t>C.45 Emise skleníkových plynů</w:t>
      </w:r>
    </w:p>
    <w:p w14:paraId="0131DC8F" w14:textId="77777777" w:rsidR="003E0F58" w:rsidRPr="007C705C" w:rsidRDefault="003E0F58" w:rsidP="003E0F58">
      <w:pPr>
        <w:rPr>
          <w:rFonts w:eastAsiaTheme="minorEastAsia" w:cs="Times New Roman"/>
          <w:lang w:val="cs-CZ"/>
        </w:rPr>
      </w:pPr>
      <w:r w:rsidRPr="007C705C">
        <w:rPr>
          <w:rFonts w:eastAsiaTheme="minorEastAsia" w:cs="Times New Roman"/>
          <w:lang w:val="cs-CZ"/>
        </w:rPr>
        <w:t>Níže jsou doplněny tabulky charakterizující vývoj emisí GHG ze zemědělství a lesnictví.</w:t>
      </w:r>
    </w:p>
    <w:p w14:paraId="1651AC56" w14:textId="77777777" w:rsidR="003E0F58" w:rsidRPr="007C705C" w:rsidRDefault="003E0F58" w:rsidP="00664136">
      <w:pPr>
        <w:pStyle w:val="UZEITaB"/>
        <w:numPr>
          <w:ilvl w:val="0"/>
          <w:numId w:val="0"/>
        </w:numPr>
        <w:rPr>
          <w:rFonts w:eastAsiaTheme="minorEastAsia" w:cs="Times New Roman"/>
        </w:rPr>
      </w:pPr>
    </w:p>
    <w:p w14:paraId="564D0D19" w14:textId="1101A09A" w:rsidR="003E0F58" w:rsidRPr="007C705C" w:rsidRDefault="003E0F58" w:rsidP="00664136">
      <w:pPr>
        <w:pStyle w:val="UZEITaB"/>
        <w:rPr>
          <w:rFonts w:cs="Times New Roman"/>
        </w:rPr>
      </w:pPr>
      <w:bookmarkStart w:id="143" w:name="_Toc77245795"/>
      <w:bookmarkStart w:id="144" w:name="_Toc94181552"/>
      <w:r w:rsidRPr="007C705C">
        <w:rPr>
          <w:rFonts w:cs="Times New Roman"/>
        </w:rPr>
        <w:t>Celkové roční emise ze zemědělství a lesnictví v ČR v letech 2009 - 2018</w:t>
      </w:r>
      <w:bookmarkEnd w:id="143"/>
      <w:bookmarkEnd w:id="144"/>
    </w:p>
    <w:tbl>
      <w:tblPr>
        <w:tblW w:w="11425" w:type="dxa"/>
        <w:tblInd w:w="-1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36"/>
        <w:gridCol w:w="1074"/>
        <w:gridCol w:w="809"/>
        <w:gridCol w:w="809"/>
        <w:gridCol w:w="810"/>
        <w:gridCol w:w="809"/>
        <w:gridCol w:w="810"/>
        <w:gridCol w:w="809"/>
        <w:gridCol w:w="810"/>
        <w:gridCol w:w="817"/>
        <w:gridCol w:w="966"/>
        <w:gridCol w:w="966"/>
      </w:tblGrid>
      <w:tr w:rsidR="00664136" w:rsidRPr="007C705C" w14:paraId="22AFE749" w14:textId="77777777" w:rsidTr="00664136">
        <w:trPr>
          <w:trHeight w:val="137"/>
        </w:trPr>
        <w:tc>
          <w:tcPr>
            <w:tcW w:w="1980" w:type="dxa"/>
            <w:shd w:val="clear" w:color="000000" w:fill="F2F2F2"/>
            <w:vAlign w:val="center"/>
            <w:hideMark/>
          </w:tcPr>
          <w:p w14:paraId="64FC5837" w14:textId="77777777" w:rsidR="003E0F58" w:rsidRPr="007C705C" w:rsidRDefault="003E0F58" w:rsidP="004D2249">
            <w:pPr>
              <w:jc w:val="left"/>
              <w:rPr>
                <w:rFonts w:cs="Times New Roman"/>
                <w:b/>
                <w:bCs/>
                <w:color w:val="000000"/>
                <w:sz w:val="20"/>
                <w:szCs w:val="20"/>
                <w:lang w:val="cs-CZ"/>
              </w:rPr>
            </w:pPr>
            <w:r w:rsidRPr="007C705C">
              <w:rPr>
                <w:rFonts w:cs="Times New Roman"/>
                <w:b/>
                <w:bCs/>
                <w:color w:val="000000"/>
                <w:sz w:val="20"/>
                <w:szCs w:val="20"/>
                <w:lang w:val="cs-CZ"/>
              </w:rPr>
              <w:t>Popis</w:t>
            </w:r>
          </w:p>
        </w:tc>
        <w:tc>
          <w:tcPr>
            <w:tcW w:w="928" w:type="dxa"/>
            <w:shd w:val="clear" w:color="000000" w:fill="F2F2F2"/>
            <w:vAlign w:val="center"/>
            <w:hideMark/>
          </w:tcPr>
          <w:p w14:paraId="3FD1118B" w14:textId="77777777" w:rsidR="003E0F58" w:rsidRPr="007C705C" w:rsidRDefault="003E0F58" w:rsidP="004D2249">
            <w:pPr>
              <w:jc w:val="center"/>
              <w:rPr>
                <w:rFonts w:cs="Times New Roman"/>
                <w:b/>
                <w:bCs/>
                <w:color w:val="000000"/>
                <w:sz w:val="20"/>
                <w:szCs w:val="20"/>
                <w:lang w:val="cs-CZ"/>
              </w:rPr>
            </w:pPr>
            <w:r w:rsidRPr="007C705C">
              <w:rPr>
                <w:rFonts w:cs="Times New Roman"/>
                <w:b/>
                <w:bCs/>
                <w:color w:val="000000"/>
                <w:sz w:val="20"/>
                <w:szCs w:val="20"/>
                <w:lang w:val="cs-CZ"/>
              </w:rPr>
              <w:t>Jednotka</w:t>
            </w:r>
          </w:p>
        </w:tc>
        <w:tc>
          <w:tcPr>
            <w:tcW w:w="821" w:type="dxa"/>
            <w:shd w:val="clear" w:color="000000" w:fill="F2F2F2"/>
            <w:vAlign w:val="center"/>
            <w:hideMark/>
          </w:tcPr>
          <w:p w14:paraId="529AD9FC" w14:textId="77777777" w:rsidR="003E0F58" w:rsidRPr="007C705C" w:rsidRDefault="003E0F58" w:rsidP="004D2249">
            <w:pPr>
              <w:jc w:val="center"/>
              <w:rPr>
                <w:rFonts w:cs="Times New Roman"/>
                <w:b/>
                <w:bCs/>
                <w:color w:val="000000"/>
                <w:sz w:val="20"/>
                <w:szCs w:val="20"/>
                <w:lang w:val="cs-CZ"/>
              </w:rPr>
            </w:pPr>
            <w:r w:rsidRPr="007C705C">
              <w:rPr>
                <w:rFonts w:cs="Times New Roman"/>
                <w:b/>
                <w:bCs/>
                <w:color w:val="000000"/>
                <w:sz w:val="20"/>
                <w:szCs w:val="20"/>
                <w:lang w:val="cs-CZ"/>
              </w:rPr>
              <w:t>2009</w:t>
            </w:r>
          </w:p>
        </w:tc>
        <w:tc>
          <w:tcPr>
            <w:tcW w:w="820" w:type="dxa"/>
            <w:shd w:val="clear" w:color="000000" w:fill="F2F2F2"/>
            <w:vAlign w:val="center"/>
            <w:hideMark/>
          </w:tcPr>
          <w:p w14:paraId="19A9863F" w14:textId="77777777" w:rsidR="003E0F58" w:rsidRPr="007C705C" w:rsidRDefault="003E0F58" w:rsidP="004D2249">
            <w:pPr>
              <w:jc w:val="center"/>
              <w:rPr>
                <w:rFonts w:cs="Times New Roman"/>
                <w:b/>
                <w:bCs/>
                <w:color w:val="000000"/>
                <w:sz w:val="20"/>
                <w:szCs w:val="20"/>
                <w:lang w:val="cs-CZ"/>
              </w:rPr>
            </w:pPr>
            <w:r w:rsidRPr="007C705C">
              <w:rPr>
                <w:rFonts w:cs="Times New Roman"/>
                <w:b/>
                <w:bCs/>
                <w:color w:val="000000"/>
                <w:sz w:val="20"/>
                <w:szCs w:val="20"/>
                <w:lang w:val="cs-CZ"/>
              </w:rPr>
              <w:t>2010</w:t>
            </w:r>
          </w:p>
        </w:tc>
        <w:tc>
          <w:tcPr>
            <w:tcW w:w="821" w:type="dxa"/>
            <w:shd w:val="clear" w:color="000000" w:fill="F2F2F2"/>
            <w:vAlign w:val="center"/>
            <w:hideMark/>
          </w:tcPr>
          <w:p w14:paraId="178FCF5E" w14:textId="77777777" w:rsidR="003E0F58" w:rsidRPr="007C705C" w:rsidRDefault="003E0F58" w:rsidP="004D2249">
            <w:pPr>
              <w:jc w:val="center"/>
              <w:rPr>
                <w:rFonts w:cs="Times New Roman"/>
                <w:b/>
                <w:bCs/>
                <w:color w:val="000000"/>
                <w:sz w:val="20"/>
                <w:szCs w:val="20"/>
                <w:lang w:val="cs-CZ"/>
              </w:rPr>
            </w:pPr>
            <w:r w:rsidRPr="007C705C">
              <w:rPr>
                <w:rFonts w:cs="Times New Roman"/>
                <w:b/>
                <w:bCs/>
                <w:color w:val="000000"/>
                <w:sz w:val="20"/>
                <w:szCs w:val="20"/>
                <w:lang w:val="cs-CZ"/>
              </w:rPr>
              <w:t>2011</w:t>
            </w:r>
          </w:p>
        </w:tc>
        <w:tc>
          <w:tcPr>
            <w:tcW w:w="820" w:type="dxa"/>
            <w:shd w:val="clear" w:color="000000" w:fill="F2F2F2"/>
            <w:vAlign w:val="center"/>
            <w:hideMark/>
          </w:tcPr>
          <w:p w14:paraId="031310A2" w14:textId="77777777" w:rsidR="003E0F58" w:rsidRPr="007C705C" w:rsidRDefault="003E0F58" w:rsidP="004D2249">
            <w:pPr>
              <w:jc w:val="center"/>
              <w:rPr>
                <w:rFonts w:cs="Times New Roman"/>
                <w:b/>
                <w:bCs/>
                <w:color w:val="000000"/>
                <w:sz w:val="20"/>
                <w:szCs w:val="20"/>
                <w:lang w:val="cs-CZ"/>
              </w:rPr>
            </w:pPr>
            <w:r w:rsidRPr="007C705C">
              <w:rPr>
                <w:rFonts w:cs="Times New Roman"/>
                <w:b/>
                <w:bCs/>
                <w:color w:val="000000"/>
                <w:sz w:val="20"/>
                <w:szCs w:val="20"/>
                <w:lang w:val="cs-CZ"/>
              </w:rPr>
              <w:t>2012</w:t>
            </w:r>
          </w:p>
        </w:tc>
        <w:tc>
          <w:tcPr>
            <w:tcW w:w="821" w:type="dxa"/>
            <w:shd w:val="clear" w:color="000000" w:fill="F2F2F2"/>
            <w:vAlign w:val="center"/>
            <w:hideMark/>
          </w:tcPr>
          <w:p w14:paraId="0D71D545" w14:textId="77777777" w:rsidR="003E0F58" w:rsidRPr="007C705C" w:rsidRDefault="003E0F58" w:rsidP="004D2249">
            <w:pPr>
              <w:jc w:val="center"/>
              <w:rPr>
                <w:rFonts w:cs="Times New Roman"/>
                <w:b/>
                <w:bCs/>
                <w:color w:val="000000"/>
                <w:sz w:val="20"/>
                <w:szCs w:val="20"/>
                <w:lang w:val="cs-CZ"/>
              </w:rPr>
            </w:pPr>
            <w:r w:rsidRPr="007C705C">
              <w:rPr>
                <w:rFonts w:cs="Times New Roman"/>
                <w:b/>
                <w:bCs/>
                <w:color w:val="000000"/>
                <w:sz w:val="20"/>
                <w:szCs w:val="20"/>
                <w:lang w:val="cs-CZ"/>
              </w:rPr>
              <w:t>2013</w:t>
            </w:r>
          </w:p>
        </w:tc>
        <w:tc>
          <w:tcPr>
            <w:tcW w:w="820" w:type="dxa"/>
            <w:shd w:val="clear" w:color="000000" w:fill="F2F2F2"/>
            <w:vAlign w:val="center"/>
            <w:hideMark/>
          </w:tcPr>
          <w:p w14:paraId="630F774E" w14:textId="77777777" w:rsidR="003E0F58" w:rsidRPr="007C705C" w:rsidRDefault="003E0F58" w:rsidP="004D2249">
            <w:pPr>
              <w:jc w:val="center"/>
              <w:rPr>
                <w:rFonts w:cs="Times New Roman"/>
                <w:b/>
                <w:bCs/>
                <w:color w:val="000000"/>
                <w:sz w:val="20"/>
                <w:szCs w:val="20"/>
                <w:lang w:val="cs-CZ"/>
              </w:rPr>
            </w:pPr>
            <w:r w:rsidRPr="007C705C">
              <w:rPr>
                <w:rFonts w:cs="Times New Roman"/>
                <w:b/>
                <w:bCs/>
                <w:color w:val="000000"/>
                <w:sz w:val="20"/>
                <w:szCs w:val="20"/>
                <w:lang w:val="cs-CZ"/>
              </w:rPr>
              <w:t>2014</w:t>
            </w:r>
          </w:p>
        </w:tc>
        <w:tc>
          <w:tcPr>
            <w:tcW w:w="821" w:type="dxa"/>
            <w:shd w:val="clear" w:color="000000" w:fill="F2F2F2"/>
            <w:vAlign w:val="center"/>
            <w:hideMark/>
          </w:tcPr>
          <w:p w14:paraId="6360E7DD" w14:textId="77777777" w:rsidR="003E0F58" w:rsidRPr="007C705C" w:rsidRDefault="003E0F58" w:rsidP="004D2249">
            <w:pPr>
              <w:jc w:val="center"/>
              <w:rPr>
                <w:rFonts w:cs="Times New Roman"/>
                <w:b/>
                <w:bCs/>
                <w:color w:val="000000"/>
                <w:sz w:val="20"/>
                <w:szCs w:val="20"/>
                <w:lang w:val="cs-CZ"/>
              </w:rPr>
            </w:pPr>
            <w:r w:rsidRPr="007C705C">
              <w:rPr>
                <w:rFonts w:cs="Times New Roman"/>
                <w:b/>
                <w:bCs/>
                <w:color w:val="000000"/>
                <w:sz w:val="20"/>
                <w:szCs w:val="20"/>
                <w:lang w:val="cs-CZ"/>
              </w:rPr>
              <w:t>2015</w:t>
            </w:r>
          </w:p>
        </w:tc>
        <w:tc>
          <w:tcPr>
            <w:tcW w:w="823" w:type="dxa"/>
            <w:shd w:val="clear" w:color="000000" w:fill="F2F2F2"/>
            <w:vAlign w:val="center"/>
            <w:hideMark/>
          </w:tcPr>
          <w:p w14:paraId="17AC0525" w14:textId="77777777" w:rsidR="003E0F58" w:rsidRPr="007C705C" w:rsidRDefault="003E0F58" w:rsidP="004D2249">
            <w:pPr>
              <w:jc w:val="center"/>
              <w:rPr>
                <w:rFonts w:cs="Times New Roman"/>
                <w:b/>
                <w:bCs/>
                <w:color w:val="000000"/>
                <w:sz w:val="20"/>
                <w:szCs w:val="20"/>
                <w:lang w:val="cs-CZ"/>
              </w:rPr>
            </w:pPr>
            <w:r w:rsidRPr="007C705C">
              <w:rPr>
                <w:rFonts w:cs="Times New Roman"/>
                <w:b/>
                <w:bCs/>
                <w:sz w:val="20"/>
                <w:szCs w:val="20"/>
                <w:lang w:val="cs-CZ"/>
              </w:rPr>
              <w:t>2016</w:t>
            </w:r>
          </w:p>
        </w:tc>
        <w:tc>
          <w:tcPr>
            <w:tcW w:w="975" w:type="dxa"/>
            <w:shd w:val="clear" w:color="000000" w:fill="F2F2F2"/>
          </w:tcPr>
          <w:p w14:paraId="3D4E1995" w14:textId="77777777" w:rsidR="003E0F58" w:rsidRPr="007C705C" w:rsidRDefault="003E0F58" w:rsidP="004D2249">
            <w:pPr>
              <w:jc w:val="center"/>
              <w:rPr>
                <w:rFonts w:cs="Times New Roman"/>
                <w:b/>
                <w:bCs/>
                <w:color w:val="000000"/>
                <w:sz w:val="20"/>
                <w:szCs w:val="20"/>
                <w:lang w:val="cs-CZ"/>
              </w:rPr>
            </w:pPr>
            <w:r w:rsidRPr="007C705C">
              <w:rPr>
                <w:rFonts w:cs="Times New Roman"/>
                <w:b/>
                <w:bCs/>
                <w:color w:val="000000"/>
                <w:sz w:val="20"/>
                <w:szCs w:val="20"/>
                <w:lang w:val="cs-CZ"/>
              </w:rPr>
              <w:t>2017</w:t>
            </w:r>
          </w:p>
        </w:tc>
        <w:tc>
          <w:tcPr>
            <w:tcW w:w="975" w:type="dxa"/>
            <w:shd w:val="clear" w:color="000000" w:fill="F2F2F2"/>
          </w:tcPr>
          <w:p w14:paraId="78384B5B" w14:textId="77777777" w:rsidR="003E0F58" w:rsidRPr="007C705C" w:rsidRDefault="003E0F58" w:rsidP="004D2249">
            <w:pPr>
              <w:jc w:val="center"/>
              <w:rPr>
                <w:rFonts w:cs="Times New Roman"/>
                <w:b/>
                <w:bCs/>
                <w:color w:val="000000"/>
                <w:sz w:val="20"/>
                <w:szCs w:val="20"/>
                <w:lang w:val="cs-CZ"/>
              </w:rPr>
            </w:pPr>
            <w:r w:rsidRPr="007C705C">
              <w:rPr>
                <w:rFonts w:cs="Times New Roman"/>
                <w:b/>
                <w:bCs/>
                <w:color w:val="000000"/>
                <w:sz w:val="20"/>
                <w:szCs w:val="20"/>
                <w:lang w:val="cs-CZ"/>
              </w:rPr>
              <w:t>2018</w:t>
            </w:r>
          </w:p>
        </w:tc>
      </w:tr>
      <w:tr w:rsidR="00664136" w:rsidRPr="007C705C" w14:paraId="369BAE98" w14:textId="77777777" w:rsidTr="00664136">
        <w:trPr>
          <w:trHeight w:val="465"/>
        </w:trPr>
        <w:tc>
          <w:tcPr>
            <w:tcW w:w="1980" w:type="dxa"/>
            <w:shd w:val="clear" w:color="auto" w:fill="auto"/>
            <w:vAlign w:val="center"/>
            <w:hideMark/>
          </w:tcPr>
          <w:p w14:paraId="51488D7F" w14:textId="77777777" w:rsidR="003E0F58" w:rsidRPr="007C705C" w:rsidRDefault="003E0F58" w:rsidP="004D2249">
            <w:pPr>
              <w:jc w:val="left"/>
              <w:rPr>
                <w:rFonts w:cs="Times New Roman"/>
                <w:sz w:val="20"/>
                <w:szCs w:val="20"/>
                <w:lang w:val="cs-CZ"/>
              </w:rPr>
            </w:pPr>
            <w:r w:rsidRPr="007C705C">
              <w:rPr>
                <w:rFonts w:cs="Times New Roman"/>
                <w:sz w:val="20"/>
                <w:szCs w:val="20"/>
                <w:lang w:val="cs-CZ"/>
              </w:rPr>
              <w:t>Celkové roční emise oxidu uhličitého (CO</w:t>
            </w:r>
            <w:r w:rsidRPr="007C705C">
              <w:rPr>
                <w:rFonts w:cs="Times New Roman"/>
                <w:sz w:val="20"/>
                <w:szCs w:val="20"/>
                <w:vertAlign w:val="subscript"/>
                <w:lang w:val="cs-CZ"/>
              </w:rPr>
              <w:t>2</w:t>
            </w:r>
            <w:r w:rsidRPr="007C705C">
              <w:rPr>
                <w:rFonts w:cs="Times New Roman"/>
                <w:sz w:val="20"/>
                <w:szCs w:val="20"/>
                <w:lang w:val="cs-CZ"/>
              </w:rPr>
              <w:t>), methanu (CH</w:t>
            </w:r>
            <w:r w:rsidRPr="007C705C">
              <w:rPr>
                <w:rFonts w:cs="Times New Roman"/>
                <w:sz w:val="20"/>
                <w:szCs w:val="20"/>
                <w:vertAlign w:val="subscript"/>
                <w:lang w:val="cs-CZ"/>
              </w:rPr>
              <w:t>4</w:t>
            </w:r>
            <w:r w:rsidRPr="007C705C">
              <w:rPr>
                <w:rFonts w:cs="Times New Roman"/>
                <w:sz w:val="20"/>
                <w:szCs w:val="20"/>
                <w:lang w:val="cs-CZ"/>
              </w:rPr>
              <w:t>) a oxidu dusného (N</w:t>
            </w:r>
            <w:r w:rsidRPr="007C705C">
              <w:rPr>
                <w:rFonts w:cs="Times New Roman"/>
                <w:sz w:val="20"/>
                <w:szCs w:val="20"/>
                <w:vertAlign w:val="subscript"/>
                <w:lang w:val="cs-CZ"/>
              </w:rPr>
              <w:t>2</w:t>
            </w:r>
            <w:r w:rsidRPr="007C705C">
              <w:rPr>
                <w:rFonts w:cs="Times New Roman"/>
                <w:sz w:val="20"/>
                <w:szCs w:val="20"/>
                <w:lang w:val="cs-CZ"/>
              </w:rPr>
              <w:t xml:space="preserve">O)ze zemědělství </w:t>
            </w:r>
          </w:p>
        </w:tc>
        <w:tc>
          <w:tcPr>
            <w:tcW w:w="928" w:type="dxa"/>
            <w:shd w:val="clear" w:color="auto" w:fill="auto"/>
            <w:vAlign w:val="center"/>
            <w:hideMark/>
          </w:tcPr>
          <w:p w14:paraId="676920E5" w14:textId="77777777" w:rsidR="003E0F58" w:rsidRPr="007C705C" w:rsidRDefault="003E0F58" w:rsidP="004D2249">
            <w:pPr>
              <w:jc w:val="center"/>
              <w:rPr>
                <w:rFonts w:cs="Times New Roman"/>
                <w:sz w:val="20"/>
                <w:szCs w:val="20"/>
                <w:lang w:val="cs-CZ"/>
              </w:rPr>
            </w:pPr>
            <w:r w:rsidRPr="007C705C">
              <w:rPr>
                <w:rFonts w:cs="Times New Roman"/>
                <w:sz w:val="20"/>
                <w:szCs w:val="20"/>
                <w:lang w:val="cs-CZ"/>
              </w:rPr>
              <w:t>1 000 t CO</w:t>
            </w:r>
            <w:r w:rsidRPr="007C705C">
              <w:rPr>
                <w:rFonts w:cs="Times New Roman"/>
                <w:sz w:val="20"/>
                <w:szCs w:val="20"/>
                <w:vertAlign w:val="subscript"/>
                <w:lang w:val="cs-CZ"/>
              </w:rPr>
              <w:t>2</w:t>
            </w:r>
            <w:r w:rsidRPr="007C705C">
              <w:rPr>
                <w:rFonts w:cs="Times New Roman"/>
                <w:sz w:val="20"/>
                <w:szCs w:val="20"/>
                <w:lang w:val="cs-CZ"/>
              </w:rPr>
              <w:t xml:space="preserve"> ekvivalentů</w:t>
            </w:r>
          </w:p>
        </w:tc>
        <w:tc>
          <w:tcPr>
            <w:tcW w:w="821" w:type="dxa"/>
            <w:shd w:val="clear" w:color="auto" w:fill="auto"/>
            <w:vAlign w:val="center"/>
          </w:tcPr>
          <w:p w14:paraId="471FD046" w14:textId="77777777" w:rsidR="003E0F58" w:rsidRPr="007C705C" w:rsidRDefault="003E0F58" w:rsidP="004D2249">
            <w:pPr>
              <w:jc w:val="center"/>
              <w:rPr>
                <w:rFonts w:cs="Times New Roman"/>
                <w:sz w:val="20"/>
                <w:szCs w:val="20"/>
                <w:lang w:val="cs-CZ"/>
              </w:rPr>
            </w:pPr>
            <w:r w:rsidRPr="007C705C">
              <w:rPr>
                <w:rFonts w:cs="Times New Roman"/>
                <w:sz w:val="20"/>
                <w:szCs w:val="20"/>
                <w:lang w:val="cs-CZ"/>
              </w:rPr>
              <w:t>7 587,7</w:t>
            </w:r>
          </w:p>
        </w:tc>
        <w:tc>
          <w:tcPr>
            <w:tcW w:w="820" w:type="dxa"/>
            <w:shd w:val="clear" w:color="auto" w:fill="auto"/>
            <w:vAlign w:val="center"/>
          </w:tcPr>
          <w:p w14:paraId="2A85FA87" w14:textId="77777777" w:rsidR="003E0F58" w:rsidRPr="007C705C" w:rsidRDefault="003E0F58" w:rsidP="004D2249">
            <w:pPr>
              <w:jc w:val="center"/>
              <w:rPr>
                <w:rFonts w:cs="Times New Roman"/>
                <w:sz w:val="20"/>
                <w:szCs w:val="20"/>
                <w:lang w:val="cs-CZ"/>
              </w:rPr>
            </w:pPr>
            <w:r w:rsidRPr="007C705C">
              <w:rPr>
                <w:rFonts w:cs="Times New Roman"/>
                <w:sz w:val="20"/>
                <w:szCs w:val="20"/>
                <w:lang w:val="cs-CZ"/>
              </w:rPr>
              <w:t>7 483,8</w:t>
            </w:r>
          </w:p>
        </w:tc>
        <w:tc>
          <w:tcPr>
            <w:tcW w:w="821" w:type="dxa"/>
            <w:shd w:val="clear" w:color="auto" w:fill="auto"/>
            <w:vAlign w:val="center"/>
          </w:tcPr>
          <w:p w14:paraId="70E8D280" w14:textId="77777777" w:rsidR="003E0F58" w:rsidRPr="007C705C" w:rsidRDefault="003E0F58" w:rsidP="004D2249">
            <w:pPr>
              <w:jc w:val="center"/>
              <w:rPr>
                <w:rFonts w:cs="Times New Roman"/>
                <w:sz w:val="20"/>
                <w:szCs w:val="20"/>
                <w:lang w:val="cs-CZ"/>
              </w:rPr>
            </w:pPr>
            <w:r w:rsidRPr="007C705C">
              <w:rPr>
                <w:rFonts w:cs="Times New Roman"/>
                <w:sz w:val="20"/>
                <w:szCs w:val="20"/>
                <w:lang w:val="cs-CZ"/>
              </w:rPr>
              <w:t>8 086,2</w:t>
            </w:r>
          </w:p>
        </w:tc>
        <w:tc>
          <w:tcPr>
            <w:tcW w:w="820" w:type="dxa"/>
            <w:shd w:val="clear" w:color="auto" w:fill="auto"/>
            <w:vAlign w:val="center"/>
          </w:tcPr>
          <w:p w14:paraId="2EE060F4" w14:textId="77777777" w:rsidR="003E0F58" w:rsidRPr="007C705C" w:rsidRDefault="003E0F58" w:rsidP="004D2249">
            <w:pPr>
              <w:jc w:val="center"/>
              <w:rPr>
                <w:rFonts w:cs="Times New Roman"/>
                <w:sz w:val="20"/>
                <w:szCs w:val="20"/>
                <w:lang w:val="cs-CZ"/>
              </w:rPr>
            </w:pPr>
            <w:r w:rsidRPr="007C705C">
              <w:rPr>
                <w:rFonts w:cs="Times New Roman"/>
                <w:sz w:val="20"/>
                <w:szCs w:val="20"/>
                <w:lang w:val="cs-CZ"/>
              </w:rPr>
              <w:t>8 018,5</w:t>
            </w:r>
          </w:p>
        </w:tc>
        <w:tc>
          <w:tcPr>
            <w:tcW w:w="821" w:type="dxa"/>
            <w:shd w:val="clear" w:color="auto" w:fill="auto"/>
            <w:vAlign w:val="center"/>
          </w:tcPr>
          <w:p w14:paraId="70F42C35" w14:textId="77777777" w:rsidR="003E0F58" w:rsidRPr="007C705C" w:rsidRDefault="003E0F58" w:rsidP="004D2249">
            <w:pPr>
              <w:jc w:val="center"/>
              <w:rPr>
                <w:rFonts w:cs="Times New Roman"/>
                <w:sz w:val="20"/>
                <w:szCs w:val="20"/>
                <w:lang w:val="cs-CZ"/>
              </w:rPr>
            </w:pPr>
            <w:r w:rsidRPr="007C705C">
              <w:rPr>
                <w:rFonts w:cs="Times New Roman"/>
                <w:sz w:val="20"/>
                <w:szCs w:val="20"/>
                <w:lang w:val="cs-CZ"/>
              </w:rPr>
              <w:t>7 989,5</w:t>
            </w:r>
          </w:p>
        </w:tc>
        <w:tc>
          <w:tcPr>
            <w:tcW w:w="820" w:type="dxa"/>
            <w:shd w:val="clear" w:color="auto" w:fill="auto"/>
            <w:vAlign w:val="center"/>
          </w:tcPr>
          <w:p w14:paraId="6250D69A" w14:textId="77777777" w:rsidR="003E0F58" w:rsidRPr="007C705C" w:rsidRDefault="003E0F58" w:rsidP="004D2249">
            <w:pPr>
              <w:jc w:val="center"/>
              <w:rPr>
                <w:rFonts w:cs="Times New Roman"/>
                <w:sz w:val="20"/>
                <w:szCs w:val="20"/>
                <w:lang w:val="cs-CZ"/>
              </w:rPr>
            </w:pPr>
            <w:r w:rsidRPr="007C705C">
              <w:rPr>
                <w:rFonts w:cs="Times New Roman"/>
                <w:sz w:val="20"/>
                <w:szCs w:val="20"/>
                <w:lang w:val="cs-CZ"/>
              </w:rPr>
              <w:t>8 049,3</w:t>
            </w:r>
          </w:p>
        </w:tc>
        <w:tc>
          <w:tcPr>
            <w:tcW w:w="821" w:type="dxa"/>
            <w:shd w:val="clear" w:color="auto" w:fill="auto"/>
            <w:vAlign w:val="center"/>
          </w:tcPr>
          <w:p w14:paraId="5245BAC5" w14:textId="77777777" w:rsidR="003E0F58" w:rsidRPr="007C705C" w:rsidRDefault="003E0F58" w:rsidP="004D2249">
            <w:pPr>
              <w:jc w:val="center"/>
              <w:rPr>
                <w:rFonts w:cs="Times New Roman"/>
                <w:sz w:val="20"/>
                <w:szCs w:val="20"/>
                <w:lang w:val="cs-CZ"/>
              </w:rPr>
            </w:pPr>
            <w:r w:rsidRPr="007C705C">
              <w:rPr>
                <w:rFonts w:cs="Times New Roman"/>
                <w:sz w:val="20"/>
                <w:szCs w:val="20"/>
                <w:lang w:val="cs-CZ"/>
              </w:rPr>
              <w:t>8 629,0</w:t>
            </w:r>
          </w:p>
        </w:tc>
        <w:tc>
          <w:tcPr>
            <w:tcW w:w="823" w:type="dxa"/>
            <w:shd w:val="clear" w:color="auto" w:fill="auto"/>
            <w:vAlign w:val="center"/>
          </w:tcPr>
          <w:p w14:paraId="581AF5D3" w14:textId="77777777" w:rsidR="003E0F58" w:rsidRPr="007C705C" w:rsidRDefault="003E0F58" w:rsidP="004D2249">
            <w:pPr>
              <w:jc w:val="center"/>
              <w:rPr>
                <w:rFonts w:cs="Times New Roman"/>
                <w:sz w:val="20"/>
                <w:szCs w:val="20"/>
                <w:lang w:val="cs-CZ"/>
              </w:rPr>
            </w:pPr>
            <w:r w:rsidRPr="007C705C">
              <w:rPr>
                <w:rFonts w:cs="Times New Roman"/>
                <w:sz w:val="20"/>
                <w:szCs w:val="20"/>
                <w:lang w:val="cs-CZ"/>
              </w:rPr>
              <w:t>8859,3</w:t>
            </w:r>
          </w:p>
        </w:tc>
        <w:tc>
          <w:tcPr>
            <w:tcW w:w="975" w:type="dxa"/>
            <w:vAlign w:val="center"/>
          </w:tcPr>
          <w:p w14:paraId="1D558CD3" w14:textId="77777777" w:rsidR="003E0F58" w:rsidRPr="007C705C" w:rsidRDefault="003E0F58" w:rsidP="004D2249">
            <w:pPr>
              <w:jc w:val="center"/>
              <w:rPr>
                <w:rFonts w:cs="Times New Roman"/>
                <w:sz w:val="20"/>
                <w:szCs w:val="20"/>
                <w:lang w:val="cs-CZ"/>
              </w:rPr>
            </w:pPr>
            <w:r w:rsidRPr="007C705C">
              <w:rPr>
                <w:rFonts w:cs="Times New Roman"/>
                <w:sz w:val="20"/>
                <w:szCs w:val="20"/>
                <w:lang w:val="cs-CZ"/>
              </w:rPr>
              <w:t>8789,2</w:t>
            </w:r>
          </w:p>
        </w:tc>
        <w:tc>
          <w:tcPr>
            <w:tcW w:w="975" w:type="dxa"/>
            <w:vAlign w:val="center"/>
          </w:tcPr>
          <w:p w14:paraId="76084714" w14:textId="77777777" w:rsidR="003E0F58" w:rsidRPr="007C705C" w:rsidRDefault="003E0F58" w:rsidP="004D2249">
            <w:pPr>
              <w:jc w:val="center"/>
              <w:rPr>
                <w:rFonts w:cs="Times New Roman"/>
                <w:sz w:val="20"/>
                <w:szCs w:val="20"/>
                <w:lang w:val="cs-CZ"/>
              </w:rPr>
            </w:pPr>
            <w:r w:rsidRPr="007C705C">
              <w:rPr>
                <w:rFonts w:cs="Times New Roman"/>
                <w:sz w:val="20"/>
                <w:szCs w:val="20"/>
                <w:lang w:val="cs-CZ"/>
              </w:rPr>
              <w:t>8606,5</w:t>
            </w:r>
          </w:p>
        </w:tc>
      </w:tr>
      <w:tr w:rsidR="00664136" w:rsidRPr="007C705C" w14:paraId="5C234471" w14:textId="77777777" w:rsidTr="00664136">
        <w:trPr>
          <w:trHeight w:val="465"/>
        </w:trPr>
        <w:tc>
          <w:tcPr>
            <w:tcW w:w="1980" w:type="dxa"/>
            <w:shd w:val="clear" w:color="auto" w:fill="auto"/>
            <w:vAlign w:val="center"/>
          </w:tcPr>
          <w:p w14:paraId="0D85DF74" w14:textId="77777777" w:rsidR="003E0F58" w:rsidRPr="007C705C" w:rsidRDefault="003E0F58" w:rsidP="004D2249">
            <w:pPr>
              <w:jc w:val="left"/>
              <w:rPr>
                <w:rFonts w:cs="Times New Roman"/>
                <w:sz w:val="20"/>
                <w:szCs w:val="20"/>
                <w:lang w:val="cs-CZ"/>
              </w:rPr>
            </w:pPr>
            <w:r w:rsidRPr="007C705C">
              <w:rPr>
                <w:rFonts w:cs="Times New Roman"/>
                <w:sz w:val="20"/>
                <w:szCs w:val="20"/>
                <w:lang w:val="cs-CZ"/>
              </w:rPr>
              <w:t>Celkové roční emise methanu (CH</w:t>
            </w:r>
            <w:r w:rsidRPr="007C705C">
              <w:rPr>
                <w:rFonts w:cs="Times New Roman"/>
                <w:sz w:val="20"/>
                <w:szCs w:val="20"/>
                <w:vertAlign w:val="subscript"/>
                <w:lang w:val="cs-CZ"/>
              </w:rPr>
              <w:t>4</w:t>
            </w:r>
            <w:r w:rsidRPr="007C705C">
              <w:rPr>
                <w:rFonts w:cs="Times New Roman"/>
                <w:sz w:val="20"/>
                <w:szCs w:val="20"/>
                <w:lang w:val="cs-CZ"/>
              </w:rPr>
              <w:t>) a oxidu dusného (N</w:t>
            </w:r>
            <w:r w:rsidRPr="007C705C">
              <w:rPr>
                <w:rFonts w:cs="Times New Roman"/>
                <w:sz w:val="20"/>
                <w:szCs w:val="20"/>
                <w:vertAlign w:val="subscript"/>
                <w:lang w:val="cs-CZ"/>
              </w:rPr>
              <w:t>2</w:t>
            </w:r>
            <w:r w:rsidRPr="007C705C">
              <w:rPr>
                <w:rFonts w:cs="Times New Roman"/>
                <w:sz w:val="20"/>
                <w:szCs w:val="20"/>
                <w:lang w:val="cs-CZ"/>
              </w:rPr>
              <w:t xml:space="preserve">O) z lesnictví </w:t>
            </w:r>
          </w:p>
        </w:tc>
        <w:tc>
          <w:tcPr>
            <w:tcW w:w="928" w:type="dxa"/>
            <w:shd w:val="clear" w:color="auto" w:fill="auto"/>
            <w:vAlign w:val="center"/>
          </w:tcPr>
          <w:p w14:paraId="63DA1DA2" w14:textId="77777777" w:rsidR="003E0F58" w:rsidRPr="007C705C" w:rsidRDefault="003E0F58" w:rsidP="004D2249">
            <w:pPr>
              <w:jc w:val="center"/>
              <w:rPr>
                <w:rFonts w:cs="Times New Roman"/>
                <w:sz w:val="20"/>
                <w:szCs w:val="20"/>
                <w:lang w:val="cs-CZ"/>
              </w:rPr>
            </w:pPr>
            <w:r w:rsidRPr="007C705C">
              <w:rPr>
                <w:rFonts w:cs="Times New Roman"/>
                <w:sz w:val="20"/>
                <w:szCs w:val="20"/>
                <w:lang w:val="cs-CZ"/>
              </w:rPr>
              <w:t>1 000 t CO</w:t>
            </w:r>
            <w:r w:rsidRPr="007C705C">
              <w:rPr>
                <w:rFonts w:cs="Times New Roman"/>
                <w:sz w:val="20"/>
                <w:szCs w:val="20"/>
                <w:vertAlign w:val="subscript"/>
                <w:lang w:val="cs-CZ"/>
              </w:rPr>
              <w:t>2</w:t>
            </w:r>
            <w:r w:rsidRPr="007C705C">
              <w:rPr>
                <w:rFonts w:cs="Times New Roman"/>
                <w:sz w:val="20"/>
                <w:szCs w:val="20"/>
                <w:lang w:val="cs-CZ"/>
              </w:rPr>
              <w:t xml:space="preserve"> ekvivalentů</w:t>
            </w:r>
          </w:p>
        </w:tc>
        <w:tc>
          <w:tcPr>
            <w:tcW w:w="821" w:type="dxa"/>
            <w:shd w:val="clear" w:color="auto" w:fill="auto"/>
            <w:vAlign w:val="center"/>
          </w:tcPr>
          <w:p w14:paraId="41AFCE68" w14:textId="77777777" w:rsidR="003E0F58" w:rsidRPr="007C705C" w:rsidRDefault="003E0F58" w:rsidP="004D2249">
            <w:pPr>
              <w:jc w:val="center"/>
              <w:rPr>
                <w:rFonts w:cs="Times New Roman"/>
                <w:sz w:val="20"/>
                <w:szCs w:val="20"/>
                <w:lang w:val="cs-CZ"/>
              </w:rPr>
            </w:pPr>
            <w:r w:rsidRPr="007C705C">
              <w:rPr>
                <w:rFonts w:cs="Times New Roman"/>
                <w:sz w:val="20"/>
                <w:szCs w:val="20"/>
                <w:lang w:val="cs-CZ"/>
              </w:rPr>
              <w:t>-7 067,9</w:t>
            </w:r>
          </w:p>
        </w:tc>
        <w:tc>
          <w:tcPr>
            <w:tcW w:w="820" w:type="dxa"/>
            <w:shd w:val="clear" w:color="auto" w:fill="auto"/>
            <w:vAlign w:val="center"/>
          </w:tcPr>
          <w:p w14:paraId="108E3D9B" w14:textId="77777777" w:rsidR="003E0F58" w:rsidRPr="007C705C" w:rsidRDefault="003E0F58" w:rsidP="004D2249">
            <w:pPr>
              <w:jc w:val="center"/>
              <w:rPr>
                <w:rFonts w:cs="Times New Roman"/>
                <w:sz w:val="20"/>
                <w:szCs w:val="20"/>
                <w:lang w:val="cs-CZ"/>
              </w:rPr>
            </w:pPr>
            <w:r w:rsidRPr="007C705C">
              <w:rPr>
                <w:rFonts w:cs="Times New Roman"/>
                <w:sz w:val="20"/>
                <w:szCs w:val="20"/>
                <w:lang w:val="cs-CZ"/>
              </w:rPr>
              <w:t>-6 239,9</w:t>
            </w:r>
          </w:p>
        </w:tc>
        <w:tc>
          <w:tcPr>
            <w:tcW w:w="821" w:type="dxa"/>
            <w:shd w:val="clear" w:color="auto" w:fill="auto"/>
            <w:vAlign w:val="center"/>
          </w:tcPr>
          <w:p w14:paraId="3BDE2446" w14:textId="77777777" w:rsidR="003E0F58" w:rsidRPr="007C705C" w:rsidRDefault="003E0F58" w:rsidP="004D2249">
            <w:pPr>
              <w:jc w:val="center"/>
              <w:rPr>
                <w:rFonts w:cs="Times New Roman"/>
                <w:sz w:val="20"/>
                <w:szCs w:val="20"/>
                <w:lang w:val="cs-CZ"/>
              </w:rPr>
            </w:pPr>
            <w:r w:rsidRPr="007C705C">
              <w:rPr>
                <w:rFonts w:cs="Times New Roman"/>
                <w:sz w:val="20"/>
                <w:szCs w:val="20"/>
                <w:lang w:val="cs-CZ"/>
              </w:rPr>
              <w:t>-7 271,8</w:t>
            </w:r>
          </w:p>
        </w:tc>
        <w:tc>
          <w:tcPr>
            <w:tcW w:w="820" w:type="dxa"/>
            <w:shd w:val="clear" w:color="auto" w:fill="auto"/>
            <w:vAlign w:val="center"/>
          </w:tcPr>
          <w:p w14:paraId="54225769" w14:textId="77777777" w:rsidR="003E0F58" w:rsidRPr="007C705C" w:rsidRDefault="003E0F58" w:rsidP="004D2249">
            <w:pPr>
              <w:jc w:val="center"/>
              <w:rPr>
                <w:rFonts w:cs="Times New Roman"/>
                <w:sz w:val="20"/>
                <w:szCs w:val="20"/>
                <w:lang w:val="cs-CZ"/>
              </w:rPr>
            </w:pPr>
            <w:r w:rsidRPr="007C705C">
              <w:rPr>
                <w:rFonts w:cs="Times New Roman"/>
                <w:sz w:val="20"/>
                <w:szCs w:val="20"/>
                <w:lang w:val="cs-CZ"/>
              </w:rPr>
              <w:t>-7 433,2</w:t>
            </w:r>
          </w:p>
        </w:tc>
        <w:tc>
          <w:tcPr>
            <w:tcW w:w="821" w:type="dxa"/>
            <w:shd w:val="clear" w:color="auto" w:fill="auto"/>
            <w:vAlign w:val="center"/>
          </w:tcPr>
          <w:p w14:paraId="44804A02" w14:textId="77777777" w:rsidR="003E0F58" w:rsidRPr="007C705C" w:rsidRDefault="003E0F58" w:rsidP="004D2249">
            <w:pPr>
              <w:jc w:val="center"/>
              <w:rPr>
                <w:rFonts w:cs="Times New Roman"/>
                <w:sz w:val="20"/>
                <w:szCs w:val="20"/>
                <w:lang w:val="cs-CZ"/>
              </w:rPr>
            </w:pPr>
            <w:r w:rsidRPr="007C705C">
              <w:rPr>
                <w:rFonts w:cs="Times New Roman"/>
                <w:sz w:val="20"/>
                <w:szCs w:val="20"/>
                <w:lang w:val="cs-CZ"/>
              </w:rPr>
              <w:t>-6 788,2</w:t>
            </w:r>
          </w:p>
        </w:tc>
        <w:tc>
          <w:tcPr>
            <w:tcW w:w="820" w:type="dxa"/>
            <w:shd w:val="clear" w:color="auto" w:fill="auto"/>
            <w:vAlign w:val="center"/>
          </w:tcPr>
          <w:p w14:paraId="08A41A07" w14:textId="77777777" w:rsidR="003E0F58" w:rsidRPr="007C705C" w:rsidRDefault="003E0F58" w:rsidP="004D2249">
            <w:pPr>
              <w:jc w:val="center"/>
              <w:rPr>
                <w:rFonts w:cs="Times New Roman"/>
                <w:sz w:val="20"/>
                <w:szCs w:val="20"/>
                <w:lang w:val="cs-CZ"/>
              </w:rPr>
            </w:pPr>
            <w:r w:rsidRPr="007C705C">
              <w:rPr>
                <w:rFonts w:cs="Times New Roman"/>
                <w:sz w:val="20"/>
                <w:szCs w:val="20"/>
                <w:lang w:val="cs-CZ"/>
              </w:rPr>
              <w:t>-6 669,4</w:t>
            </w:r>
          </w:p>
        </w:tc>
        <w:tc>
          <w:tcPr>
            <w:tcW w:w="821" w:type="dxa"/>
            <w:shd w:val="clear" w:color="auto" w:fill="auto"/>
            <w:vAlign w:val="center"/>
          </w:tcPr>
          <w:p w14:paraId="1A873638" w14:textId="77777777" w:rsidR="003E0F58" w:rsidRPr="007C705C" w:rsidRDefault="003E0F58" w:rsidP="004D2249">
            <w:pPr>
              <w:jc w:val="center"/>
              <w:rPr>
                <w:rFonts w:cs="Times New Roman"/>
                <w:sz w:val="20"/>
                <w:szCs w:val="20"/>
                <w:lang w:val="cs-CZ"/>
              </w:rPr>
            </w:pPr>
            <w:r w:rsidRPr="007C705C">
              <w:rPr>
                <w:rFonts w:cs="Times New Roman"/>
                <w:sz w:val="20"/>
                <w:szCs w:val="20"/>
                <w:lang w:val="cs-CZ"/>
              </w:rPr>
              <w:t>-5 812,8</w:t>
            </w:r>
          </w:p>
        </w:tc>
        <w:tc>
          <w:tcPr>
            <w:tcW w:w="823" w:type="dxa"/>
            <w:shd w:val="clear" w:color="auto" w:fill="auto"/>
            <w:vAlign w:val="center"/>
          </w:tcPr>
          <w:p w14:paraId="5037B43F" w14:textId="77777777" w:rsidR="003E0F58" w:rsidRPr="007C705C" w:rsidRDefault="003E0F58" w:rsidP="004D2249">
            <w:pPr>
              <w:jc w:val="center"/>
              <w:rPr>
                <w:rFonts w:cs="Times New Roman"/>
                <w:sz w:val="20"/>
                <w:szCs w:val="20"/>
                <w:lang w:val="cs-CZ"/>
              </w:rPr>
            </w:pPr>
            <w:r w:rsidRPr="007C705C">
              <w:rPr>
                <w:rFonts w:cs="Times New Roman"/>
                <w:sz w:val="20"/>
                <w:szCs w:val="20"/>
                <w:lang w:val="cs-CZ"/>
              </w:rPr>
              <w:t>-4683,6</w:t>
            </w:r>
          </w:p>
        </w:tc>
        <w:tc>
          <w:tcPr>
            <w:tcW w:w="975" w:type="dxa"/>
            <w:vAlign w:val="center"/>
          </w:tcPr>
          <w:p w14:paraId="040AADAE" w14:textId="77777777" w:rsidR="003E0F58" w:rsidRPr="007C705C" w:rsidRDefault="003E0F58" w:rsidP="004D2249">
            <w:pPr>
              <w:jc w:val="center"/>
              <w:rPr>
                <w:rFonts w:cs="Times New Roman"/>
                <w:sz w:val="20"/>
                <w:szCs w:val="20"/>
                <w:lang w:val="cs-CZ"/>
              </w:rPr>
            </w:pPr>
            <w:r w:rsidRPr="007C705C">
              <w:rPr>
                <w:rFonts w:cs="Times New Roman"/>
                <w:sz w:val="20"/>
                <w:szCs w:val="20"/>
                <w:lang w:val="cs-CZ"/>
              </w:rPr>
              <w:t>-2315,3*</w:t>
            </w:r>
          </w:p>
        </w:tc>
        <w:tc>
          <w:tcPr>
            <w:tcW w:w="975" w:type="dxa"/>
            <w:vAlign w:val="center"/>
          </w:tcPr>
          <w:p w14:paraId="28B5A90E" w14:textId="77777777" w:rsidR="003E0F58" w:rsidRPr="007C705C" w:rsidRDefault="003E0F58" w:rsidP="004D2249">
            <w:pPr>
              <w:jc w:val="center"/>
              <w:rPr>
                <w:rFonts w:cs="Times New Roman"/>
                <w:sz w:val="20"/>
                <w:szCs w:val="20"/>
                <w:lang w:val="cs-CZ"/>
              </w:rPr>
            </w:pPr>
            <w:r w:rsidRPr="007C705C">
              <w:rPr>
                <w:rFonts w:cs="Times New Roman"/>
                <w:sz w:val="20"/>
                <w:szCs w:val="20"/>
                <w:lang w:val="cs-CZ"/>
              </w:rPr>
              <w:t>5794,2*</w:t>
            </w:r>
          </w:p>
        </w:tc>
      </w:tr>
      <w:tr w:rsidR="00664136" w:rsidRPr="007C705C" w14:paraId="1437165C" w14:textId="77777777" w:rsidTr="00664136">
        <w:trPr>
          <w:trHeight w:val="465"/>
        </w:trPr>
        <w:tc>
          <w:tcPr>
            <w:tcW w:w="1980" w:type="dxa"/>
            <w:shd w:val="clear" w:color="auto" w:fill="auto"/>
            <w:vAlign w:val="center"/>
          </w:tcPr>
          <w:p w14:paraId="50059265" w14:textId="77777777" w:rsidR="003E0F58" w:rsidRPr="007C705C" w:rsidRDefault="003E0F58" w:rsidP="004D2249">
            <w:pPr>
              <w:jc w:val="left"/>
              <w:rPr>
                <w:rFonts w:cs="Times New Roman"/>
                <w:sz w:val="20"/>
                <w:szCs w:val="20"/>
                <w:lang w:val="cs-CZ"/>
              </w:rPr>
            </w:pPr>
            <w:r w:rsidRPr="007C705C">
              <w:rPr>
                <w:rFonts w:cs="Times New Roman"/>
                <w:sz w:val="20"/>
                <w:szCs w:val="20"/>
                <w:lang w:val="cs-CZ"/>
              </w:rPr>
              <w:t>Celkové čisté emise ze zemědělství a lesnictví</w:t>
            </w:r>
          </w:p>
        </w:tc>
        <w:tc>
          <w:tcPr>
            <w:tcW w:w="928" w:type="dxa"/>
            <w:shd w:val="clear" w:color="auto" w:fill="auto"/>
            <w:vAlign w:val="center"/>
          </w:tcPr>
          <w:p w14:paraId="00CE0363" w14:textId="77777777" w:rsidR="003E0F58" w:rsidRPr="007C705C" w:rsidRDefault="003E0F58" w:rsidP="004D2249">
            <w:pPr>
              <w:jc w:val="center"/>
              <w:rPr>
                <w:rFonts w:cs="Times New Roman"/>
                <w:sz w:val="20"/>
                <w:szCs w:val="20"/>
                <w:lang w:val="cs-CZ"/>
              </w:rPr>
            </w:pPr>
            <w:r w:rsidRPr="007C705C">
              <w:rPr>
                <w:rFonts w:cs="Times New Roman"/>
                <w:sz w:val="20"/>
                <w:szCs w:val="20"/>
                <w:lang w:val="cs-CZ"/>
              </w:rPr>
              <w:t>1 000 t CO</w:t>
            </w:r>
            <w:r w:rsidRPr="007C705C">
              <w:rPr>
                <w:rFonts w:cs="Times New Roman"/>
                <w:sz w:val="20"/>
                <w:szCs w:val="20"/>
                <w:vertAlign w:val="subscript"/>
                <w:lang w:val="cs-CZ"/>
              </w:rPr>
              <w:t>2</w:t>
            </w:r>
            <w:r w:rsidRPr="007C705C">
              <w:rPr>
                <w:rFonts w:cs="Times New Roman"/>
                <w:sz w:val="20"/>
                <w:szCs w:val="20"/>
                <w:lang w:val="cs-CZ"/>
              </w:rPr>
              <w:t xml:space="preserve"> ekvivalentů</w:t>
            </w:r>
          </w:p>
        </w:tc>
        <w:tc>
          <w:tcPr>
            <w:tcW w:w="821" w:type="dxa"/>
            <w:shd w:val="clear" w:color="auto" w:fill="auto"/>
            <w:vAlign w:val="center"/>
          </w:tcPr>
          <w:p w14:paraId="7A64A682" w14:textId="77777777" w:rsidR="003E0F58" w:rsidRPr="007C705C" w:rsidRDefault="003E0F58" w:rsidP="004D2249">
            <w:pPr>
              <w:jc w:val="center"/>
              <w:rPr>
                <w:rFonts w:cs="Times New Roman"/>
                <w:sz w:val="20"/>
                <w:szCs w:val="20"/>
                <w:lang w:val="cs-CZ"/>
              </w:rPr>
            </w:pPr>
            <w:r w:rsidRPr="007C705C">
              <w:rPr>
                <w:rFonts w:cs="Times New Roman"/>
                <w:sz w:val="20"/>
                <w:szCs w:val="20"/>
                <w:lang w:val="cs-CZ"/>
              </w:rPr>
              <w:t>519,8</w:t>
            </w:r>
          </w:p>
        </w:tc>
        <w:tc>
          <w:tcPr>
            <w:tcW w:w="820" w:type="dxa"/>
            <w:shd w:val="clear" w:color="auto" w:fill="auto"/>
            <w:vAlign w:val="center"/>
          </w:tcPr>
          <w:p w14:paraId="0254B641" w14:textId="77777777" w:rsidR="003E0F58" w:rsidRPr="007C705C" w:rsidRDefault="003E0F58" w:rsidP="004D2249">
            <w:pPr>
              <w:jc w:val="center"/>
              <w:rPr>
                <w:rFonts w:cs="Times New Roman"/>
                <w:sz w:val="20"/>
                <w:szCs w:val="20"/>
                <w:lang w:val="cs-CZ"/>
              </w:rPr>
            </w:pPr>
            <w:r w:rsidRPr="007C705C">
              <w:rPr>
                <w:rFonts w:cs="Times New Roman"/>
                <w:sz w:val="20"/>
                <w:szCs w:val="20"/>
                <w:lang w:val="cs-CZ"/>
              </w:rPr>
              <w:t>1 243,9</w:t>
            </w:r>
          </w:p>
        </w:tc>
        <w:tc>
          <w:tcPr>
            <w:tcW w:w="821" w:type="dxa"/>
            <w:shd w:val="clear" w:color="auto" w:fill="auto"/>
            <w:vAlign w:val="center"/>
          </w:tcPr>
          <w:p w14:paraId="06E07F5C" w14:textId="77777777" w:rsidR="003E0F58" w:rsidRPr="007C705C" w:rsidRDefault="003E0F58" w:rsidP="004D2249">
            <w:pPr>
              <w:jc w:val="center"/>
              <w:rPr>
                <w:rFonts w:cs="Times New Roman"/>
                <w:sz w:val="20"/>
                <w:szCs w:val="20"/>
                <w:lang w:val="cs-CZ"/>
              </w:rPr>
            </w:pPr>
            <w:r w:rsidRPr="007C705C">
              <w:rPr>
                <w:rFonts w:cs="Times New Roman"/>
                <w:sz w:val="20"/>
                <w:szCs w:val="20"/>
                <w:lang w:val="cs-CZ"/>
              </w:rPr>
              <w:t>814,3</w:t>
            </w:r>
          </w:p>
        </w:tc>
        <w:tc>
          <w:tcPr>
            <w:tcW w:w="820" w:type="dxa"/>
            <w:shd w:val="clear" w:color="auto" w:fill="auto"/>
            <w:vAlign w:val="center"/>
          </w:tcPr>
          <w:p w14:paraId="6D829230" w14:textId="77777777" w:rsidR="003E0F58" w:rsidRPr="007C705C" w:rsidRDefault="003E0F58" w:rsidP="004D2249">
            <w:pPr>
              <w:jc w:val="center"/>
              <w:rPr>
                <w:rFonts w:cs="Times New Roman"/>
                <w:sz w:val="20"/>
                <w:szCs w:val="20"/>
                <w:lang w:val="cs-CZ"/>
              </w:rPr>
            </w:pPr>
            <w:r w:rsidRPr="007C705C">
              <w:rPr>
                <w:rFonts w:cs="Times New Roman"/>
                <w:sz w:val="20"/>
                <w:szCs w:val="20"/>
                <w:lang w:val="cs-CZ"/>
              </w:rPr>
              <w:t>585,3</w:t>
            </w:r>
          </w:p>
        </w:tc>
        <w:tc>
          <w:tcPr>
            <w:tcW w:w="821" w:type="dxa"/>
            <w:shd w:val="clear" w:color="auto" w:fill="auto"/>
            <w:vAlign w:val="center"/>
          </w:tcPr>
          <w:p w14:paraId="452F1AE3" w14:textId="77777777" w:rsidR="003E0F58" w:rsidRPr="007C705C" w:rsidRDefault="003E0F58" w:rsidP="004D2249">
            <w:pPr>
              <w:jc w:val="center"/>
              <w:rPr>
                <w:rFonts w:cs="Times New Roman"/>
                <w:sz w:val="20"/>
                <w:szCs w:val="20"/>
                <w:lang w:val="cs-CZ"/>
              </w:rPr>
            </w:pPr>
            <w:r w:rsidRPr="007C705C">
              <w:rPr>
                <w:rFonts w:cs="Times New Roman"/>
                <w:sz w:val="20"/>
                <w:szCs w:val="20"/>
                <w:lang w:val="cs-CZ"/>
              </w:rPr>
              <w:t>1 201,3</w:t>
            </w:r>
          </w:p>
        </w:tc>
        <w:tc>
          <w:tcPr>
            <w:tcW w:w="820" w:type="dxa"/>
            <w:shd w:val="clear" w:color="auto" w:fill="auto"/>
            <w:vAlign w:val="center"/>
          </w:tcPr>
          <w:p w14:paraId="3B2750E7" w14:textId="77777777" w:rsidR="003E0F58" w:rsidRPr="007C705C" w:rsidRDefault="003E0F58" w:rsidP="004D2249">
            <w:pPr>
              <w:jc w:val="center"/>
              <w:rPr>
                <w:rFonts w:cs="Times New Roman"/>
                <w:sz w:val="20"/>
                <w:szCs w:val="20"/>
                <w:lang w:val="cs-CZ"/>
              </w:rPr>
            </w:pPr>
            <w:r w:rsidRPr="007C705C">
              <w:rPr>
                <w:rFonts w:cs="Times New Roman"/>
                <w:sz w:val="20"/>
                <w:szCs w:val="20"/>
                <w:lang w:val="cs-CZ"/>
              </w:rPr>
              <w:t>1 379,9</w:t>
            </w:r>
          </w:p>
        </w:tc>
        <w:tc>
          <w:tcPr>
            <w:tcW w:w="821" w:type="dxa"/>
            <w:shd w:val="clear" w:color="auto" w:fill="auto"/>
            <w:vAlign w:val="center"/>
          </w:tcPr>
          <w:p w14:paraId="6E5790F8" w14:textId="77777777" w:rsidR="003E0F58" w:rsidRPr="007C705C" w:rsidRDefault="003E0F58" w:rsidP="004D2249">
            <w:pPr>
              <w:jc w:val="center"/>
              <w:rPr>
                <w:rFonts w:cs="Times New Roman"/>
                <w:sz w:val="20"/>
                <w:szCs w:val="20"/>
                <w:lang w:val="cs-CZ"/>
              </w:rPr>
            </w:pPr>
            <w:r w:rsidRPr="007C705C">
              <w:rPr>
                <w:rFonts w:cs="Times New Roman"/>
                <w:sz w:val="20"/>
                <w:szCs w:val="20"/>
                <w:lang w:val="cs-CZ"/>
              </w:rPr>
              <w:t>2 816,3</w:t>
            </w:r>
          </w:p>
        </w:tc>
        <w:tc>
          <w:tcPr>
            <w:tcW w:w="823" w:type="dxa"/>
            <w:shd w:val="clear" w:color="auto" w:fill="auto"/>
            <w:vAlign w:val="center"/>
          </w:tcPr>
          <w:p w14:paraId="30617F3E" w14:textId="77777777" w:rsidR="003E0F58" w:rsidRPr="007C705C" w:rsidRDefault="003E0F58" w:rsidP="004D2249">
            <w:pPr>
              <w:jc w:val="center"/>
              <w:rPr>
                <w:rFonts w:cs="Times New Roman"/>
                <w:sz w:val="20"/>
                <w:szCs w:val="20"/>
                <w:lang w:val="cs-CZ"/>
              </w:rPr>
            </w:pPr>
            <w:r w:rsidRPr="007C705C">
              <w:rPr>
                <w:rFonts w:cs="Times New Roman"/>
                <w:sz w:val="20"/>
                <w:szCs w:val="20"/>
                <w:lang w:val="cs-CZ"/>
              </w:rPr>
              <w:t>4175,7</w:t>
            </w:r>
          </w:p>
        </w:tc>
        <w:tc>
          <w:tcPr>
            <w:tcW w:w="975" w:type="dxa"/>
            <w:vAlign w:val="center"/>
          </w:tcPr>
          <w:p w14:paraId="275B3ED3" w14:textId="77777777" w:rsidR="003E0F58" w:rsidRPr="007C705C" w:rsidRDefault="003E0F58" w:rsidP="004D2249">
            <w:pPr>
              <w:jc w:val="center"/>
              <w:rPr>
                <w:rFonts w:cs="Times New Roman"/>
                <w:sz w:val="20"/>
                <w:szCs w:val="20"/>
                <w:lang w:val="cs-CZ"/>
              </w:rPr>
            </w:pPr>
            <w:r w:rsidRPr="007C705C">
              <w:rPr>
                <w:rFonts w:cs="Times New Roman"/>
                <w:sz w:val="20"/>
                <w:szCs w:val="20"/>
                <w:lang w:val="cs-CZ"/>
              </w:rPr>
              <w:t>6474,0</w:t>
            </w:r>
          </w:p>
        </w:tc>
        <w:tc>
          <w:tcPr>
            <w:tcW w:w="975" w:type="dxa"/>
            <w:vAlign w:val="center"/>
          </w:tcPr>
          <w:p w14:paraId="7285DB33" w14:textId="77777777" w:rsidR="003E0F58" w:rsidRPr="007C705C" w:rsidRDefault="003E0F58" w:rsidP="004D2249">
            <w:pPr>
              <w:jc w:val="center"/>
              <w:rPr>
                <w:rFonts w:cs="Times New Roman"/>
                <w:sz w:val="20"/>
                <w:szCs w:val="20"/>
                <w:lang w:val="cs-CZ"/>
              </w:rPr>
            </w:pPr>
            <w:r w:rsidRPr="007C705C">
              <w:rPr>
                <w:rFonts w:cs="Times New Roman"/>
                <w:sz w:val="20"/>
                <w:szCs w:val="20"/>
                <w:lang w:val="cs-CZ"/>
              </w:rPr>
              <w:t>14400,7</w:t>
            </w:r>
          </w:p>
        </w:tc>
      </w:tr>
    </w:tbl>
    <w:p w14:paraId="013B79E1" w14:textId="483ABEC1" w:rsidR="007C705C" w:rsidRDefault="003E0F58" w:rsidP="00B644A3">
      <w:pPr>
        <w:pStyle w:val="UZEIZdroj"/>
      </w:pPr>
      <w:r w:rsidRPr="007C705C">
        <w:t>Zdroj: Eurostat, *propad v důsledku těžby kůrovcového dřeva</w:t>
      </w:r>
    </w:p>
    <w:p w14:paraId="11184EED" w14:textId="6F0A8273" w:rsidR="003E0F58" w:rsidRPr="007C705C" w:rsidRDefault="003E0F58" w:rsidP="00751773">
      <w:pPr>
        <w:pStyle w:val="UZEINormaln"/>
        <w:keepNext/>
        <w:rPr>
          <w:rFonts w:eastAsiaTheme="minorEastAsia" w:cs="Times New Roman"/>
          <w:b/>
          <w:bCs/>
        </w:rPr>
      </w:pPr>
      <w:r w:rsidRPr="007C705C">
        <w:rPr>
          <w:rFonts w:eastAsiaTheme="minorEastAsia" w:cs="Times New Roman"/>
          <w:b/>
          <w:bCs/>
        </w:rPr>
        <w:lastRenderedPageBreak/>
        <w:t>Emise GHG ze zemědělství – detailní rozbor</w:t>
      </w:r>
    </w:p>
    <w:p w14:paraId="6C98912B" w14:textId="502F9EB6" w:rsidR="003E0F58" w:rsidRPr="007C705C" w:rsidRDefault="003E0F58" w:rsidP="00751773">
      <w:pPr>
        <w:pStyle w:val="UZEITaB"/>
        <w:keepNext/>
        <w:rPr>
          <w:rFonts w:cs="Times New Roman"/>
        </w:rPr>
      </w:pPr>
      <w:bookmarkStart w:id="145" w:name="_Toc77245796"/>
      <w:bookmarkStart w:id="146" w:name="_Ref81227639"/>
      <w:bookmarkStart w:id="147" w:name="_Ref81227662"/>
      <w:bookmarkStart w:id="148" w:name="_Toc94181553"/>
      <w:r w:rsidRPr="007C705C">
        <w:rPr>
          <w:rFonts w:cs="Times New Roman"/>
        </w:rPr>
        <w:t>Trends of the livestock population in the period 1990-2019 (thousands of heads),</w:t>
      </w:r>
      <w:bookmarkEnd w:id="145"/>
      <w:bookmarkEnd w:id="146"/>
      <w:bookmarkEnd w:id="147"/>
      <w:bookmarkEnd w:id="148"/>
      <w:r w:rsidRPr="007C705C">
        <w:rPr>
          <w:rFonts w:cs="Times New Roman"/>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900"/>
        <w:gridCol w:w="900"/>
        <w:gridCol w:w="900"/>
        <w:gridCol w:w="900"/>
        <w:gridCol w:w="900"/>
        <w:gridCol w:w="900"/>
        <w:gridCol w:w="900"/>
        <w:gridCol w:w="900"/>
        <w:gridCol w:w="900"/>
      </w:tblGrid>
      <w:tr w:rsidR="003E0F58" w:rsidRPr="007C705C" w14:paraId="2EA8DAC7" w14:textId="77777777" w:rsidTr="004D2249">
        <w:trPr>
          <w:trHeight w:val="90"/>
        </w:trPr>
        <w:tc>
          <w:tcPr>
            <w:tcW w:w="900" w:type="dxa"/>
          </w:tcPr>
          <w:p w14:paraId="34060BDE" w14:textId="77777777" w:rsidR="003E0F58" w:rsidRPr="007C705C" w:rsidRDefault="003E0F58" w:rsidP="00C228A5">
            <w:pPr>
              <w:keepNext/>
              <w:autoSpaceDE w:val="0"/>
              <w:autoSpaceDN w:val="0"/>
              <w:adjustRightInd w:val="0"/>
              <w:jc w:val="left"/>
              <w:rPr>
                <w:rFonts w:cs="Times New Roman"/>
                <w:color w:val="000000"/>
                <w:sz w:val="20"/>
                <w:szCs w:val="20"/>
                <w:lang w:val="cs-CZ"/>
              </w:rPr>
            </w:pPr>
          </w:p>
        </w:tc>
        <w:tc>
          <w:tcPr>
            <w:tcW w:w="900" w:type="dxa"/>
            <w:vAlign w:val="center"/>
          </w:tcPr>
          <w:p w14:paraId="67021731" w14:textId="77777777" w:rsidR="003E0F58" w:rsidRPr="007C705C" w:rsidRDefault="003E0F58" w:rsidP="00C228A5">
            <w:pPr>
              <w:keepNext/>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1990</w:t>
            </w:r>
          </w:p>
        </w:tc>
        <w:tc>
          <w:tcPr>
            <w:tcW w:w="900" w:type="dxa"/>
            <w:vAlign w:val="center"/>
          </w:tcPr>
          <w:p w14:paraId="5640A0F2" w14:textId="77777777" w:rsidR="003E0F58" w:rsidRPr="007C705C" w:rsidRDefault="003E0F58" w:rsidP="00C228A5">
            <w:pPr>
              <w:keepNext/>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1995</w:t>
            </w:r>
          </w:p>
        </w:tc>
        <w:tc>
          <w:tcPr>
            <w:tcW w:w="900" w:type="dxa"/>
            <w:vAlign w:val="center"/>
          </w:tcPr>
          <w:p w14:paraId="086B3E35" w14:textId="77777777" w:rsidR="003E0F58" w:rsidRPr="007C705C" w:rsidRDefault="003E0F58" w:rsidP="00C228A5">
            <w:pPr>
              <w:keepNext/>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2000</w:t>
            </w:r>
          </w:p>
        </w:tc>
        <w:tc>
          <w:tcPr>
            <w:tcW w:w="900" w:type="dxa"/>
            <w:vAlign w:val="center"/>
          </w:tcPr>
          <w:p w14:paraId="153E2603" w14:textId="77777777" w:rsidR="003E0F58" w:rsidRPr="007C705C" w:rsidRDefault="003E0F58" w:rsidP="00C228A5">
            <w:pPr>
              <w:keepNext/>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2005</w:t>
            </w:r>
          </w:p>
        </w:tc>
        <w:tc>
          <w:tcPr>
            <w:tcW w:w="900" w:type="dxa"/>
            <w:vAlign w:val="center"/>
          </w:tcPr>
          <w:p w14:paraId="0C4501C2" w14:textId="77777777" w:rsidR="003E0F58" w:rsidRPr="007C705C" w:rsidRDefault="003E0F58" w:rsidP="00C228A5">
            <w:pPr>
              <w:keepNext/>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2010</w:t>
            </w:r>
          </w:p>
        </w:tc>
        <w:tc>
          <w:tcPr>
            <w:tcW w:w="900" w:type="dxa"/>
            <w:vAlign w:val="center"/>
          </w:tcPr>
          <w:p w14:paraId="4E611996" w14:textId="77777777" w:rsidR="003E0F58" w:rsidRPr="007C705C" w:rsidRDefault="003E0F58" w:rsidP="00C228A5">
            <w:pPr>
              <w:keepNext/>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2015</w:t>
            </w:r>
          </w:p>
        </w:tc>
        <w:tc>
          <w:tcPr>
            <w:tcW w:w="900" w:type="dxa"/>
            <w:vAlign w:val="center"/>
          </w:tcPr>
          <w:p w14:paraId="7E1F6C7A" w14:textId="77777777" w:rsidR="003E0F58" w:rsidRPr="007C705C" w:rsidRDefault="003E0F58" w:rsidP="00C228A5">
            <w:pPr>
              <w:keepNext/>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2017</w:t>
            </w:r>
          </w:p>
        </w:tc>
        <w:tc>
          <w:tcPr>
            <w:tcW w:w="900" w:type="dxa"/>
            <w:vAlign w:val="center"/>
          </w:tcPr>
          <w:p w14:paraId="16916E1F" w14:textId="77777777" w:rsidR="003E0F58" w:rsidRPr="007C705C" w:rsidRDefault="003E0F58" w:rsidP="00C228A5">
            <w:pPr>
              <w:keepNext/>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2018</w:t>
            </w:r>
          </w:p>
        </w:tc>
        <w:tc>
          <w:tcPr>
            <w:tcW w:w="900" w:type="dxa"/>
            <w:vAlign w:val="center"/>
          </w:tcPr>
          <w:p w14:paraId="643A6105" w14:textId="77777777" w:rsidR="003E0F58" w:rsidRPr="007C705C" w:rsidRDefault="003E0F58" w:rsidP="00C228A5">
            <w:pPr>
              <w:keepNext/>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2019</w:t>
            </w:r>
          </w:p>
        </w:tc>
      </w:tr>
      <w:tr w:rsidR="003E0F58" w:rsidRPr="007C705C" w14:paraId="25364CFD" w14:textId="77777777" w:rsidTr="004D2249">
        <w:trPr>
          <w:trHeight w:val="90"/>
        </w:trPr>
        <w:tc>
          <w:tcPr>
            <w:tcW w:w="900" w:type="dxa"/>
          </w:tcPr>
          <w:p w14:paraId="1EDDD598" w14:textId="77777777" w:rsidR="003E0F58" w:rsidRPr="007C705C" w:rsidRDefault="003E0F58" w:rsidP="00C228A5">
            <w:pPr>
              <w:keepNext/>
              <w:autoSpaceDE w:val="0"/>
              <w:autoSpaceDN w:val="0"/>
              <w:adjustRightInd w:val="0"/>
              <w:jc w:val="left"/>
              <w:rPr>
                <w:rFonts w:cs="Times New Roman"/>
                <w:b/>
                <w:bCs/>
                <w:color w:val="000000"/>
                <w:sz w:val="20"/>
                <w:szCs w:val="20"/>
                <w:lang w:val="cs-CZ"/>
              </w:rPr>
            </w:pPr>
            <w:r w:rsidRPr="007C705C">
              <w:rPr>
                <w:rFonts w:cs="Times New Roman"/>
                <w:b/>
                <w:bCs/>
                <w:color w:val="000000"/>
                <w:sz w:val="20"/>
                <w:szCs w:val="20"/>
                <w:lang w:val="cs-CZ"/>
              </w:rPr>
              <w:t xml:space="preserve">Cattle </w:t>
            </w:r>
          </w:p>
        </w:tc>
        <w:tc>
          <w:tcPr>
            <w:tcW w:w="900" w:type="dxa"/>
            <w:vAlign w:val="center"/>
          </w:tcPr>
          <w:p w14:paraId="3F57DEC4" w14:textId="77777777" w:rsidR="003E0F58" w:rsidRPr="007C705C" w:rsidRDefault="003E0F58" w:rsidP="00C228A5">
            <w:pPr>
              <w:keepNext/>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3 506 </w:t>
            </w:r>
          </w:p>
        </w:tc>
        <w:tc>
          <w:tcPr>
            <w:tcW w:w="900" w:type="dxa"/>
            <w:vAlign w:val="center"/>
          </w:tcPr>
          <w:p w14:paraId="2909E809" w14:textId="77777777" w:rsidR="003E0F58" w:rsidRPr="007C705C" w:rsidRDefault="003E0F58" w:rsidP="00C228A5">
            <w:pPr>
              <w:keepNext/>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2 030 </w:t>
            </w:r>
          </w:p>
        </w:tc>
        <w:tc>
          <w:tcPr>
            <w:tcW w:w="900" w:type="dxa"/>
            <w:vAlign w:val="center"/>
          </w:tcPr>
          <w:p w14:paraId="7C176B25" w14:textId="77777777" w:rsidR="003E0F58" w:rsidRPr="007C705C" w:rsidRDefault="003E0F58" w:rsidP="00C228A5">
            <w:pPr>
              <w:keepNext/>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1 574 </w:t>
            </w:r>
          </w:p>
        </w:tc>
        <w:tc>
          <w:tcPr>
            <w:tcW w:w="900" w:type="dxa"/>
            <w:vAlign w:val="center"/>
          </w:tcPr>
          <w:p w14:paraId="29766E64" w14:textId="77777777" w:rsidR="003E0F58" w:rsidRPr="007C705C" w:rsidRDefault="003E0F58" w:rsidP="00C228A5">
            <w:pPr>
              <w:keepNext/>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1 392 </w:t>
            </w:r>
          </w:p>
        </w:tc>
        <w:tc>
          <w:tcPr>
            <w:tcW w:w="900" w:type="dxa"/>
            <w:vAlign w:val="center"/>
          </w:tcPr>
          <w:p w14:paraId="3F75C739" w14:textId="77777777" w:rsidR="003E0F58" w:rsidRPr="007C705C" w:rsidRDefault="003E0F58" w:rsidP="00C228A5">
            <w:pPr>
              <w:keepNext/>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1 349 </w:t>
            </w:r>
          </w:p>
        </w:tc>
        <w:tc>
          <w:tcPr>
            <w:tcW w:w="900" w:type="dxa"/>
            <w:vAlign w:val="center"/>
          </w:tcPr>
          <w:p w14:paraId="2468A7D5" w14:textId="77777777" w:rsidR="003E0F58" w:rsidRPr="007C705C" w:rsidRDefault="003E0F58" w:rsidP="00C228A5">
            <w:pPr>
              <w:keepNext/>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1 407 </w:t>
            </w:r>
          </w:p>
        </w:tc>
        <w:tc>
          <w:tcPr>
            <w:tcW w:w="900" w:type="dxa"/>
            <w:vAlign w:val="center"/>
          </w:tcPr>
          <w:p w14:paraId="5DFB4CDA" w14:textId="77777777" w:rsidR="003E0F58" w:rsidRPr="007C705C" w:rsidRDefault="003E0F58" w:rsidP="00C228A5">
            <w:pPr>
              <w:keepNext/>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1 421 </w:t>
            </w:r>
          </w:p>
        </w:tc>
        <w:tc>
          <w:tcPr>
            <w:tcW w:w="900" w:type="dxa"/>
            <w:vAlign w:val="center"/>
          </w:tcPr>
          <w:p w14:paraId="0CC02310" w14:textId="77777777" w:rsidR="003E0F58" w:rsidRPr="007C705C" w:rsidRDefault="003E0F58" w:rsidP="00C228A5">
            <w:pPr>
              <w:keepNext/>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1 416 </w:t>
            </w:r>
          </w:p>
        </w:tc>
        <w:tc>
          <w:tcPr>
            <w:tcW w:w="900" w:type="dxa"/>
            <w:vAlign w:val="center"/>
          </w:tcPr>
          <w:p w14:paraId="420DC473" w14:textId="77777777" w:rsidR="003E0F58" w:rsidRPr="007C705C" w:rsidRDefault="003E0F58" w:rsidP="00C228A5">
            <w:pPr>
              <w:keepNext/>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1 418 </w:t>
            </w:r>
          </w:p>
        </w:tc>
      </w:tr>
      <w:tr w:rsidR="003E0F58" w:rsidRPr="007C705C" w14:paraId="79FEDC9C" w14:textId="77777777" w:rsidTr="004D2249">
        <w:trPr>
          <w:trHeight w:val="90"/>
        </w:trPr>
        <w:tc>
          <w:tcPr>
            <w:tcW w:w="900" w:type="dxa"/>
          </w:tcPr>
          <w:p w14:paraId="2F345E41" w14:textId="77777777" w:rsidR="003E0F58" w:rsidRPr="007C705C" w:rsidRDefault="003E0F58" w:rsidP="004D2249">
            <w:pPr>
              <w:autoSpaceDE w:val="0"/>
              <w:autoSpaceDN w:val="0"/>
              <w:adjustRightInd w:val="0"/>
              <w:jc w:val="left"/>
              <w:rPr>
                <w:rFonts w:cs="Times New Roman"/>
                <w:color w:val="000000"/>
                <w:sz w:val="20"/>
                <w:szCs w:val="20"/>
                <w:lang w:val="cs-CZ"/>
              </w:rPr>
            </w:pPr>
            <w:r w:rsidRPr="007C705C">
              <w:rPr>
                <w:rFonts w:cs="Times New Roman"/>
                <w:b/>
                <w:bCs/>
                <w:color w:val="000000"/>
                <w:sz w:val="20"/>
                <w:szCs w:val="20"/>
                <w:lang w:val="cs-CZ"/>
              </w:rPr>
              <w:t xml:space="preserve">Swine </w:t>
            </w:r>
          </w:p>
        </w:tc>
        <w:tc>
          <w:tcPr>
            <w:tcW w:w="900" w:type="dxa"/>
            <w:vAlign w:val="center"/>
          </w:tcPr>
          <w:p w14:paraId="07109D03"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4 790 </w:t>
            </w:r>
          </w:p>
        </w:tc>
        <w:tc>
          <w:tcPr>
            <w:tcW w:w="900" w:type="dxa"/>
            <w:vAlign w:val="center"/>
          </w:tcPr>
          <w:p w14:paraId="236434D0"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3 867 </w:t>
            </w:r>
          </w:p>
        </w:tc>
        <w:tc>
          <w:tcPr>
            <w:tcW w:w="900" w:type="dxa"/>
            <w:vAlign w:val="center"/>
          </w:tcPr>
          <w:p w14:paraId="564AD64B"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3 688 </w:t>
            </w:r>
          </w:p>
        </w:tc>
        <w:tc>
          <w:tcPr>
            <w:tcW w:w="900" w:type="dxa"/>
            <w:vAlign w:val="center"/>
          </w:tcPr>
          <w:p w14:paraId="100BE712"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2 877 </w:t>
            </w:r>
          </w:p>
        </w:tc>
        <w:tc>
          <w:tcPr>
            <w:tcW w:w="900" w:type="dxa"/>
            <w:vAlign w:val="center"/>
          </w:tcPr>
          <w:p w14:paraId="33AC5FA0"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1 909 </w:t>
            </w:r>
          </w:p>
        </w:tc>
        <w:tc>
          <w:tcPr>
            <w:tcW w:w="900" w:type="dxa"/>
            <w:vAlign w:val="center"/>
          </w:tcPr>
          <w:p w14:paraId="76DD5EE7"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1 560 </w:t>
            </w:r>
          </w:p>
        </w:tc>
        <w:tc>
          <w:tcPr>
            <w:tcW w:w="900" w:type="dxa"/>
            <w:vAlign w:val="center"/>
          </w:tcPr>
          <w:p w14:paraId="258EC5B2"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1 491 </w:t>
            </w:r>
          </w:p>
        </w:tc>
        <w:tc>
          <w:tcPr>
            <w:tcW w:w="900" w:type="dxa"/>
            <w:vAlign w:val="center"/>
          </w:tcPr>
          <w:p w14:paraId="71430837"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1 557 </w:t>
            </w:r>
          </w:p>
        </w:tc>
        <w:tc>
          <w:tcPr>
            <w:tcW w:w="900" w:type="dxa"/>
            <w:vAlign w:val="center"/>
          </w:tcPr>
          <w:p w14:paraId="339F1BEB"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1 544 </w:t>
            </w:r>
          </w:p>
        </w:tc>
      </w:tr>
      <w:tr w:rsidR="003E0F58" w:rsidRPr="007C705C" w14:paraId="7BC990B8" w14:textId="77777777" w:rsidTr="004D2249">
        <w:trPr>
          <w:trHeight w:val="90"/>
        </w:trPr>
        <w:tc>
          <w:tcPr>
            <w:tcW w:w="900" w:type="dxa"/>
          </w:tcPr>
          <w:p w14:paraId="41624F7F" w14:textId="77777777" w:rsidR="003E0F58" w:rsidRPr="007C705C" w:rsidRDefault="003E0F58" w:rsidP="004D2249">
            <w:pPr>
              <w:autoSpaceDE w:val="0"/>
              <w:autoSpaceDN w:val="0"/>
              <w:adjustRightInd w:val="0"/>
              <w:jc w:val="left"/>
              <w:rPr>
                <w:rFonts w:cs="Times New Roman"/>
                <w:color w:val="000000"/>
                <w:sz w:val="20"/>
                <w:szCs w:val="20"/>
                <w:lang w:val="cs-CZ"/>
              </w:rPr>
            </w:pPr>
            <w:r w:rsidRPr="007C705C">
              <w:rPr>
                <w:rFonts w:cs="Times New Roman"/>
                <w:b/>
                <w:bCs/>
                <w:color w:val="000000"/>
                <w:sz w:val="20"/>
                <w:szCs w:val="20"/>
                <w:lang w:val="cs-CZ"/>
              </w:rPr>
              <w:t xml:space="preserve">Sheep </w:t>
            </w:r>
          </w:p>
        </w:tc>
        <w:tc>
          <w:tcPr>
            <w:tcW w:w="900" w:type="dxa"/>
            <w:vAlign w:val="center"/>
          </w:tcPr>
          <w:p w14:paraId="73909AAB"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430 </w:t>
            </w:r>
          </w:p>
        </w:tc>
        <w:tc>
          <w:tcPr>
            <w:tcW w:w="900" w:type="dxa"/>
            <w:vAlign w:val="center"/>
          </w:tcPr>
          <w:p w14:paraId="0D8A82AB"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165 </w:t>
            </w:r>
          </w:p>
        </w:tc>
        <w:tc>
          <w:tcPr>
            <w:tcW w:w="900" w:type="dxa"/>
            <w:vAlign w:val="center"/>
          </w:tcPr>
          <w:p w14:paraId="15C38702"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84 </w:t>
            </w:r>
          </w:p>
        </w:tc>
        <w:tc>
          <w:tcPr>
            <w:tcW w:w="900" w:type="dxa"/>
            <w:vAlign w:val="center"/>
          </w:tcPr>
          <w:p w14:paraId="091F03A3"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140 </w:t>
            </w:r>
          </w:p>
        </w:tc>
        <w:tc>
          <w:tcPr>
            <w:tcW w:w="900" w:type="dxa"/>
            <w:vAlign w:val="center"/>
          </w:tcPr>
          <w:p w14:paraId="05DB48A1"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197 </w:t>
            </w:r>
          </w:p>
        </w:tc>
        <w:tc>
          <w:tcPr>
            <w:tcW w:w="900" w:type="dxa"/>
            <w:vAlign w:val="center"/>
          </w:tcPr>
          <w:p w14:paraId="487DF5BF"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232 </w:t>
            </w:r>
          </w:p>
        </w:tc>
        <w:tc>
          <w:tcPr>
            <w:tcW w:w="900" w:type="dxa"/>
            <w:vAlign w:val="center"/>
          </w:tcPr>
          <w:p w14:paraId="23496F23"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217 </w:t>
            </w:r>
          </w:p>
        </w:tc>
        <w:tc>
          <w:tcPr>
            <w:tcW w:w="900" w:type="dxa"/>
            <w:vAlign w:val="center"/>
          </w:tcPr>
          <w:p w14:paraId="533967E2"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219 </w:t>
            </w:r>
          </w:p>
        </w:tc>
        <w:tc>
          <w:tcPr>
            <w:tcW w:w="900" w:type="dxa"/>
            <w:vAlign w:val="center"/>
          </w:tcPr>
          <w:p w14:paraId="5C531E98"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213 </w:t>
            </w:r>
          </w:p>
        </w:tc>
      </w:tr>
      <w:tr w:rsidR="003E0F58" w:rsidRPr="007C705C" w14:paraId="7C2DF602" w14:textId="77777777" w:rsidTr="004D2249">
        <w:trPr>
          <w:trHeight w:val="90"/>
        </w:trPr>
        <w:tc>
          <w:tcPr>
            <w:tcW w:w="900" w:type="dxa"/>
          </w:tcPr>
          <w:p w14:paraId="7EC1EB6F" w14:textId="77777777" w:rsidR="003E0F58" w:rsidRPr="007C705C" w:rsidRDefault="003E0F58" w:rsidP="004D2249">
            <w:pPr>
              <w:autoSpaceDE w:val="0"/>
              <w:autoSpaceDN w:val="0"/>
              <w:adjustRightInd w:val="0"/>
              <w:jc w:val="left"/>
              <w:rPr>
                <w:rFonts w:cs="Times New Roman"/>
                <w:color w:val="000000"/>
                <w:sz w:val="20"/>
                <w:szCs w:val="20"/>
                <w:lang w:val="cs-CZ"/>
              </w:rPr>
            </w:pPr>
            <w:r w:rsidRPr="007C705C">
              <w:rPr>
                <w:rFonts w:cs="Times New Roman"/>
                <w:b/>
                <w:bCs/>
                <w:color w:val="000000"/>
                <w:sz w:val="20"/>
                <w:szCs w:val="20"/>
                <w:lang w:val="cs-CZ"/>
              </w:rPr>
              <w:t xml:space="preserve">Poultry </w:t>
            </w:r>
          </w:p>
        </w:tc>
        <w:tc>
          <w:tcPr>
            <w:tcW w:w="900" w:type="dxa"/>
            <w:vAlign w:val="center"/>
          </w:tcPr>
          <w:p w14:paraId="7072069E"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31 981 </w:t>
            </w:r>
          </w:p>
        </w:tc>
        <w:tc>
          <w:tcPr>
            <w:tcW w:w="900" w:type="dxa"/>
            <w:vAlign w:val="center"/>
          </w:tcPr>
          <w:p w14:paraId="6174E0FE"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26 688 </w:t>
            </w:r>
          </w:p>
        </w:tc>
        <w:tc>
          <w:tcPr>
            <w:tcW w:w="900" w:type="dxa"/>
            <w:vAlign w:val="center"/>
          </w:tcPr>
          <w:p w14:paraId="5BE86B61"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30 784 </w:t>
            </w:r>
          </w:p>
        </w:tc>
        <w:tc>
          <w:tcPr>
            <w:tcW w:w="900" w:type="dxa"/>
            <w:vAlign w:val="center"/>
          </w:tcPr>
          <w:p w14:paraId="7E6C52C8"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25 372 </w:t>
            </w:r>
          </w:p>
        </w:tc>
        <w:tc>
          <w:tcPr>
            <w:tcW w:w="900" w:type="dxa"/>
            <w:vAlign w:val="center"/>
          </w:tcPr>
          <w:p w14:paraId="1CB0CE1A"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24 838 </w:t>
            </w:r>
          </w:p>
        </w:tc>
        <w:tc>
          <w:tcPr>
            <w:tcW w:w="900" w:type="dxa"/>
            <w:vAlign w:val="center"/>
          </w:tcPr>
          <w:p w14:paraId="45DF7045"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22 508 </w:t>
            </w:r>
          </w:p>
        </w:tc>
        <w:tc>
          <w:tcPr>
            <w:tcW w:w="900" w:type="dxa"/>
            <w:vAlign w:val="center"/>
          </w:tcPr>
          <w:p w14:paraId="27E2E315"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21 494 </w:t>
            </w:r>
          </w:p>
        </w:tc>
        <w:tc>
          <w:tcPr>
            <w:tcW w:w="900" w:type="dxa"/>
            <w:vAlign w:val="center"/>
          </w:tcPr>
          <w:p w14:paraId="462E5234"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23 573 </w:t>
            </w:r>
          </w:p>
        </w:tc>
        <w:tc>
          <w:tcPr>
            <w:tcW w:w="900" w:type="dxa"/>
            <w:vAlign w:val="center"/>
          </w:tcPr>
          <w:p w14:paraId="7A1469DB"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22 979 </w:t>
            </w:r>
          </w:p>
        </w:tc>
      </w:tr>
      <w:tr w:rsidR="003E0F58" w:rsidRPr="007C705C" w14:paraId="6715FEFF" w14:textId="77777777" w:rsidTr="004D2249">
        <w:trPr>
          <w:trHeight w:val="90"/>
        </w:trPr>
        <w:tc>
          <w:tcPr>
            <w:tcW w:w="900" w:type="dxa"/>
          </w:tcPr>
          <w:p w14:paraId="0A43A9E2" w14:textId="77777777" w:rsidR="003E0F58" w:rsidRPr="007C705C" w:rsidRDefault="003E0F58" w:rsidP="004D2249">
            <w:pPr>
              <w:autoSpaceDE w:val="0"/>
              <w:autoSpaceDN w:val="0"/>
              <w:adjustRightInd w:val="0"/>
              <w:jc w:val="left"/>
              <w:rPr>
                <w:rFonts w:cs="Times New Roman"/>
                <w:color w:val="000000"/>
                <w:sz w:val="20"/>
                <w:szCs w:val="20"/>
                <w:lang w:val="cs-CZ"/>
              </w:rPr>
            </w:pPr>
            <w:r w:rsidRPr="007C705C">
              <w:rPr>
                <w:rFonts w:cs="Times New Roman"/>
                <w:b/>
                <w:bCs/>
                <w:color w:val="000000"/>
                <w:sz w:val="20"/>
                <w:szCs w:val="20"/>
                <w:lang w:val="cs-CZ"/>
              </w:rPr>
              <w:t xml:space="preserve">Horses </w:t>
            </w:r>
          </w:p>
        </w:tc>
        <w:tc>
          <w:tcPr>
            <w:tcW w:w="900" w:type="dxa"/>
            <w:vAlign w:val="center"/>
          </w:tcPr>
          <w:p w14:paraId="60D90004"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27 </w:t>
            </w:r>
          </w:p>
        </w:tc>
        <w:tc>
          <w:tcPr>
            <w:tcW w:w="900" w:type="dxa"/>
            <w:vAlign w:val="center"/>
          </w:tcPr>
          <w:p w14:paraId="7FE28D24"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18 </w:t>
            </w:r>
          </w:p>
        </w:tc>
        <w:tc>
          <w:tcPr>
            <w:tcW w:w="900" w:type="dxa"/>
            <w:vAlign w:val="center"/>
          </w:tcPr>
          <w:p w14:paraId="314D894D"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24 </w:t>
            </w:r>
          </w:p>
        </w:tc>
        <w:tc>
          <w:tcPr>
            <w:tcW w:w="900" w:type="dxa"/>
            <w:vAlign w:val="center"/>
          </w:tcPr>
          <w:p w14:paraId="0699261E"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21 </w:t>
            </w:r>
          </w:p>
        </w:tc>
        <w:tc>
          <w:tcPr>
            <w:tcW w:w="900" w:type="dxa"/>
            <w:vAlign w:val="center"/>
          </w:tcPr>
          <w:p w14:paraId="3C5809E4"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30 </w:t>
            </w:r>
          </w:p>
        </w:tc>
        <w:tc>
          <w:tcPr>
            <w:tcW w:w="900" w:type="dxa"/>
            <w:vAlign w:val="center"/>
          </w:tcPr>
          <w:p w14:paraId="18804420"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33 </w:t>
            </w:r>
          </w:p>
        </w:tc>
        <w:tc>
          <w:tcPr>
            <w:tcW w:w="900" w:type="dxa"/>
            <w:vAlign w:val="center"/>
          </w:tcPr>
          <w:p w14:paraId="0BC2405E"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35 </w:t>
            </w:r>
          </w:p>
        </w:tc>
        <w:tc>
          <w:tcPr>
            <w:tcW w:w="900" w:type="dxa"/>
            <w:vAlign w:val="center"/>
          </w:tcPr>
          <w:p w14:paraId="362C073A"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35 </w:t>
            </w:r>
          </w:p>
        </w:tc>
        <w:tc>
          <w:tcPr>
            <w:tcW w:w="900" w:type="dxa"/>
            <w:vAlign w:val="center"/>
          </w:tcPr>
          <w:p w14:paraId="521E14EF"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37 </w:t>
            </w:r>
          </w:p>
        </w:tc>
      </w:tr>
      <w:tr w:rsidR="003E0F58" w:rsidRPr="007C705C" w14:paraId="41F5A306" w14:textId="77777777" w:rsidTr="004D2249">
        <w:trPr>
          <w:trHeight w:val="90"/>
        </w:trPr>
        <w:tc>
          <w:tcPr>
            <w:tcW w:w="900" w:type="dxa"/>
          </w:tcPr>
          <w:p w14:paraId="51E4653C" w14:textId="77777777" w:rsidR="003E0F58" w:rsidRPr="007C705C" w:rsidRDefault="003E0F58" w:rsidP="004D2249">
            <w:pPr>
              <w:autoSpaceDE w:val="0"/>
              <w:autoSpaceDN w:val="0"/>
              <w:adjustRightInd w:val="0"/>
              <w:jc w:val="left"/>
              <w:rPr>
                <w:rFonts w:cs="Times New Roman"/>
                <w:color w:val="000000"/>
                <w:sz w:val="20"/>
                <w:szCs w:val="20"/>
                <w:lang w:val="cs-CZ"/>
              </w:rPr>
            </w:pPr>
            <w:r w:rsidRPr="007C705C">
              <w:rPr>
                <w:rFonts w:cs="Times New Roman"/>
                <w:b/>
                <w:bCs/>
                <w:color w:val="000000"/>
                <w:sz w:val="20"/>
                <w:szCs w:val="20"/>
                <w:lang w:val="cs-CZ"/>
              </w:rPr>
              <w:t xml:space="preserve">Goats </w:t>
            </w:r>
          </w:p>
        </w:tc>
        <w:tc>
          <w:tcPr>
            <w:tcW w:w="900" w:type="dxa"/>
            <w:vAlign w:val="center"/>
          </w:tcPr>
          <w:p w14:paraId="420C9E84"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41 </w:t>
            </w:r>
          </w:p>
        </w:tc>
        <w:tc>
          <w:tcPr>
            <w:tcW w:w="900" w:type="dxa"/>
            <w:vAlign w:val="center"/>
          </w:tcPr>
          <w:p w14:paraId="792A011F"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45 </w:t>
            </w:r>
          </w:p>
        </w:tc>
        <w:tc>
          <w:tcPr>
            <w:tcW w:w="900" w:type="dxa"/>
            <w:vAlign w:val="center"/>
          </w:tcPr>
          <w:p w14:paraId="5B79F3ED"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32 </w:t>
            </w:r>
          </w:p>
        </w:tc>
        <w:tc>
          <w:tcPr>
            <w:tcW w:w="900" w:type="dxa"/>
            <w:vAlign w:val="center"/>
          </w:tcPr>
          <w:p w14:paraId="708FBA10"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13 </w:t>
            </w:r>
          </w:p>
        </w:tc>
        <w:tc>
          <w:tcPr>
            <w:tcW w:w="900" w:type="dxa"/>
            <w:vAlign w:val="center"/>
          </w:tcPr>
          <w:p w14:paraId="54E1F863"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22 </w:t>
            </w:r>
          </w:p>
        </w:tc>
        <w:tc>
          <w:tcPr>
            <w:tcW w:w="900" w:type="dxa"/>
            <w:vAlign w:val="center"/>
          </w:tcPr>
          <w:p w14:paraId="7C02E27A"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27 </w:t>
            </w:r>
          </w:p>
        </w:tc>
        <w:tc>
          <w:tcPr>
            <w:tcW w:w="900" w:type="dxa"/>
            <w:vAlign w:val="center"/>
          </w:tcPr>
          <w:p w14:paraId="15B74D78"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28 </w:t>
            </w:r>
          </w:p>
        </w:tc>
        <w:tc>
          <w:tcPr>
            <w:tcW w:w="900" w:type="dxa"/>
            <w:vAlign w:val="center"/>
          </w:tcPr>
          <w:p w14:paraId="3423C4D8"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30 </w:t>
            </w:r>
          </w:p>
        </w:tc>
        <w:tc>
          <w:tcPr>
            <w:tcW w:w="900" w:type="dxa"/>
            <w:vAlign w:val="center"/>
          </w:tcPr>
          <w:p w14:paraId="5B435A8C"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29 </w:t>
            </w:r>
          </w:p>
        </w:tc>
      </w:tr>
    </w:tbl>
    <w:p w14:paraId="077BE1D1" w14:textId="77777777" w:rsidR="003E0F58" w:rsidRPr="007C705C" w:rsidRDefault="003E0F58" w:rsidP="00C228A5">
      <w:pPr>
        <w:pStyle w:val="UZEIZdroj"/>
        <w:spacing w:after="60"/>
      </w:pPr>
      <w:r w:rsidRPr="007C705C">
        <w:t>Zdroj: (CzSO 2020)</w:t>
      </w:r>
    </w:p>
    <w:p w14:paraId="396C21BE" w14:textId="780227E4" w:rsidR="003E0F58" w:rsidRPr="007C705C" w:rsidRDefault="003E0F58" w:rsidP="00667FE3">
      <w:pPr>
        <w:pStyle w:val="UZEITaB"/>
        <w:rPr>
          <w:rFonts w:cs="Times New Roman"/>
        </w:rPr>
      </w:pPr>
      <w:bookmarkStart w:id="149" w:name="_Toc77245797"/>
      <w:bookmarkStart w:id="150" w:name="_Ref81227590"/>
      <w:bookmarkStart w:id="151" w:name="_Toc94181554"/>
      <w:r w:rsidRPr="007C705C">
        <w:rPr>
          <w:rFonts w:cs="Times New Roman"/>
        </w:rPr>
        <w:t>Detailní rozbor emisí GHG ze zemědělství v ČR v letech 2009 - 2018</w:t>
      </w:r>
      <w:bookmarkEnd w:id="149"/>
      <w:bookmarkEnd w:id="150"/>
      <w:bookmarkEnd w:id="151"/>
    </w:p>
    <w:tbl>
      <w:tblPr>
        <w:tblW w:w="8640" w:type="dxa"/>
        <w:tblInd w:w="-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9"/>
        <w:gridCol w:w="917"/>
        <w:gridCol w:w="1698"/>
        <w:gridCol w:w="1679"/>
        <w:gridCol w:w="1208"/>
        <w:gridCol w:w="839"/>
        <w:gridCol w:w="1660"/>
      </w:tblGrid>
      <w:tr w:rsidR="003E0F58" w:rsidRPr="007C705C" w14:paraId="7C65026C" w14:textId="77777777" w:rsidTr="00C228A5">
        <w:trPr>
          <w:trHeight w:val="227"/>
        </w:trPr>
        <w:tc>
          <w:tcPr>
            <w:tcW w:w="0" w:type="auto"/>
            <w:vAlign w:val="center"/>
          </w:tcPr>
          <w:p w14:paraId="04574D52"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Year</w:t>
            </w:r>
          </w:p>
        </w:tc>
        <w:tc>
          <w:tcPr>
            <w:tcW w:w="0" w:type="auto"/>
            <w:vAlign w:val="center"/>
          </w:tcPr>
          <w:p w14:paraId="243DE75B"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TOTAL</w:t>
            </w:r>
          </w:p>
        </w:tc>
        <w:tc>
          <w:tcPr>
            <w:tcW w:w="0" w:type="auto"/>
            <w:vAlign w:val="center"/>
          </w:tcPr>
          <w:p w14:paraId="75E15A1C"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Enteric Fermentation</w:t>
            </w:r>
          </w:p>
          <w:p w14:paraId="614ACC05"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(3.A)</w:t>
            </w:r>
          </w:p>
        </w:tc>
        <w:tc>
          <w:tcPr>
            <w:tcW w:w="0" w:type="auto"/>
            <w:vAlign w:val="center"/>
          </w:tcPr>
          <w:p w14:paraId="0D81D2BB"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Manure Management</w:t>
            </w:r>
          </w:p>
          <w:p w14:paraId="487E0D86"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(3.B)</w:t>
            </w:r>
          </w:p>
        </w:tc>
        <w:tc>
          <w:tcPr>
            <w:tcW w:w="0" w:type="auto"/>
            <w:vAlign w:val="center"/>
          </w:tcPr>
          <w:p w14:paraId="26D9B35C"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Managed soils</w:t>
            </w:r>
          </w:p>
          <w:p w14:paraId="08C2968F"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(3.D)</w:t>
            </w:r>
          </w:p>
        </w:tc>
        <w:tc>
          <w:tcPr>
            <w:tcW w:w="0" w:type="auto"/>
            <w:vAlign w:val="center"/>
          </w:tcPr>
          <w:p w14:paraId="2C16A007"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Liming</w:t>
            </w:r>
          </w:p>
          <w:p w14:paraId="7B05E93B"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(3.G)</w:t>
            </w:r>
          </w:p>
        </w:tc>
        <w:tc>
          <w:tcPr>
            <w:tcW w:w="0" w:type="auto"/>
            <w:vAlign w:val="center"/>
          </w:tcPr>
          <w:p w14:paraId="2CD18195"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Urea Application (3.H)</w:t>
            </w:r>
          </w:p>
        </w:tc>
      </w:tr>
      <w:tr w:rsidR="003E0F58" w:rsidRPr="007C705C" w14:paraId="05F01A10" w14:textId="77777777" w:rsidTr="004D2249">
        <w:trPr>
          <w:trHeight w:val="98"/>
        </w:trPr>
        <w:tc>
          <w:tcPr>
            <w:tcW w:w="0" w:type="auto"/>
            <w:gridSpan w:val="7"/>
            <w:vAlign w:val="center"/>
          </w:tcPr>
          <w:p w14:paraId="4A1AEC82"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color w:val="000000"/>
                <w:sz w:val="20"/>
                <w:szCs w:val="20"/>
                <w:lang w:val="cs-CZ"/>
              </w:rPr>
              <w:t>Unit [kt CO2 eq.]</w:t>
            </w:r>
          </w:p>
        </w:tc>
      </w:tr>
      <w:tr w:rsidR="003E0F58" w:rsidRPr="007C705C" w14:paraId="7E6D63A2" w14:textId="77777777" w:rsidTr="004D2249">
        <w:trPr>
          <w:trHeight w:val="97"/>
        </w:trPr>
        <w:tc>
          <w:tcPr>
            <w:tcW w:w="0" w:type="auto"/>
            <w:vAlign w:val="center"/>
          </w:tcPr>
          <w:p w14:paraId="67247B54"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2009</w:t>
            </w:r>
          </w:p>
        </w:tc>
        <w:tc>
          <w:tcPr>
            <w:tcW w:w="0" w:type="auto"/>
            <w:vAlign w:val="center"/>
          </w:tcPr>
          <w:p w14:paraId="7D9C2319"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7 588</w:t>
            </w:r>
          </w:p>
        </w:tc>
        <w:tc>
          <w:tcPr>
            <w:tcW w:w="0" w:type="auto"/>
            <w:vAlign w:val="center"/>
          </w:tcPr>
          <w:p w14:paraId="69FB7143"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2 749</w:t>
            </w:r>
          </w:p>
        </w:tc>
        <w:tc>
          <w:tcPr>
            <w:tcW w:w="0" w:type="auto"/>
            <w:vAlign w:val="center"/>
          </w:tcPr>
          <w:p w14:paraId="6E3508DB"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1 448</w:t>
            </w:r>
          </w:p>
        </w:tc>
        <w:tc>
          <w:tcPr>
            <w:tcW w:w="0" w:type="auto"/>
            <w:vAlign w:val="center"/>
          </w:tcPr>
          <w:p w14:paraId="03A19A85"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3 241</w:t>
            </w:r>
          </w:p>
        </w:tc>
        <w:tc>
          <w:tcPr>
            <w:tcW w:w="0" w:type="auto"/>
            <w:vAlign w:val="center"/>
          </w:tcPr>
          <w:p w14:paraId="69B19597"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65</w:t>
            </w:r>
          </w:p>
        </w:tc>
        <w:tc>
          <w:tcPr>
            <w:tcW w:w="0" w:type="auto"/>
            <w:vAlign w:val="center"/>
          </w:tcPr>
          <w:p w14:paraId="5CC4A150"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86</w:t>
            </w:r>
          </w:p>
        </w:tc>
      </w:tr>
      <w:tr w:rsidR="003E0F58" w:rsidRPr="007C705C" w14:paraId="501AF265" w14:textId="77777777" w:rsidTr="004D2249">
        <w:trPr>
          <w:trHeight w:val="97"/>
        </w:trPr>
        <w:tc>
          <w:tcPr>
            <w:tcW w:w="0" w:type="auto"/>
            <w:vAlign w:val="center"/>
          </w:tcPr>
          <w:p w14:paraId="45943B6E"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2010</w:t>
            </w:r>
          </w:p>
        </w:tc>
        <w:tc>
          <w:tcPr>
            <w:tcW w:w="0" w:type="auto"/>
            <w:vAlign w:val="center"/>
          </w:tcPr>
          <w:p w14:paraId="62B8D548"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7 484</w:t>
            </w:r>
          </w:p>
        </w:tc>
        <w:tc>
          <w:tcPr>
            <w:tcW w:w="0" w:type="auto"/>
            <w:vAlign w:val="center"/>
          </w:tcPr>
          <w:p w14:paraId="67DB21B1"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2 657</w:t>
            </w:r>
          </w:p>
        </w:tc>
        <w:tc>
          <w:tcPr>
            <w:tcW w:w="0" w:type="auto"/>
            <w:vAlign w:val="center"/>
          </w:tcPr>
          <w:p w14:paraId="5CA86AC6"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1 402</w:t>
            </w:r>
          </w:p>
        </w:tc>
        <w:tc>
          <w:tcPr>
            <w:tcW w:w="0" w:type="auto"/>
            <w:vAlign w:val="center"/>
          </w:tcPr>
          <w:p w14:paraId="44152836"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3 252</w:t>
            </w:r>
          </w:p>
        </w:tc>
        <w:tc>
          <w:tcPr>
            <w:tcW w:w="0" w:type="auto"/>
            <w:vAlign w:val="center"/>
          </w:tcPr>
          <w:p w14:paraId="7AB48A3D"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62</w:t>
            </w:r>
          </w:p>
        </w:tc>
        <w:tc>
          <w:tcPr>
            <w:tcW w:w="0" w:type="auto"/>
            <w:vAlign w:val="center"/>
          </w:tcPr>
          <w:p w14:paraId="7B283234"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111</w:t>
            </w:r>
          </w:p>
        </w:tc>
      </w:tr>
      <w:tr w:rsidR="003E0F58" w:rsidRPr="007C705C" w14:paraId="0FC35C17" w14:textId="77777777" w:rsidTr="004D2249">
        <w:trPr>
          <w:trHeight w:val="98"/>
        </w:trPr>
        <w:tc>
          <w:tcPr>
            <w:tcW w:w="0" w:type="auto"/>
            <w:vAlign w:val="center"/>
          </w:tcPr>
          <w:p w14:paraId="34D1F01F"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2011</w:t>
            </w:r>
          </w:p>
        </w:tc>
        <w:tc>
          <w:tcPr>
            <w:tcW w:w="0" w:type="auto"/>
            <w:vAlign w:val="center"/>
          </w:tcPr>
          <w:p w14:paraId="74F5B085"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8 086</w:t>
            </w:r>
          </w:p>
        </w:tc>
        <w:tc>
          <w:tcPr>
            <w:tcW w:w="0" w:type="auto"/>
            <w:vAlign w:val="center"/>
          </w:tcPr>
          <w:p w14:paraId="1081E7AA"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2 664</w:t>
            </w:r>
          </w:p>
        </w:tc>
        <w:tc>
          <w:tcPr>
            <w:tcW w:w="0" w:type="auto"/>
            <w:vAlign w:val="center"/>
          </w:tcPr>
          <w:p w14:paraId="62A11649"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1 342</w:t>
            </w:r>
          </w:p>
        </w:tc>
        <w:tc>
          <w:tcPr>
            <w:tcW w:w="0" w:type="auto"/>
            <w:vAlign w:val="center"/>
          </w:tcPr>
          <w:p w14:paraId="58E0CAD4"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3 889</w:t>
            </w:r>
          </w:p>
        </w:tc>
        <w:tc>
          <w:tcPr>
            <w:tcW w:w="0" w:type="auto"/>
            <w:vAlign w:val="center"/>
          </w:tcPr>
          <w:p w14:paraId="42D21ED3"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81</w:t>
            </w:r>
          </w:p>
        </w:tc>
        <w:tc>
          <w:tcPr>
            <w:tcW w:w="0" w:type="auto"/>
            <w:vAlign w:val="center"/>
          </w:tcPr>
          <w:p w14:paraId="11F56F81"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111</w:t>
            </w:r>
          </w:p>
        </w:tc>
      </w:tr>
      <w:tr w:rsidR="003E0F58" w:rsidRPr="007C705C" w14:paraId="6ADB77FC" w14:textId="77777777" w:rsidTr="004D2249">
        <w:trPr>
          <w:trHeight w:val="100"/>
        </w:trPr>
        <w:tc>
          <w:tcPr>
            <w:tcW w:w="0" w:type="auto"/>
            <w:vAlign w:val="center"/>
          </w:tcPr>
          <w:p w14:paraId="54B0A8FC"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2012</w:t>
            </w:r>
          </w:p>
        </w:tc>
        <w:tc>
          <w:tcPr>
            <w:tcW w:w="0" w:type="auto"/>
            <w:vAlign w:val="center"/>
          </w:tcPr>
          <w:p w14:paraId="184FA218"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8 019</w:t>
            </w:r>
          </w:p>
        </w:tc>
        <w:tc>
          <w:tcPr>
            <w:tcW w:w="0" w:type="auto"/>
            <w:vAlign w:val="center"/>
          </w:tcPr>
          <w:p w14:paraId="420A1E54"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2 696</w:t>
            </w:r>
          </w:p>
        </w:tc>
        <w:tc>
          <w:tcPr>
            <w:tcW w:w="0" w:type="auto"/>
            <w:vAlign w:val="center"/>
          </w:tcPr>
          <w:p w14:paraId="193A4B6B"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1 329</w:t>
            </w:r>
          </w:p>
        </w:tc>
        <w:tc>
          <w:tcPr>
            <w:tcW w:w="0" w:type="auto"/>
            <w:vAlign w:val="center"/>
          </w:tcPr>
          <w:p w14:paraId="6C6C059C"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3 766</w:t>
            </w:r>
          </w:p>
        </w:tc>
        <w:tc>
          <w:tcPr>
            <w:tcW w:w="0" w:type="auto"/>
            <w:vAlign w:val="center"/>
          </w:tcPr>
          <w:p w14:paraId="0720254A"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117</w:t>
            </w:r>
          </w:p>
        </w:tc>
        <w:tc>
          <w:tcPr>
            <w:tcW w:w="0" w:type="auto"/>
            <w:vAlign w:val="center"/>
          </w:tcPr>
          <w:p w14:paraId="774345D8"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136</w:t>
            </w:r>
          </w:p>
        </w:tc>
      </w:tr>
      <w:tr w:rsidR="003E0F58" w:rsidRPr="007C705C" w14:paraId="06AD949E" w14:textId="77777777" w:rsidTr="004D2249">
        <w:trPr>
          <w:trHeight w:val="97"/>
        </w:trPr>
        <w:tc>
          <w:tcPr>
            <w:tcW w:w="0" w:type="auto"/>
            <w:vAlign w:val="center"/>
          </w:tcPr>
          <w:p w14:paraId="0096FCF5"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2013</w:t>
            </w:r>
          </w:p>
        </w:tc>
        <w:tc>
          <w:tcPr>
            <w:tcW w:w="0" w:type="auto"/>
            <w:vAlign w:val="center"/>
          </w:tcPr>
          <w:p w14:paraId="3B72E09A"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7 989</w:t>
            </w:r>
          </w:p>
        </w:tc>
        <w:tc>
          <w:tcPr>
            <w:tcW w:w="0" w:type="auto"/>
            <w:vAlign w:val="center"/>
          </w:tcPr>
          <w:p w14:paraId="411F441F"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2 696</w:t>
            </w:r>
          </w:p>
        </w:tc>
        <w:tc>
          <w:tcPr>
            <w:tcW w:w="0" w:type="auto"/>
            <w:vAlign w:val="center"/>
          </w:tcPr>
          <w:p w14:paraId="678525D6"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1 329</w:t>
            </w:r>
          </w:p>
        </w:tc>
        <w:tc>
          <w:tcPr>
            <w:tcW w:w="0" w:type="auto"/>
            <w:vAlign w:val="center"/>
          </w:tcPr>
          <w:p w14:paraId="7A097501"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3 702</w:t>
            </w:r>
          </w:p>
        </w:tc>
        <w:tc>
          <w:tcPr>
            <w:tcW w:w="0" w:type="auto"/>
            <w:vAlign w:val="center"/>
          </w:tcPr>
          <w:p w14:paraId="57DAA7A4"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137</w:t>
            </w:r>
          </w:p>
        </w:tc>
        <w:tc>
          <w:tcPr>
            <w:tcW w:w="0" w:type="auto"/>
            <w:vAlign w:val="center"/>
          </w:tcPr>
          <w:p w14:paraId="7A5E1737"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126</w:t>
            </w:r>
          </w:p>
        </w:tc>
      </w:tr>
      <w:tr w:rsidR="003E0F58" w:rsidRPr="007C705C" w14:paraId="54CB5B29" w14:textId="77777777" w:rsidTr="004D2249">
        <w:trPr>
          <w:trHeight w:val="97"/>
        </w:trPr>
        <w:tc>
          <w:tcPr>
            <w:tcW w:w="0" w:type="auto"/>
            <w:vAlign w:val="center"/>
          </w:tcPr>
          <w:p w14:paraId="4C2B19C9"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2014</w:t>
            </w:r>
          </w:p>
        </w:tc>
        <w:tc>
          <w:tcPr>
            <w:tcW w:w="0" w:type="auto"/>
            <w:vAlign w:val="center"/>
          </w:tcPr>
          <w:p w14:paraId="2C890A30"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8 049</w:t>
            </w:r>
          </w:p>
        </w:tc>
        <w:tc>
          <w:tcPr>
            <w:tcW w:w="0" w:type="auto"/>
            <w:vAlign w:val="center"/>
          </w:tcPr>
          <w:p w14:paraId="2058A8EF"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2 752</w:t>
            </w:r>
          </w:p>
        </w:tc>
        <w:tc>
          <w:tcPr>
            <w:tcW w:w="0" w:type="auto"/>
            <w:vAlign w:val="center"/>
          </w:tcPr>
          <w:p w14:paraId="045595F8"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1 306</w:t>
            </w:r>
          </w:p>
        </w:tc>
        <w:tc>
          <w:tcPr>
            <w:tcW w:w="0" w:type="auto"/>
            <w:vAlign w:val="center"/>
          </w:tcPr>
          <w:p w14:paraId="626706F6"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3 783</w:t>
            </w:r>
          </w:p>
        </w:tc>
        <w:tc>
          <w:tcPr>
            <w:tcW w:w="0" w:type="auto"/>
            <w:vAlign w:val="center"/>
          </w:tcPr>
          <w:p w14:paraId="2582EA3A"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152</w:t>
            </w:r>
          </w:p>
        </w:tc>
        <w:tc>
          <w:tcPr>
            <w:tcW w:w="0" w:type="auto"/>
            <w:vAlign w:val="center"/>
          </w:tcPr>
          <w:p w14:paraId="2A608B43"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57</w:t>
            </w:r>
          </w:p>
        </w:tc>
      </w:tr>
      <w:tr w:rsidR="003E0F58" w:rsidRPr="007C705C" w14:paraId="3BCCE810" w14:textId="77777777" w:rsidTr="004D2249">
        <w:trPr>
          <w:trHeight w:val="97"/>
        </w:trPr>
        <w:tc>
          <w:tcPr>
            <w:tcW w:w="0" w:type="auto"/>
            <w:vAlign w:val="center"/>
          </w:tcPr>
          <w:p w14:paraId="18751B39"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2015</w:t>
            </w:r>
          </w:p>
        </w:tc>
        <w:tc>
          <w:tcPr>
            <w:tcW w:w="0" w:type="auto"/>
            <w:vAlign w:val="center"/>
          </w:tcPr>
          <w:p w14:paraId="5FA21FB0"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8 629</w:t>
            </w:r>
          </w:p>
        </w:tc>
        <w:tc>
          <w:tcPr>
            <w:tcW w:w="0" w:type="auto"/>
            <w:vAlign w:val="center"/>
          </w:tcPr>
          <w:p w14:paraId="69A695CD"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2 828</w:t>
            </w:r>
          </w:p>
        </w:tc>
        <w:tc>
          <w:tcPr>
            <w:tcW w:w="0" w:type="auto"/>
            <w:vAlign w:val="center"/>
          </w:tcPr>
          <w:p w14:paraId="36CDC4C5"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1 324</w:t>
            </w:r>
          </w:p>
        </w:tc>
        <w:tc>
          <w:tcPr>
            <w:tcW w:w="0" w:type="auto"/>
            <w:vAlign w:val="center"/>
          </w:tcPr>
          <w:p w14:paraId="0F02979B"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4 125</w:t>
            </w:r>
          </w:p>
        </w:tc>
        <w:tc>
          <w:tcPr>
            <w:tcW w:w="0" w:type="auto"/>
            <w:vAlign w:val="center"/>
          </w:tcPr>
          <w:p w14:paraId="717EC735"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164</w:t>
            </w:r>
          </w:p>
        </w:tc>
        <w:tc>
          <w:tcPr>
            <w:tcW w:w="0" w:type="auto"/>
            <w:vAlign w:val="center"/>
          </w:tcPr>
          <w:p w14:paraId="27AD3B69"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187</w:t>
            </w:r>
          </w:p>
        </w:tc>
      </w:tr>
      <w:tr w:rsidR="003E0F58" w:rsidRPr="007C705C" w14:paraId="09BBE8D2" w14:textId="77777777" w:rsidTr="004D2249">
        <w:trPr>
          <w:trHeight w:val="100"/>
        </w:trPr>
        <w:tc>
          <w:tcPr>
            <w:tcW w:w="0" w:type="auto"/>
            <w:vAlign w:val="center"/>
          </w:tcPr>
          <w:p w14:paraId="3EEF7B24"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2016</w:t>
            </w:r>
          </w:p>
        </w:tc>
        <w:tc>
          <w:tcPr>
            <w:tcW w:w="0" w:type="auto"/>
            <w:vAlign w:val="center"/>
          </w:tcPr>
          <w:p w14:paraId="0453D8F1"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8 859</w:t>
            </w:r>
          </w:p>
        </w:tc>
        <w:tc>
          <w:tcPr>
            <w:tcW w:w="0" w:type="auto"/>
            <w:vAlign w:val="center"/>
          </w:tcPr>
          <w:p w14:paraId="1FB64642"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2 888</w:t>
            </w:r>
          </w:p>
        </w:tc>
        <w:tc>
          <w:tcPr>
            <w:tcW w:w="0" w:type="auto"/>
            <w:vAlign w:val="center"/>
          </w:tcPr>
          <w:p w14:paraId="2EB20800"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1 015</w:t>
            </w:r>
          </w:p>
        </w:tc>
        <w:tc>
          <w:tcPr>
            <w:tcW w:w="0" w:type="auto"/>
            <w:vAlign w:val="center"/>
          </w:tcPr>
          <w:p w14:paraId="7EE9C069"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4 578</w:t>
            </w:r>
          </w:p>
        </w:tc>
        <w:tc>
          <w:tcPr>
            <w:tcW w:w="0" w:type="auto"/>
            <w:vAlign w:val="center"/>
          </w:tcPr>
          <w:p w14:paraId="6887893B"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168</w:t>
            </w:r>
          </w:p>
        </w:tc>
        <w:tc>
          <w:tcPr>
            <w:tcW w:w="0" w:type="auto"/>
            <w:vAlign w:val="center"/>
          </w:tcPr>
          <w:p w14:paraId="32A89DD6"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211</w:t>
            </w:r>
          </w:p>
        </w:tc>
      </w:tr>
      <w:tr w:rsidR="003E0F58" w:rsidRPr="007C705C" w14:paraId="2FA008FD" w14:textId="77777777" w:rsidTr="004D2249">
        <w:trPr>
          <w:trHeight w:val="97"/>
        </w:trPr>
        <w:tc>
          <w:tcPr>
            <w:tcW w:w="0" w:type="auto"/>
            <w:vAlign w:val="center"/>
          </w:tcPr>
          <w:p w14:paraId="08DF7E1C"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2017</w:t>
            </w:r>
          </w:p>
        </w:tc>
        <w:tc>
          <w:tcPr>
            <w:tcW w:w="0" w:type="auto"/>
            <w:vAlign w:val="center"/>
          </w:tcPr>
          <w:p w14:paraId="00F5A608"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8 789</w:t>
            </w:r>
          </w:p>
        </w:tc>
        <w:tc>
          <w:tcPr>
            <w:tcW w:w="0" w:type="auto"/>
            <w:vAlign w:val="center"/>
          </w:tcPr>
          <w:p w14:paraId="6AEF3AAC"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2 939</w:t>
            </w:r>
          </w:p>
        </w:tc>
        <w:tc>
          <w:tcPr>
            <w:tcW w:w="0" w:type="auto"/>
            <w:vAlign w:val="center"/>
          </w:tcPr>
          <w:p w14:paraId="76AADA68"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993</w:t>
            </w:r>
          </w:p>
        </w:tc>
        <w:tc>
          <w:tcPr>
            <w:tcW w:w="0" w:type="auto"/>
            <w:vAlign w:val="center"/>
          </w:tcPr>
          <w:p w14:paraId="1389D22D"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4 574</w:t>
            </w:r>
          </w:p>
        </w:tc>
        <w:tc>
          <w:tcPr>
            <w:tcW w:w="0" w:type="auto"/>
            <w:vAlign w:val="center"/>
          </w:tcPr>
          <w:p w14:paraId="2950CEB5"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159</w:t>
            </w:r>
          </w:p>
        </w:tc>
        <w:tc>
          <w:tcPr>
            <w:tcW w:w="0" w:type="auto"/>
            <w:vAlign w:val="center"/>
          </w:tcPr>
          <w:p w14:paraId="1C16BEBD"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124</w:t>
            </w:r>
          </w:p>
        </w:tc>
      </w:tr>
      <w:tr w:rsidR="003E0F58" w:rsidRPr="007C705C" w14:paraId="61DD3AED" w14:textId="77777777" w:rsidTr="004D2249">
        <w:trPr>
          <w:trHeight w:val="97"/>
        </w:trPr>
        <w:tc>
          <w:tcPr>
            <w:tcW w:w="0" w:type="auto"/>
            <w:vAlign w:val="center"/>
          </w:tcPr>
          <w:p w14:paraId="2985B1D2"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2018</w:t>
            </w:r>
          </w:p>
        </w:tc>
        <w:tc>
          <w:tcPr>
            <w:tcW w:w="0" w:type="auto"/>
            <w:vAlign w:val="center"/>
          </w:tcPr>
          <w:p w14:paraId="09038BF3"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8 606</w:t>
            </w:r>
          </w:p>
        </w:tc>
        <w:tc>
          <w:tcPr>
            <w:tcW w:w="0" w:type="auto"/>
            <w:vAlign w:val="center"/>
          </w:tcPr>
          <w:p w14:paraId="681CA7C4"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3 039</w:t>
            </w:r>
          </w:p>
        </w:tc>
        <w:tc>
          <w:tcPr>
            <w:tcW w:w="0" w:type="auto"/>
            <w:vAlign w:val="center"/>
          </w:tcPr>
          <w:p w14:paraId="2E5CF6C7"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1 050</w:t>
            </w:r>
          </w:p>
        </w:tc>
        <w:tc>
          <w:tcPr>
            <w:tcW w:w="0" w:type="auto"/>
            <w:vAlign w:val="center"/>
          </w:tcPr>
          <w:p w14:paraId="3F73EB56"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4 229</w:t>
            </w:r>
          </w:p>
        </w:tc>
        <w:tc>
          <w:tcPr>
            <w:tcW w:w="0" w:type="auto"/>
            <w:vAlign w:val="center"/>
          </w:tcPr>
          <w:p w14:paraId="5D18212D"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161</w:t>
            </w:r>
          </w:p>
        </w:tc>
        <w:tc>
          <w:tcPr>
            <w:tcW w:w="0" w:type="auto"/>
            <w:vAlign w:val="center"/>
          </w:tcPr>
          <w:p w14:paraId="01BD9A83"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126</w:t>
            </w:r>
          </w:p>
        </w:tc>
      </w:tr>
    </w:tbl>
    <w:p w14:paraId="1C28FAF1" w14:textId="20353E37" w:rsidR="003E0F58" w:rsidRPr="007C705C" w:rsidRDefault="003E0F58" w:rsidP="00C228A5">
      <w:pPr>
        <w:pStyle w:val="UZEIZdroj"/>
        <w:spacing w:after="60"/>
      </w:pPr>
      <w:r w:rsidRPr="007C705C">
        <w:t>Zdroj: NIR ČR 2020 (ČHMÚ)</w:t>
      </w:r>
    </w:p>
    <w:p w14:paraId="6B2F9E87" w14:textId="07790494" w:rsidR="003E0F58" w:rsidRPr="007C705C" w:rsidRDefault="003E0F58" w:rsidP="00BA3002">
      <w:pPr>
        <w:pStyle w:val="UZEITaB"/>
        <w:rPr>
          <w:rFonts w:cs="Times New Roman"/>
        </w:rPr>
      </w:pPr>
      <w:bookmarkStart w:id="152" w:name="_Toc77245798"/>
      <w:bookmarkStart w:id="153" w:name="_Toc94181555"/>
      <w:r w:rsidRPr="007C705C">
        <w:rPr>
          <w:rFonts w:cs="Times New Roman"/>
        </w:rPr>
        <w:t>Methane emissions from enteric fermentation (cattle)</w:t>
      </w:r>
      <w:bookmarkEnd w:id="152"/>
      <w:bookmarkEnd w:id="153"/>
    </w:p>
    <w:tbl>
      <w:tblPr>
        <w:tblW w:w="94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77"/>
        <w:gridCol w:w="1177"/>
        <w:gridCol w:w="1177"/>
        <w:gridCol w:w="1177"/>
        <w:gridCol w:w="1177"/>
        <w:gridCol w:w="1177"/>
        <w:gridCol w:w="1177"/>
        <w:gridCol w:w="1177"/>
      </w:tblGrid>
      <w:tr w:rsidR="003E0F58" w:rsidRPr="007C705C" w14:paraId="58C89CCE" w14:textId="77777777" w:rsidTr="00C228A5">
        <w:trPr>
          <w:trHeight w:val="20"/>
        </w:trPr>
        <w:tc>
          <w:tcPr>
            <w:tcW w:w="1177" w:type="dxa"/>
            <w:vAlign w:val="center"/>
          </w:tcPr>
          <w:p w14:paraId="1CE19CFA" w14:textId="77777777" w:rsidR="003E0F58" w:rsidRPr="007C705C" w:rsidRDefault="003E0F58" w:rsidP="004D2249">
            <w:pPr>
              <w:autoSpaceDE w:val="0"/>
              <w:autoSpaceDN w:val="0"/>
              <w:adjustRightInd w:val="0"/>
              <w:jc w:val="center"/>
              <w:rPr>
                <w:rFonts w:cs="Times New Roman"/>
                <w:color w:val="000000"/>
                <w:sz w:val="20"/>
                <w:szCs w:val="20"/>
                <w:lang w:val="cs-CZ"/>
              </w:rPr>
            </w:pPr>
          </w:p>
        </w:tc>
        <w:tc>
          <w:tcPr>
            <w:tcW w:w="1177" w:type="dxa"/>
            <w:vAlign w:val="center"/>
          </w:tcPr>
          <w:p w14:paraId="164FE715"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Dairy cattle</w:t>
            </w:r>
          </w:p>
          <w:p w14:paraId="1260D651"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population</w:t>
            </w:r>
          </w:p>
        </w:tc>
        <w:tc>
          <w:tcPr>
            <w:tcW w:w="1177" w:type="dxa"/>
            <w:vAlign w:val="center"/>
          </w:tcPr>
          <w:p w14:paraId="280A920E"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Other cattle population</w:t>
            </w:r>
          </w:p>
        </w:tc>
        <w:tc>
          <w:tcPr>
            <w:tcW w:w="1177" w:type="dxa"/>
            <w:vAlign w:val="center"/>
          </w:tcPr>
          <w:p w14:paraId="3891F881"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EF Dairy cattle</w:t>
            </w:r>
          </w:p>
        </w:tc>
        <w:tc>
          <w:tcPr>
            <w:tcW w:w="1177" w:type="dxa"/>
            <w:vAlign w:val="center"/>
          </w:tcPr>
          <w:p w14:paraId="52F74966"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EF Other cattle</w:t>
            </w:r>
          </w:p>
        </w:tc>
        <w:tc>
          <w:tcPr>
            <w:tcW w:w="1177" w:type="dxa"/>
            <w:vAlign w:val="center"/>
          </w:tcPr>
          <w:p w14:paraId="73C7B467"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Emissions, Dairy cattle</w:t>
            </w:r>
          </w:p>
        </w:tc>
        <w:tc>
          <w:tcPr>
            <w:tcW w:w="1177" w:type="dxa"/>
            <w:vAlign w:val="center"/>
          </w:tcPr>
          <w:p w14:paraId="4F60D844"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Emissions Other cattle</w:t>
            </w:r>
          </w:p>
        </w:tc>
        <w:tc>
          <w:tcPr>
            <w:tcW w:w="1177" w:type="dxa"/>
            <w:vAlign w:val="center"/>
          </w:tcPr>
          <w:p w14:paraId="5155847D"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Total emissions in category</w:t>
            </w:r>
          </w:p>
        </w:tc>
      </w:tr>
      <w:tr w:rsidR="003E0F58" w:rsidRPr="007C705C" w14:paraId="3E5ED102" w14:textId="77777777" w:rsidTr="00C228A5">
        <w:trPr>
          <w:trHeight w:val="20"/>
        </w:trPr>
        <w:tc>
          <w:tcPr>
            <w:tcW w:w="1177" w:type="dxa"/>
            <w:vAlign w:val="center"/>
          </w:tcPr>
          <w:p w14:paraId="23346C2B" w14:textId="77777777" w:rsidR="003E0F58" w:rsidRPr="007C705C" w:rsidRDefault="003E0F58" w:rsidP="004D2249">
            <w:pPr>
              <w:autoSpaceDE w:val="0"/>
              <w:autoSpaceDN w:val="0"/>
              <w:adjustRightInd w:val="0"/>
              <w:jc w:val="center"/>
              <w:rPr>
                <w:rFonts w:cs="Times New Roman"/>
                <w:b/>
                <w:bCs/>
                <w:color w:val="000000"/>
                <w:sz w:val="20"/>
                <w:szCs w:val="20"/>
                <w:lang w:val="cs-CZ"/>
              </w:rPr>
            </w:pPr>
          </w:p>
        </w:tc>
        <w:tc>
          <w:tcPr>
            <w:tcW w:w="1177" w:type="dxa"/>
            <w:vAlign w:val="center"/>
          </w:tcPr>
          <w:p w14:paraId="2D268597"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color w:val="000000"/>
                <w:sz w:val="20"/>
                <w:szCs w:val="20"/>
                <w:lang w:val="cs-CZ"/>
              </w:rPr>
              <w:t>[thous.]</w:t>
            </w:r>
          </w:p>
        </w:tc>
        <w:tc>
          <w:tcPr>
            <w:tcW w:w="1177" w:type="dxa"/>
            <w:vAlign w:val="center"/>
          </w:tcPr>
          <w:p w14:paraId="39DFAEC6"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color w:val="000000"/>
                <w:sz w:val="20"/>
                <w:szCs w:val="20"/>
                <w:lang w:val="cs-CZ"/>
              </w:rPr>
              <w:t>[thous.]</w:t>
            </w:r>
          </w:p>
        </w:tc>
        <w:tc>
          <w:tcPr>
            <w:tcW w:w="1177" w:type="dxa"/>
            <w:vAlign w:val="center"/>
          </w:tcPr>
          <w:p w14:paraId="5540AF41"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color w:val="000000"/>
                <w:sz w:val="20"/>
                <w:szCs w:val="20"/>
                <w:lang w:val="cs-CZ"/>
              </w:rPr>
              <w:t>kg CH4/hd/yr</w:t>
            </w:r>
          </w:p>
        </w:tc>
        <w:tc>
          <w:tcPr>
            <w:tcW w:w="1177" w:type="dxa"/>
            <w:vAlign w:val="center"/>
          </w:tcPr>
          <w:p w14:paraId="2D903BD6"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color w:val="000000"/>
                <w:sz w:val="20"/>
                <w:szCs w:val="20"/>
                <w:lang w:val="cs-CZ"/>
              </w:rPr>
              <w:t>kg CH4/hd/yr</w:t>
            </w:r>
          </w:p>
        </w:tc>
        <w:tc>
          <w:tcPr>
            <w:tcW w:w="1177" w:type="dxa"/>
            <w:vAlign w:val="center"/>
          </w:tcPr>
          <w:p w14:paraId="115457D0"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color w:val="000000"/>
                <w:sz w:val="20"/>
                <w:szCs w:val="20"/>
                <w:lang w:val="cs-CZ"/>
              </w:rPr>
              <w:t>[kt CH4]</w:t>
            </w:r>
          </w:p>
        </w:tc>
        <w:tc>
          <w:tcPr>
            <w:tcW w:w="1177" w:type="dxa"/>
            <w:vAlign w:val="center"/>
          </w:tcPr>
          <w:p w14:paraId="6BB97C95"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color w:val="000000"/>
                <w:sz w:val="20"/>
                <w:szCs w:val="20"/>
                <w:lang w:val="cs-CZ"/>
              </w:rPr>
              <w:t>[kt CH4]</w:t>
            </w:r>
          </w:p>
        </w:tc>
        <w:tc>
          <w:tcPr>
            <w:tcW w:w="1177" w:type="dxa"/>
            <w:vAlign w:val="center"/>
          </w:tcPr>
          <w:p w14:paraId="45ED5EE8"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color w:val="000000"/>
                <w:sz w:val="20"/>
                <w:szCs w:val="20"/>
                <w:lang w:val="cs-CZ"/>
              </w:rPr>
              <w:t>[kt CH4]</w:t>
            </w:r>
          </w:p>
        </w:tc>
      </w:tr>
      <w:tr w:rsidR="003E0F58" w:rsidRPr="007C705C" w14:paraId="6A18E195" w14:textId="77777777" w:rsidTr="004D2249">
        <w:trPr>
          <w:trHeight w:val="90"/>
        </w:trPr>
        <w:tc>
          <w:tcPr>
            <w:tcW w:w="1177" w:type="dxa"/>
            <w:vAlign w:val="center"/>
          </w:tcPr>
          <w:p w14:paraId="568514B0"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2009</w:t>
            </w:r>
          </w:p>
        </w:tc>
        <w:tc>
          <w:tcPr>
            <w:tcW w:w="1177" w:type="dxa"/>
            <w:vAlign w:val="center"/>
          </w:tcPr>
          <w:p w14:paraId="4A779168"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400 </w:t>
            </w:r>
          </w:p>
        </w:tc>
        <w:tc>
          <w:tcPr>
            <w:tcW w:w="1177" w:type="dxa"/>
            <w:vAlign w:val="center"/>
          </w:tcPr>
          <w:p w14:paraId="68122B14"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964 </w:t>
            </w:r>
          </w:p>
        </w:tc>
        <w:tc>
          <w:tcPr>
            <w:tcW w:w="1177" w:type="dxa"/>
            <w:vAlign w:val="center"/>
          </w:tcPr>
          <w:p w14:paraId="1C0B987A"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131.53 </w:t>
            </w:r>
          </w:p>
        </w:tc>
        <w:tc>
          <w:tcPr>
            <w:tcW w:w="1177" w:type="dxa"/>
            <w:vAlign w:val="center"/>
          </w:tcPr>
          <w:p w14:paraId="03E53D9E"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54.37 </w:t>
            </w:r>
          </w:p>
        </w:tc>
        <w:tc>
          <w:tcPr>
            <w:tcW w:w="1177" w:type="dxa"/>
            <w:vAlign w:val="center"/>
          </w:tcPr>
          <w:p w14:paraId="0C7979D8"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52.55 </w:t>
            </w:r>
          </w:p>
        </w:tc>
        <w:tc>
          <w:tcPr>
            <w:tcW w:w="1177" w:type="dxa"/>
            <w:vAlign w:val="center"/>
          </w:tcPr>
          <w:p w14:paraId="2B4403B9"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52.39 </w:t>
            </w:r>
          </w:p>
        </w:tc>
        <w:tc>
          <w:tcPr>
            <w:tcW w:w="1177" w:type="dxa"/>
            <w:vAlign w:val="center"/>
          </w:tcPr>
          <w:p w14:paraId="6B4FA925"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104.94 </w:t>
            </w:r>
          </w:p>
        </w:tc>
      </w:tr>
      <w:tr w:rsidR="003E0F58" w:rsidRPr="007C705C" w14:paraId="67775D7B" w14:textId="77777777" w:rsidTr="004D2249">
        <w:trPr>
          <w:trHeight w:val="90"/>
        </w:trPr>
        <w:tc>
          <w:tcPr>
            <w:tcW w:w="1177" w:type="dxa"/>
            <w:vAlign w:val="center"/>
          </w:tcPr>
          <w:p w14:paraId="5792F5C2"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2010</w:t>
            </w:r>
          </w:p>
        </w:tc>
        <w:tc>
          <w:tcPr>
            <w:tcW w:w="1177" w:type="dxa"/>
            <w:vAlign w:val="center"/>
          </w:tcPr>
          <w:p w14:paraId="3BEAEB25"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384 </w:t>
            </w:r>
          </w:p>
        </w:tc>
        <w:tc>
          <w:tcPr>
            <w:tcW w:w="1177" w:type="dxa"/>
            <w:vAlign w:val="center"/>
          </w:tcPr>
          <w:p w14:paraId="3E4BB1D9"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966 </w:t>
            </w:r>
          </w:p>
        </w:tc>
        <w:tc>
          <w:tcPr>
            <w:tcW w:w="1177" w:type="dxa"/>
            <w:vAlign w:val="center"/>
          </w:tcPr>
          <w:p w14:paraId="78F2AFA4"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132.02 </w:t>
            </w:r>
          </w:p>
        </w:tc>
        <w:tc>
          <w:tcPr>
            <w:tcW w:w="1177" w:type="dxa"/>
            <w:vAlign w:val="center"/>
          </w:tcPr>
          <w:p w14:paraId="1149104E"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52.35 </w:t>
            </w:r>
          </w:p>
        </w:tc>
        <w:tc>
          <w:tcPr>
            <w:tcW w:w="1177" w:type="dxa"/>
            <w:vAlign w:val="center"/>
          </w:tcPr>
          <w:p w14:paraId="3B033F34"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50.63 </w:t>
            </w:r>
          </w:p>
        </w:tc>
        <w:tc>
          <w:tcPr>
            <w:tcW w:w="1177" w:type="dxa"/>
            <w:vAlign w:val="center"/>
          </w:tcPr>
          <w:p w14:paraId="069C7095"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50.55 </w:t>
            </w:r>
          </w:p>
        </w:tc>
        <w:tc>
          <w:tcPr>
            <w:tcW w:w="1177" w:type="dxa"/>
            <w:vAlign w:val="center"/>
          </w:tcPr>
          <w:p w14:paraId="3A97AA91"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101.19 </w:t>
            </w:r>
          </w:p>
        </w:tc>
      </w:tr>
      <w:tr w:rsidR="003E0F58" w:rsidRPr="007C705C" w14:paraId="17938B8C" w14:textId="77777777" w:rsidTr="004D2249">
        <w:trPr>
          <w:trHeight w:val="90"/>
        </w:trPr>
        <w:tc>
          <w:tcPr>
            <w:tcW w:w="1177" w:type="dxa"/>
            <w:vAlign w:val="center"/>
          </w:tcPr>
          <w:p w14:paraId="694A2B98"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2011</w:t>
            </w:r>
          </w:p>
        </w:tc>
        <w:tc>
          <w:tcPr>
            <w:tcW w:w="1177" w:type="dxa"/>
            <w:vAlign w:val="center"/>
          </w:tcPr>
          <w:p w14:paraId="5D776658"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374 </w:t>
            </w:r>
          </w:p>
        </w:tc>
        <w:tc>
          <w:tcPr>
            <w:tcW w:w="1177" w:type="dxa"/>
            <w:vAlign w:val="center"/>
          </w:tcPr>
          <w:p w14:paraId="489E2F09"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970 </w:t>
            </w:r>
          </w:p>
        </w:tc>
        <w:tc>
          <w:tcPr>
            <w:tcW w:w="1177" w:type="dxa"/>
            <w:vAlign w:val="center"/>
          </w:tcPr>
          <w:p w14:paraId="777F49C7"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134.49 </w:t>
            </w:r>
          </w:p>
        </w:tc>
        <w:tc>
          <w:tcPr>
            <w:tcW w:w="1177" w:type="dxa"/>
            <w:vAlign w:val="center"/>
          </w:tcPr>
          <w:p w14:paraId="693E4B81"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52.91 </w:t>
            </w:r>
          </w:p>
        </w:tc>
        <w:tc>
          <w:tcPr>
            <w:tcW w:w="1177" w:type="dxa"/>
            <w:vAlign w:val="center"/>
          </w:tcPr>
          <w:p w14:paraId="15E38994"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50.28 </w:t>
            </w:r>
          </w:p>
        </w:tc>
        <w:tc>
          <w:tcPr>
            <w:tcW w:w="1177" w:type="dxa"/>
            <w:vAlign w:val="center"/>
          </w:tcPr>
          <w:p w14:paraId="5521B3F4"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51.32 </w:t>
            </w:r>
          </w:p>
        </w:tc>
        <w:tc>
          <w:tcPr>
            <w:tcW w:w="1177" w:type="dxa"/>
            <w:vAlign w:val="center"/>
          </w:tcPr>
          <w:p w14:paraId="09017288"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101.59 </w:t>
            </w:r>
          </w:p>
        </w:tc>
      </w:tr>
      <w:tr w:rsidR="003E0F58" w:rsidRPr="007C705C" w14:paraId="3C56494E" w14:textId="77777777" w:rsidTr="004D2249">
        <w:trPr>
          <w:trHeight w:val="90"/>
        </w:trPr>
        <w:tc>
          <w:tcPr>
            <w:tcW w:w="1177" w:type="dxa"/>
            <w:vAlign w:val="center"/>
          </w:tcPr>
          <w:p w14:paraId="125D3FEC"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2012</w:t>
            </w:r>
          </w:p>
        </w:tc>
        <w:tc>
          <w:tcPr>
            <w:tcW w:w="1177" w:type="dxa"/>
            <w:vAlign w:val="center"/>
          </w:tcPr>
          <w:p w14:paraId="1E69EDD8"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373 </w:t>
            </w:r>
          </w:p>
        </w:tc>
        <w:tc>
          <w:tcPr>
            <w:tcW w:w="1177" w:type="dxa"/>
            <w:vAlign w:val="center"/>
          </w:tcPr>
          <w:p w14:paraId="60D63848"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981 </w:t>
            </w:r>
          </w:p>
        </w:tc>
        <w:tc>
          <w:tcPr>
            <w:tcW w:w="1177" w:type="dxa"/>
            <w:vAlign w:val="center"/>
          </w:tcPr>
          <w:p w14:paraId="153A0092"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137.08 </w:t>
            </w:r>
          </w:p>
        </w:tc>
        <w:tc>
          <w:tcPr>
            <w:tcW w:w="1177" w:type="dxa"/>
            <w:vAlign w:val="center"/>
          </w:tcPr>
          <w:p w14:paraId="6D348F6B"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52.86 </w:t>
            </w:r>
          </w:p>
        </w:tc>
        <w:tc>
          <w:tcPr>
            <w:tcW w:w="1177" w:type="dxa"/>
            <w:vAlign w:val="center"/>
          </w:tcPr>
          <w:p w14:paraId="146EE66C"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51.15 </w:t>
            </w:r>
          </w:p>
        </w:tc>
        <w:tc>
          <w:tcPr>
            <w:tcW w:w="1177" w:type="dxa"/>
            <w:vAlign w:val="center"/>
          </w:tcPr>
          <w:p w14:paraId="7D8A7C19"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51.83 </w:t>
            </w:r>
          </w:p>
        </w:tc>
        <w:tc>
          <w:tcPr>
            <w:tcW w:w="1177" w:type="dxa"/>
            <w:vAlign w:val="center"/>
          </w:tcPr>
          <w:p w14:paraId="44C7B422"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102.98 </w:t>
            </w:r>
          </w:p>
        </w:tc>
      </w:tr>
      <w:tr w:rsidR="003E0F58" w:rsidRPr="007C705C" w14:paraId="15139948" w14:textId="77777777" w:rsidTr="004D2249">
        <w:trPr>
          <w:trHeight w:val="90"/>
        </w:trPr>
        <w:tc>
          <w:tcPr>
            <w:tcW w:w="1177" w:type="dxa"/>
            <w:vAlign w:val="center"/>
          </w:tcPr>
          <w:p w14:paraId="5546FDB7"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2013</w:t>
            </w:r>
          </w:p>
        </w:tc>
        <w:tc>
          <w:tcPr>
            <w:tcW w:w="1177" w:type="dxa"/>
            <w:vAlign w:val="center"/>
          </w:tcPr>
          <w:p w14:paraId="1F804128"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367 </w:t>
            </w:r>
          </w:p>
        </w:tc>
        <w:tc>
          <w:tcPr>
            <w:tcW w:w="1177" w:type="dxa"/>
            <w:vAlign w:val="center"/>
          </w:tcPr>
          <w:p w14:paraId="16504FAF"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985 </w:t>
            </w:r>
          </w:p>
        </w:tc>
        <w:tc>
          <w:tcPr>
            <w:tcW w:w="1177" w:type="dxa"/>
            <w:vAlign w:val="center"/>
          </w:tcPr>
          <w:p w14:paraId="220DB03D"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137.67 </w:t>
            </w:r>
          </w:p>
        </w:tc>
        <w:tc>
          <w:tcPr>
            <w:tcW w:w="1177" w:type="dxa"/>
            <w:vAlign w:val="center"/>
          </w:tcPr>
          <w:p w14:paraId="022EC877"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53.16 </w:t>
            </w:r>
          </w:p>
        </w:tc>
        <w:tc>
          <w:tcPr>
            <w:tcW w:w="1177" w:type="dxa"/>
            <w:vAlign w:val="center"/>
          </w:tcPr>
          <w:p w14:paraId="57CD2877"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50.57 </w:t>
            </w:r>
          </w:p>
        </w:tc>
        <w:tc>
          <w:tcPr>
            <w:tcW w:w="1177" w:type="dxa"/>
            <w:vAlign w:val="center"/>
          </w:tcPr>
          <w:p w14:paraId="74962FA7"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52.39 </w:t>
            </w:r>
          </w:p>
        </w:tc>
        <w:tc>
          <w:tcPr>
            <w:tcW w:w="1177" w:type="dxa"/>
            <w:vAlign w:val="center"/>
          </w:tcPr>
          <w:p w14:paraId="40AF0304"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102.96 </w:t>
            </w:r>
          </w:p>
        </w:tc>
      </w:tr>
      <w:tr w:rsidR="003E0F58" w:rsidRPr="007C705C" w14:paraId="72F62260" w14:textId="77777777" w:rsidTr="004D2249">
        <w:trPr>
          <w:trHeight w:val="90"/>
        </w:trPr>
        <w:tc>
          <w:tcPr>
            <w:tcW w:w="1177" w:type="dxa"/>
            <w:vAlign w:val="center"/>
          </w:tcPr>
          <w:p w14:paraId="2BEC170E"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2014</w:t>
            </w:r>
          </w:p>
        </w:tc>
        <w:tc>
          <w:tcPr>
            <w:tcW w:w="1177" w:type="dxa"/>
            <w:vAlign w:val="center"/>
          </w:tcPr>
          <w:p w14:paraId="1B3D3AE5"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373 </w:t>
            </w:r>
          </w:p>
        </w:tc>
        <w:tc>
          <w:tcPr>
            <w:tcW w:w="1177" w:type="dxa"/>
            <w:vAlign w:val="center"/>
          </w:tcPr>
          <w:p w14:paraId="17092F9F"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1001 </w:t>
            </w:r>
          </w:p>
        </w:tc>
        <w:tc>
          <w:tcPr>
            <w:tcW w:w="1177" w:type="dxa"/>
            <w:vAlign w:val="center"/>
          </w:tcPr>
          <w:p w14:paraId="5674A4BA"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140.54 </w:t>
            </w:r>
          </w:p>
        </w:tc>
        <w:tc>
          <w:tcPr>
            <w:tcW w:w="1177" w:type="dxa"/>
            <w:vAlign w:val="center"/>
          </w:tcPr>
          <w:p w14:paraId="53E055BA"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52.71 </w:t>
            </w:r>
          </w:p>
        </w:tc>
        <w:tc>
          <w:tcPr>
            <w:tcW w:w="1177" w:type="dxa"/>
            <w:vAlign w:val="center"/>
          </w:tcPr>
          <w:p w14:paraId="60459876"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52.37 </w:t>
            </w:r>
          </w:p>
        </w:tc>
        <w:tc>
          <w:tcPr>
            <w:tcW w:w="1177" w:type="dxa"/>
            <w:vAlign w:val="center"/>
          </w:tcPr>
          <w:p w14:paraId="68F6C32D"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52.76 </w:t>
            </w:r>
          </w:p>
        </w:tc>
        <w:tc>
          <w:tcPr>
            <w:tcW w:w="1177" w:type="dxa"/>
            <w:vAlign w:val="center"/>
          </w:tcPr>
          <w:p w14:paraId="5DAA8D28"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105.13 </w:t>
            </w:r>
          </w:p>
        </w:tc>
      </w:tr>
      <w:tr w:rsidR="003E0F58" w:rsidRPr="007C705C" w14:paraId="6EE034FA" w14:textId="77777777" w:rsidTr="004D2249">
        <w:trPr>
          <w:trHeight w:val="90"/>
        </w:trPr>
        <w:tc>
          <w:tcPr>
            <w:tcW w:w="1177" w:type="dxa"/>
            <w:vAlign w:val="center"/>
          </w:tcPr>
          <w:p w14:paraId="6791BDD3"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2015</w:t>
            </w:r>
          </w:p>
        </w:tc>
        <w:tc>
          <w:tcPr>
            <w:tcW w:w="1177" w:type="dxa"/>
            <w:vAlign w:val="center"/>
          </w:tcPr>
          <w:p w14:paraId="5D2C38B8"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376 </w:t>
            </w:r>
          </w:p>
        </w:tc>
        <w:tc>
          <w:tcPr>
            <w:tcW w:w="1177" w:type="dxa"/>
            <w:vAlign w:val="center"/>
          </w:tcPr>
          <w:p w14:paraId="0488C85C"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1031 </w:t>
            </w:r>
          </w:p>
        </w:tc>
        <w:tc>
          <w:tcPr>
            <w:tcW w:w="1177" w:type="dxa"/>
            <w:vAlign w:val="center"/>
          </w:tcPr>
          <w:p w14:paraId="0E7B18EA"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142.90 </w:t>
            </w:r>
          </w:p>
        </w:tc>
        <w:tc>
          <w:tcPr>
            <w:tcW w:w="1177" w:type="dxa"/>
            <w:vAlign w:val="center"/>
          </w:tcPr>
          <w:p w14:paraId="237771EC"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52.81 </w:t>
            </w:r>
          </w:p>
        </w:tc>
        <w:tc>
          <w:tcPr>
            <w:tcW w:w="1177" w:type="dxa"/>
            <w:vAlign w:val="center"/>
          </w:tcPr>
          <w:p w14:paraId="385A24F4"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53.75 </w:t>
            </w:r>
          </w:p>
        </w:tc>
        <w:tc>
          <w:tcPr>
            <w:tcW w:w="1177" w:type="dxa"/>
            <w:vAlign w:val="center"/>
          </w:tcPr>
          <w:p w14:paraId="754883A6"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54.44 </w:t>
            </w:r>
          </w:p>
        </w:tc>
        <w:tc>
          <w:tcPr>
            <w:tcW w:w="1177" w:type="dxa"/>
            <w:vAlign w:val="center"/>
          </w:tcPr>
          <w:p w14:paraId="79EF5D6E"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108.19 </w:t>
            </w:r>
          </w:p>
        </w:tc>
      </w:tr>
      <w:tr w:rsidR="003E0F58" w:rsidRPr="007C705C" w14:paraId="4EF71637" w14:textId="77777777" w:rsidTr="004D2249">
        <w:trPr>
          <w:trHeight w:val="90"/>
        </w:trPr>
        <w:tc>
          <w:tcPr>
            <w:tcW w:w="1177" w:type="dxa"/>
            <w:vAlign w:val="center"/>
          </w:tcPr>
          <w:p w14:paraId="2A5D49F1"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2016</w:t>
            </w:r>
          </w:p>
        </w:tc>
        <w:tc>
          <w:tcPr>
            <w:tcW w:w="1177" w:type="dxa"/>
            <w:vAlign w:val="center"/>
          </w:tcPr>
          <w:p w14:paraId="57EA6469"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373 </w:t>
            </w:r>
          </w:p>
        </w:tc>
        <w:tc>
          <w:tcPr>
            <w:tcW w:w="1177" w:type="dxa"/>
            <w:vAlign w:val="center"/>
          </w:tcPr>
          <w:p w14:paraId="561B0362"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1043 </w:t>
            </w:r>
          </w:p>
        </w:tc>
        <w:tc>
          <w:tcPr>
            <w:tcW w:w="1177" w:type="dxa"/>
            <w:vAlign w:val="center"/>
          </w:tcPr>
          <w:p w14:paraId="655DAE60"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146.38 </w:t>
            </w:r>
          </w:p>
        </w:tc>
        <w:tc>
          <w:tcPr>
            <w:tcW w:w="1177" w:type="dxa"/>
            <w:vAlign w:val="center"/>
          </w:tcPr>
          <w:p w14:paraId="55F788AB"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53.80 </w:t>
            </w:r>
          </w:p>
        </w:tc>
        <w:tc>
          <w:tcPr>
            <w:tcW w:w="1177" w:type="dxa"/>
            <w:vAlign w:val="center"/>
          </w:tcPr>
          <w:p w14:paraId="1442E243"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54.53 </w:t>
            </w:r>
          </w:p>
        </w:tc>
        <w:tc>
          <w:tcPr>
            <w:tcW w:w="1177" w:type="dxa"/>
            <w:vAlign w:val="center"/>
          </w:tcPr>
          <w:p w14:paraId="64EEEB85"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56.12 </w:t>
            </w:r>
          </w:p>
        </w:tc>
        <w:tc>
          <w:tcPr>
            <w:tcW w:w="1177" w:type="dxa"/>
            <w:vAlign w:val="center"/>
          </w:tcPr>
          <w:p w14:paraId="3CCE3C96"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110.65 </w:t>
            </w:r>
          </w:p>
        </w:tc>
      </w:tr>
      <w:tr w:rsidR="003E0F58" w:rsidRPr="007C705C" w14:paraId="15A34250" w14:textId="77777777" w:rsidTr="004D2249">
        <w:trPr>
          <w:trHeight w:val="90"/>
        </w:trPr>
        <w:tc>
          <w:tcPr>
            <w:tcW w:w="1177" w:type="dxa"/>
            <w:vAlign w:val="center"/>
          </w:tcPr>
          <w:p w14:paraId="781C2002"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2017</w:t>
            </w:r>
          </w:p>
        </w:tc>
        <w:tc>
          <w:tcPr>
            <w:tcW w:w="1177" w:type="dxa"/>
            <w:vAlign w:val="center"/>
          </w:tcPr>
          <w:p w14:paraId="6A04D95F"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370 </w:t>
            </w:r>
          </w:p>
        </w:tc>
        <w:tc>
          <w:tcPr>
            <w:tcW w:w="1177" w:type="dxa"/>
            <w:vAlign w:val="center"/>
          </w:tcPr>
          <w:p w14:paraId="5713FA09"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1051 </w:t>
            </w:r>
          </w:p>
        </w:tc>
        <w:tc>
          <w:tcPr>
            <w:tcW w:w="1177" w:type="dxa"/>
            <w:vAlign w:val="center"/>
          </w:tcPr>
          <w:p w14:paraId="346C1405"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148.05 </w:t>
            </w:r>
          </w:p>
        </w:tc>
        <w:tc>
          <w:tcPr>
            <w:tcW w:w="1177" w:type="dxa"/>
            <w:vAlign w:val="center"/>
          </w:tcPr>
          <w:p w14:paraId="3148DB1C"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55.25 </w:t>
            </w:r>
          </w:p>
        </w:tc>
        <w:tc>
          <w:tcPr>
            <w:tcW w:w="1177" w:type="dxa"/>
            <w:vAlign w:val="center"/>
          </w:tcPr>
          <w:p w14:paraId="530A8C19"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54.75 </w:t>
            </w:r>
          </w:p>
        </w:tc>
        <w:tc>
          <w:tcPr>
            <w:tcW w:w="1177" w:type="dxa"/>
            <w:vAlign w:val="center"/>
          </w:tcPr>
          <w:p w14:paraId="56AD8D7F"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58.09 </w:t>
            </w:r>
          </w:p>
        </w:tc>
        <w:tc>
          <w:tcPr>
            <w:tcW w:w="1177" w:type="dxa"/>
            <w:vAlign w:val="center"/>
          </w:tcPr>
          <w:p w14:paraId="5B1A28FC"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112.84 </w:t>
            </w:r>
          </w:p>
        </w:tc>
      </w:tr>
      <w:tr w:rsidR="003E0F58" w:rsidRPr="007C705C" w14:paraId="4D2C176A" w14:textId="77777777" w:rsidTr="004D2249">
        <w:trPr>
          <w:trHeight w:val="90"/>
        </w:trPr>
        <w:tc>
          <w:tcPr>
            <w:tcW w:w="1177" w:type="dxa"/>
            <w:vAlign w:val="center"/>
          </w:tcPr>
          <w:p w14:paraId="3333A6B8"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2018</w:t>
            </w:r>
          </w:p>
        </w:tc>
        <w:tc>
          <w:tcPr>
            <w:tcW w:w="1177" w:type="dxa"/>
            <w:vAlign w:val="center"/>
          </w:tcPr>
          <w:p w14:paraId="5F8FA866"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365 </w:t>
            </w:r>
          </w:p>
        </w:tc>
        <w:tc>
          <w:tcPr>
            <w:tcW w:w="1177" w:type="dxa"/>
            <w:vAlign w:val="center"/>
          </w:tcPr>
          <w:p w14:paraId="253C3CCE"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1050 </w:t>
            </w:r>
          </w:p>
        </w:tc>
        <w:tc>
          <w:tcPr>
            <w:tcW w:w="1177" w:type="dxa"/>
            <w:vAlign w:val="center"/>
          </w:tcPr>
          <w:p w14:paraId="12F565F5"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153.11 </w:t>
            </w:r>
          </w:p>
        </w:tc>
        <w:tc>
          <w:tcPr>
            <w:tcW w:w="1177" w:type="dxa"/>
            <w:vAlign w:val="center"/>
          </w:tcPr>
          <w:p w14:paraId="6B55278A"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57.84 </w:t>
            </w:r>
          </w:p>
        </w:tc>
        <w:tc>
          <w:tcPr>
            <w:tcW w:w="1177" w:type="dxa"/>
            <w:vAlign w:val="center"/>
          </w:tcPr>
          <w:p w14:paraId="3CDADA89"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55.96 </w:t>
            </w:r>
          </w:p>
        </w:tc>
        <w:tc>
          <w:tcPr>
            <w:tcW w:w="1177" w:type="dxa"/>
            <w:vAlign w:val="center"/>
          </w:tcPr>
          <w:p w14:paraId="32FE87EC"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60.75 </w:t>
            </w:r>
          </w:p>
        </w:tc>
        <w:tc>
          <w:tcPr>
            <w:tcW w:w="1177" w:type="dxa"/>
            <w:vAlign w:val="center"/>
          </w:tcPr>
          <w:p w14:paraId="69B12D84"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116.71 </w:t>
            </w:r>
          </w:p>
        </w:tc>
      </w:tr>
    </w:tbl>
    <w:p w14:paraId="070B577F" w14:textId="551DEE92" w:rsidR="003E0F58" w:rsidRPr="007C705C" w:rsidRDefault="003E0F58" w:rsidP="00C228A5">
      <w:pPr>
        <w:pStyle w:val="UZEIZdroj"/>
        <w:spacing w:after="60"/>
      </w:pPr>
      <w:r w:rsidRPr="007C705C">
        <w:t>Zdroj: NIR ČR 2020 (ČHMÚ)</w:t>
      </w:r>
    </w:p>
    <w:p w14:paraId="59286705" w14:textId="50E7C3DE" w:rsidR="003E0F58" w:rsidRPr="007C705C" w:rsidRDefault="003E0F58" w:rsidP="007C705C">
      <w:pPr>
        <w:pStyle w:val="UZEITaB"/>
        <w:rPr>
          <w:rFonts w:cs="Times New Roman"/>
        </w:rPr>
      </w:pPr>
      <w:bookmarkStart w:id="154" w:name="_Toc77245799"/>
      <w:bookmarkStart w:id="155" w:name="_Toc94181556"/>
      <w:r w:rsidRPr="007C705C">
        <w:rPr>
          <w:rFonts w:cs="Times New Roman"/>
        </w:rPr>
        <w:t>Methane emissions from enteric fermentation (others)</w:t>
      </w:r>
      <w:bookmarkEnd w:id="154"/>
      <w:bookmarkEnd w:id="155"/>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8"/>
        <w:gridCol w:w="298"/>
        <w:gridCol w:w="1190"/>
        <w:gridCol w:w="596"/>
        <w:gridCol w:w="892"/>
        <w:gridCol w:w="894"/>
        <w:gridCol w:w="594"/>
        <w:gridCol w:w="1192"/>
        <w:gridCol w:w="296"/>
        <w:gridCol w:w="1493"/>
      </w:tblGrid>
      <w:tr w:rsidR="003E0F58" w:rsidRPr="007C705C" w14:paraId="0D746F68" w14:textId="77777777" w:rsidTr="004D2249">
        <w:trPr>
          <w:trHeight w:val="90"/>
        </w:trPr>
        <w:tc>
          <w:tcPr>
            <w:tcW w:w="1786" w:type="dxa"/>
            <w:gridSpan w:val="2"/>
            <w:vAlign w:val="center"/>
          </w:tcPr>
          <w:p w14:paraId="7E051A62"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Sheep</w:t>
            </w:r>
          </w:p>
        </w:tc>
        <w:tc>
          <w:tcPr>
            <w:tcW w:w="1786" w:type="dxa"/>
            <w:gridSpan w:val="2"/>
            <w:vAlign w:val="center"/>
          </w:tcPr>
          <w:p w14:paraId="24D20D33"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Swine</w:t>
            </w:r>
          </w:p>
        </w:tc>
        <w:tc>
          <w:tcPr>
            <w:tcW w:w="1786" w:type="dxa"/>
            <w:gridSpan w:val="2"/>
            <w:vAlign w:val="center"/>
          </w:tcPr>
          <w:p w14:paraId="29513113"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Goats</w:t>
            </w:r>
          </w:p>
        </w:tc>
        <w:tc>
          <w:tcPr>
            <w:tcW w:w="1786" w:type="dxa"/>
            <w:gridSpan w:val="2"/>
            <w:vAlign w:val="center"/>
          </w:tcPr>
          <w:p w14:paraId="2AD46DAF"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Horses</w:t>
            </w:r>
          </w:p>
        </w:tc>
        <w:tc>
          <w:tcPr>
            <w:tcW w:w="1789" w:type="dxa"/>
            <w:gridSpan w:val="2"/>
            <w:vAlign w:val="center"/>
          </w:tcPr>
          <w:p w14:paraId="3280ACDD"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Total</w:t>
            </w:r>
          </w:p>
        </w:tc>
      </w:tr>
      <w:tr w:rsidR="003E0F58" w:rsidRPr="007C705C" w14:paraId="008B4AE4" w14:textId="77777777" w:rsidTr="004D2249">
        <w:trPr>
          <w:trHeight w:val="98"/>
        </w:trPr>
        <w:tc>
          <w:tcPr>
            <w:tcW w:w="8933" w:type="dxa"/>
            <w:gridSpan w:val="10"/>
            <w:vAlign w:val="center"/>
          </w:tcPr>
          <w:p w14:paraId="46E2A972"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CH4 Emissions from Enteric fermentation [kt]</w:t>
            </w:r>
          </w:p>
        </w:tc>
      </w:tr>
      <w:tr w:rsidR="003E0F58" w:rsidRPr="007C705C" w14:paraId="43F84553" w14:textId="77777777" w:rsidTr="004D2249">
        <w:trPr>
          <w:trHeight w:val="90"/>
        </w:trPr>
        <w:tc>
          <w:tcPr>
            <w:tcW w:w="1488" w:type="dxa"/>
            <w:vAlign w:val="center"/>
          </w:tcPr>
          <w:p w14:paraId="7AC4C373"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1990</w:t>
            </w:r>
          </w:p>
        </w:tc>
        <w:tc>
          <w:tcPr>
            <w:tcW w:w="1488" w:type="dxa"/>
            <w:gridSpan w:val="2"/>
            <w:vAlign w:val="center"/>
          </w:tcPr>
          <w:p w14:paraId="698AFC93"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3.44 </w:t>
            </w:r>
          </w:p>
        </w:tc>
        <w:tc>
          <w:tcPr>
            <w:tcW w:w="1488" w:type="dxa"/>
            <w:gridSpan w:val="2"/>
            <w:vAlign w:val="center"/>
          </w:tcPr>
          <w:p w14:paraId="14088B11"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7.19 </w:t>
            </w:r>
          </w:p>
        </w:tc>
        <w:tc>
          <w:tcPr>
            <w:tcW w:w="1488" w:type="dxa"/>
            <w:gridSpan w:val="2"/>
            <w:vAlign w:val="center"/>
          </w:tcPr>
          <w:p w14:paraId="26CBC1BA"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0.21 </w:t>
            </w:r>
          </w:p>
        </w:tc>
        <w:tc>
          <w:tcPr>
            <w:tcW w:w="1488" w:type="dxa"/>
            <w:gridSpan w:val="2"/>
            <w:vAlign w:val="center"/>
          </w:tcPr>
          <w:p w14:paraId="71D3B909"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0.49 </w:t>
            </w:r>
          </w:p>
        </w:tc>
        <w:tc>
          <w:tcPr>
            <w:tcW w:w="1493" w:type="dxa"/>
            <w:vAlign w:val="center"/>
          </w:tcPr>
          <w:p w14:paraId="626E7E83"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11.31 </w:t>
            </w:r>
          </w:p>
        </w:tc>
      </w:tr>
      <w:tr w:rsidR="003E0F58" w:rsidRPr="007C705C" w14:paraId="1DAD9D6F" w14:textId="77777777" w:rsidTr="004D2249">
        <w:trPr>
          <w:trHeight w:val="90"/>
        </w:trPr>
        <w:tc>
          <w:tcPr>
            <w:tcW w:w="1488" w:type="dxa"/>
            <w:vAlign w:val="center"/>
          </w:tcPr>
          <w:p w14:paraId="268863E9"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1995</w:t>
            </w:r>
          </w:p>
        </w:tc>
        <w:tc>
          <w:tcPr>
            <w:tcW w:w="1488" w:type="dxa"/>
            <w:gridSpan w:val="2"/>
            <w:vAlign w:val="center"/>
          </w:tcPr>
          <w:p w14:paraId="596DA48E"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1.32 </w:t>
            </w:r>
          </w:p>
        </w:tc>
        <w:tc>
          <w:tcPr>
            <w:tcW w:w="1488" w:type="dxa"/>
            <w:gridSpan w:val="2"/>
            <w:vAlign w:val="center"/>
          </w:tcPr>
          <w:p w14:paraId="5E4EBD4A"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5.80 </w:t>
            </w:r>
          </w:p>
        </w:tc>
        <w:tc>
          <w:tcPr>
            <w:tcW w:w="1488" w:type="dxa"/>
            <w:gridSpan w:val="2"/>
            <w:vAlign w:val="center"/>
          </w:tcPr>
          <w:p w14:paraId="0DC0BAB2"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0.23 </w:t>
            </w:r>
          </w:p>
        </w:tc>
        <w:tc>
          <w:tcPr>
            <w:tcW w:w="1488" w:type="dxa"/>
            <w:gridSpan w:val="2"/>
            <w:vAlign w:val="center"/>
          </w:tcPr>
          <w:p w14:paraId="35C6E6FA"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0.32 </w:t>
            </w:r>
          </w:p>
        </w:tc>
        <w:tc>
          <w:tcPr>
            <w:tcW w:w="1493" w:type="dxa"/>
            <w:vAlign w:val="center"/>
          </w:tcPr>
          <w:p w14:paraId="2A97D405"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7.67 </w:t>
            </w:r>
          </w:p>
        </w:tc>
      </w:tr>
      <w:tr w:rsidR="003E0F58" w:rsidRPr="007C705C" w14:paraId="3AF23D9F" w14:textId="77777777" w:rsidTr="004D2249">
        <w:trPr>
          <w:trHeight w:val="90"/>
        </w:trPr>
        <w:tc>
          <w:tcPr>
            <w:tcW w:w="1488" w:type="dxa"/>
            <w:vAlign w:val="center"/>
          </w:tcPr>
          <w:p w14:paraId="287D6818"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2000</w:t>
            </w:r>
          </w:p>
        </w:tc>
        <w:tc>
          <w:tcPr>
            <w:tcW w:w="1488" w:type="dxa"/>
            <w:gridSpan w:val="2"/>
            <w:vAlign w:val="center"/>
          </w:tcPr>
          <w:p w14:paraId="6E0F201B"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0.67 </w:t>
            </w:r>
          </w:p>
        </w:tc>
        <w:tc>
          <w:tcPr>
            <w:tcW w:w="1488" w:type="dxa"/>
            <w:gridSpan w:val="2"/>
            <w:vAlign w:val="center"/>
          </w:tcPr>
          <w:p w14:paraId="554F9F46"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5.53 </w:t>
            </w:r>
          </w:p>
        </w:tc>
        <w:tc>
          <w:tcPr>
            <w:tcW w:w="1488" w:type="dxa"/>
            <w:gridSpan w:val="2"/>
            <w:vAlign w:val="center"/>
          </w:tcPr>
          <w:p w14:paraId="6A9E16D2"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0.16 </w:t>
            </w:r>
          </w:p>
        </w:tc>
        <w:tc>
          <w:tcPr>
            <w:tcW w:w="1488" w:type="dxa"/>
            <w:gridSpan w:val="2"/>
            <w:vAlign w:val="center"/>
          </w:tcPr>
          <w:p w14:paraId="4DDE60B0"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0.43 </w:t>
            </w:r>
          </w:p>
        </w:tc>
        <w:tc>
          <w:tcPr>
            <w:tcW w:w="1493" w:type="dxa"/>
            <w:vAlign w:val="center"/>
          </w:tcPr>
          <w:p w14:paraId="67301714"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6.80 </w:t>
            </w:r>
          </w:p>
        </w:tc>
      </w:tr>
      <w:tr w:rsidR="003E0F58" w:rsidRPr="007C705C" w14:paraId="0B2991DC" w14:textId="77777777" w:rsidTr="004D2249">
        <w:trPr>
          <w:trHeight w:val="90"/>
        </w:trPr>
        <w:tc>
          <w:tcPr>
            <w:tcW w:w="1488" w:type="dxa"/>
            <w:vAlign w:val="center"/>
          </w:tcPr>
          <w:p w14:paraId="7A32D10E"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2005</w:t>
            </w:r>
          </w:p>
        </w:tc>
        <w:tc>
          <w:tcPr>
            <w:tcW w:w="1488" w:type="dxa"/>
            <w:gridSpan w:val="2"/>
            <w:vAlign w:val="center"/>
          </w:tcPr>
          <w:p w14:paraId="0A8AED31"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1.12 </w:t>
            </w:r>
          </w:p>
        </w:tc>
        <w:tc>
          <w:tcPr>
            <w:tcW w:w="1488" w:type="dxa"/>
            <w:gridSpan w:val="2"/>
            <w:vAlign w:val="center"/>
          </w:tcPr>
          <w:p w14:paraId="0EBA21E2"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4.32 </w:t>
            </w:r>
          </w:p>
        </w:tc>
        <w:tc>
          <w:tcPr>
            <w:tcW w:w="1488" w:type="dxa"/>
            <w:gridSpan w:val="2"/>
            <w:vAlign w:val="center"/>
          </w:tcPr>
          <w:p w14:paraId="15B28D9B"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0.07 </w:t>
            </w:r>
          </w:p>
        </w:tc>
        <w:tc>
          <w:tcPr>
            <w:tcW w:w="1488" w:type="dxa"/>
            <w:gridSpan w:val="2"/>
            <w:vAlign w:val="center"/>
          </w:tcPr>
          <w:p w14:paraId="7DEF371E"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0.38 </w:t>
            </w:r>
          </w:p>
        </w:tc>
        <w:tc>
          <w:tcPr>
            <w:tcW w:w="1493" w:type="dxa"/>
            <w:vAlign w:val="center"/>
          </w:tcPr>
          <w:p w14:paraId="5D22627F"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5.88 </w:t>
            </w:r>
          </w:p>
        </w:tc>
      </w:tr>
      <w:tr w:rsidR="003E0F58" w:rsidRPr="007C705C" w14:paraId="367ABC89" w14:textId="77777777" w:rsidTr="004D2249">
        <w:trPr>
          <w:trHeight w:val="90"/>
        </w:trPr>
        <w:tc>
          <w:tcPr>
            <w:tcW w:w="1488" w:type="dxa"/>
            <w:vAlign w:val="center"/>
          </w:tcPr>
          <w:p w14:paraId="54CD51BA"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2010</w:t>
            </w:r>
          </w:p>
        </w:tc>
        <w:tc>
          <w:tcPr>
            <w:tcW w:w="1488" w:type="dxa"/>
            <w:gridSpan w:val="2"/>
            <w:vAlign w:val="center"/>
          </w:tcPr>
          <w:p w14:paraId="63C53E3C"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1.58 </w:t>
            </w:r>
          </w:p>
        </w:tc>
        <w:tc>
          <w:tcPr>
            <w:tcW w:w="1488" w:type="dxa"/>
            <w:gridSpan w:val="2"/>
            <w:vAlign w:val="center"/>
          </w:tcPr>
          <w:p w14:paraId="20F172B1"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2.86 </w:t>
            </w:r>
          </w:p>
        </w:tc>
        <w:tc>
          <w:tcPr>
            <w:tcW w:w="1488" w:type="dxa"/>
            <w:gridSpan w:val="2"/>
            <w:vAlign w:val="center"/>
          </w:tcPr>
          <w:p w14:paraId="69C9C38B"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0.11 </w:t>
            </w:r>
          </w:p>
        </w:tc>
        <w:tc>
          <w:tcPr>
            <w:tcW w:w="1488" w:type="dxa"/>
            <w:gridSpan w:val="2"/>
            <w:vAlign w:val="center"/>
          </w:tcPr>
          <w:p w14:paraId="7C5FA421"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0.54 </w:t>
            </w:r>
          </w:p>
        </w:tc>
        <w:tc>
          <w:tcPr>
            <w:tcW w:w="1493" w:type="dxa"/>
            <w:vAlign w:val="center"/>
          </w:tcPr>
          <w:p w14:paraId="7C2870C2"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5.09 </w:t>
            </w:r>
          </w:p>
        </w:tc>
      </w:tr>
      <w:tr w:rsidR="003E0F58" w:rsidRPr="007C705C" w14:paraId="59253423" w14:textId="77777777" w:rsidTr="004D2249">
        <w:trPr>
          <w:trHeight w:val="90"/>
        </w:trPr>
        <w:tc>
          <w:tcPr>
            <w:tcW w:w="1488" w:type="dxa"/>
            <w:vAlign w:val="center"/>
          </w:tcPr>
          <w:p w14:paraId="1D9FA991"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2015</w:t>
            </w:r>
          </w:p>
        </w:tc>
        <w:tc>
          <w:tcPr>
            <w:tcW w:w="1488" w:type="dxa"/>
            <w:gridSpan w:val="2"/>
            <w:vAlign w:val="center"/>
          </w:tcPr>
          <w:p w14:paraId="1138D255"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1.85 </w:t>
            </w:r>
          </w:p>
        </w:tc>
        <w:tc>
          <w:tcPr>
            <w:tcW w:w="1488" w:type="dxa"/>
            <w:gridSpan w:val="2"/>
            <w:vAlign w:val="center"/>
          </w:tcPr>
          <w:p w14:paraId="4BE9B243"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2.34 </w:t>
            </w:r>
          </w:p>
        </w:tc>
        <w:tc>
          <w:tcPr>
            <w:tcW w:w="1488" w:type="dxa"/>
            <w:gridSpan w:val="2"/>
            <w:vAlign w:val="center"/>
          </w:tcPr>
          <w:p w14:paraId="5F6894B2"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0.13 </w:t>
            </w:r>
          </w:p>
        </w:tc>
        <w:tc>
          <w:tcPr>
            <w:tcW w:w="1488" w:type="dxa"/>
            <w:gridSpan w:val="2"/>
            <w:vAlign w:val="center"/>
          </w:tcPr>
          <w:p w14:paraId="4A1D6122"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0.61 </w:t>
            </w:r>
          </w:p>
        </w:tc>
        <w:tc>
          <w:tcPr>
            <w:tcW w:w="1493" w:type="dxa"/>
            <w:vAlign w:val="center"/>
          </w:tcPr>
          <w:p w14:paraId="6424217A"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4.93 </w:t>
            </w:r>
          </w:p>
        </w:tc>
      </w:tr>
      <w:tr w:rsidR="003E0F58" w:rsidRPr="007C705C" w14:paraId="51C2B37D" w14:textId="77777777" w:rsidTr="004D2249">
        <w:trPr>
          <w:trHeight w:val="90"/>
        </w:trPr>
        <w:tc>
          <w:tcPr>
            <w:tcW w:w="1488" w:type="dxa"/>
            <w:vAlign w:val="center"/>
          </w:tcPr>
          <w:p w14:paraId="034E155C"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2016</w:t>
            </w:r>
          </w:p>
        </w:tc>
        <w:tc>
          <w:tcPr>
            <w:tcW w:w="1488" w:type="dxa"/>
            <w:gridSpan w:val="2"/>
            <w:vAlign w:val="center"/>
          </w:tcPr>
          <w:p w14:paraId="65961A73"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1.75 </w:t>
            </w:r>
          </w:p>
        </w:tc>
        <w:tc>
          <w:tcPr>
            <w:tcW w:w="1488" w:type="dxa"/>
            <w:gridSpan w:val="2"/>
            <w:vAlign w:val="center"/>
          </w:tcPr>
          <w:p w14:paraId="4A81982D"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2.42 </w:t>
            </w:r>
          </w:p>
        </w:tc>
        <w:tc>
          <w:tcPr>
            <w:tcW w:w="1488" w:type="dxa"/>
            <w:gridSpan w:val="2"/>
            <w:vAlign w:val="center"/>
          </w:tcPr>
          <w:p w14:paraId="68B7E47D"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0.13 </w:t>
            </w:r>
          </w:p>
        </w:tc>
        <w:tc>
          <w:tcPr>
            <w:tcW w:w="1488" w:type="dxa"/>
            <w:gridSpan w:val="2"/>
            <w:vAlign w:val="center"/>
          </w:tcPr>
          <w:p w14:paraId="71C5900F"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0.58 </w:t>
            </w:r>
          </w:p>
        </w:tc>
        <w:tc>
          <w:tcPr>
            <w:tcW w:w="1493" w:type="dxa"/>
            <w:vAlign w:val="center"/>
          </w:tcPr>
          <w:p w14:paraId="43348AEE"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4.88 </w:t>
            </w:r>
          </w:p>
        </w:tc>
      </w:tr>
      <w:tr w:rsidR="003E0F58" w:rsidRPr="007C705C" w14:paraId="24C6E115" w14:textId="77777777" w:rsidTr="004D2249">
        <w:trPr>
          <w:trHeight w:val="90"/>
        </w:trPr>
        <w:tc>
          <w:tcPr>
            <w:tcW w:w="1488" w:type="dxa"/>
            <w:vAlign w:val="center"/>
          </w:tcPr>
          <w:p w14:paraId="356C92E2"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2017</w:t>
            </w:r>
          </w:p>
        </w:tc>
        <w:tc>
          <w:tcPr>
            <w:tcW w:w="1488" w:type="dxa"/>
            <w:gridSpan w:val="2"/>
            <w:vAlign w:val="center"/>
          </w:tcPr>
          <w:p w14:paraId="214BC517"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1.74 </w:t>
            </w:r>
          </w:p>
        </w:tc>
        <w:tc>
          <w:tcPr>
            <w:tcW w:w="1488" w:type="dxa"/>
            <w:gridSpan w:val="2"/>
            <w:vAlign w:val="center"/>
          </w:tcPr>
          <w:p w14:paraId="72D4C6CA"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2.24 </w:t>
            </w:r>
          </w:p>
        </w:tc>
        <w:tc>
          <w:tcPr>
            <w:tcW w:w="1488" w:type="dxa"/>
            <w:gridSpan w:val="2"/>
            <w:vAlign w:val="center"/>
          </w:tcPr>
          <w:p w14:paraId="67DB1F81"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0.14 </w:t>
            </w:r>
          </w:p>
        </w:tc>
        <w:tc>
          <w:tcPr>
            <w:tcW w:w="1488" w:type="dxa"/>
            <w:gridSpan w:val="2"/>
            <w:vAlign w:val="center"/>
          </w:tcPr>
          <w:p w14:paraId="5C5475E6"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0.62 </w:t>
            </w:r>
          </w:p>
        </w:tc>
        <w:tc>
          <w:tcPr>
            <w:tcW w:w="1493" w:type="dxa"/>
            <w:vAlign w:val="center"/>
          </w:tcPr>
          <w:p w14:paraId="2F3BD0D2"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4.74 </w:t>
            </w:r>
          </w:p>
        </w:tc>
      </w:tr>
      <w:tr w:rsidR="003E0F58" w:rsidRPr="007C705C" w14:paraId="034E4B90" w14:textId="77777777" w:rsidTr="004D2249">
        <w:trPr>
          <w:trHeight w:val="90"/>
        </w:trPr>
        <w:tc>
          <w:tcPr>
            <w:tcW w:w="1488" w:type="dxa"/>
            <w:vAlign w:val="center"/>
          </w:tcPr>
          <w:p w14:paraId="7CB59F78" w14:textId="77777777" w:rsidR="003E0F58" w:rsidRPr="007C705C" w:rsidRDefault="003E0F58" w:rsidP="004D2249">
            <w:pPr>
              <w:autoSpaceDE w:val="0"/>
              <w:autoSpaceDN w:val="0"/>
              <w:adjustRightInd w:val="0"/>
              <w:jc w:val="center"/>
              <w:rPr>
                <w:rFonts w:cs="Times New Roman"/>
                <w:color w:val="000000"/>
                <w:sz w:val="20"/>
                <w:szCs w:val="20"/>
                <w:lang w:val="cs-CZ"/>
              </w:rPr>
            </w:pPr>
            <w:r w:rsidRPr="007C705C">
              <w:rPr>
                <w:rFonts w:cs="Times New Roman"/>
                <w:b/>
                <w:bCs/>
                <w:color w:val="000000"/>
                <w:sz w:val="20"/>
                <w:szCs w:val="20"/>
                <w:lang w:val="cs-CZ"/>
              </w:rPr>
              <w:t>2018</w:t>
            </w:r>
          </w:p>
        </w:tc>
        <w:tc>
          <w:tcPr>
            <w:tcW w:w="1488" w:type="dxa"/>
            <w:gridSpan w:val="2"/>
            <w:vAlign w:val="center"/>
          </w:tcPr>
          <w:p w14:paraId="5EB3AB50"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1.75 </w:t>
            </w:r>
          </w:p>
        </w:tc>
        <w:tc>
          <w:tcPr>
            <w:tcW w:w="1488" w:type="dxa"/>
            <w:gridSpan w:val="2"/>
            <w:vAlign w:val="center"/>
          </w:tcPr>
          <w:p w14:paraId="2DC00B7B"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2.34 </w:t>
            </w:r>
          </w:p>
        </w:tc>
        <w:tc>
          <w:tcPr>
            <w:tcW w:w="1488" w:type="dxa"/>
            <w:gridSpan w:val="2"/>
            <w:vAlign w:val="center"/>
          </w:tcPr>
          <w:p w14:paraId="3B854B58"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0.15 </w:t>
            </w:r>
          </w:p>
        </w:tc>
        <w:tc>
          <w:tcPr>
            <w:tcW w:w="1488" w:type="dxa"/>
            <w:gridSpan w:val="2"/>
            <w:vAlign w:val="center"/>
          </w:tcPr>
          <w:p w14:paraId="03A84AC3"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0.63 </w:t>
            </w:r>
          </w:p>
        </w:tc>
        <w:tc>
          <w:tcPr>
            <w:tcW w:w="1493" w:type="dxa"/>
            <w:vAlign w:val="center"/>
          </w:tcPr>
          <w:p w14:paraId="6A48BB82" w14:textId="77777777" w:rsidR="003E0F58" w:rsidRPr="007C705C" w:rsidRDefault="003E0F58" w:rsidP="004D2249">
            <w:pPr>
              <w:autoSpaceDE w:val="0"/>
              <w:autoSpaceDN w:val="0"/>
              <w:adjustRightInd w:val="0"/>
              <w:jc w:val="right"/>
              <w:rPr>
                <w:rFonts w:cs="Times New Roman"/>
                <w:color w:val="000000"/>
                <w:sz w:val="20"/>
                <w:szCs w:val="20"/>
                <w:lang w:val="cs-CZ"/>
              </w:rPr>
            </w:pPr>
            <w:r w:rsidRPr="007C705C">
              <w:rPr>
                <w:rFonts w:cs="Times New Roman"/>
                <w:color w:val="000000"/>
                <w:sz w:val="20"/>
                <w:szCs w:val="20"/>
                <w:lang w:val="cs-CZ"/>
              </w:rPr>
              <w:t xml:space="preserve">4.87 </w:t>
            </w:r>
          </w:p>
        </w:tc>
      </w:tr>
    </w:tbl>
    <w:p w14:paraId="57A1E5D6" w14:textId="73649DCD" w:rsidR="007C705C" w:rsidRPr="007C705C" w:rsidRDefault="003E0F58" w:rsidP="00C228A5">
      <w:pPr>
        <w:pStyle w:val="UZEIZdroj"/>
        <w:rPr>
          <w:rFonts w:eastAsiaTheme="minorEastAsia"/>
        </w:rPr>
      </w:pPr>
      <w:r w:rsidRPr="007C705C">
        <w:t>Zdroj: NIR ČR 2020 (ČHMÚ)</w:t>
      </w:r>
    </w:p>
    <w:p w14:paraId="3BB44336" w14:textId="53C14172" w:rsidR="003E0F58" w:rsidRPr="007C705C" w:rsidRDefault="003E0F58" w:rsidP="007C705C">
      <w:pPr>
        <w:pStyle w:val="UZEITaB"/>
      </w:pPr>
      <w:bookmarkStart w:id="156" w:name="_Toc77245800"/>
      <w:bookmarkStart w:id="157" w:name="_Toc94181557"/>
      <w:r w:rsidRPr="007C705C">
        <w:lastRenderedPageBreak/>
        <w:t>Overview of emissions from manure management (1990-2018, kt CO2 eq)</w:t>
      </w:r>
      <w:bookmarkEnd w:id="156"/>
      <w:bookmarkEnd w:id="157"/>
    </w:p>
    <w:tbl>
      <w:tblPr>
        <w:tblW w:w="93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65"/>
        <w:gridCol w:w="1865"/>
        <w:gridCol w:w="1865"/>
        <w:gridCol w:w="1865"/>
        <w:gridCol w:w="1865"/>
      </w:tblGrid>
      <w:tr w:rsidR="003E0F58" w:rsidRPr="007C705C" w14:paraId="256B1439" w14:textId="77777777" w:rsidTr="004D2249">
        <w:trPr>
          <w:trHeight w:val="100"/>
        </w:trPr>
        <w:tc>
          <w:tcPr>
            <w:tcW w:w="1865" w:type="dxa"/>
            <w:vAlign w:val="center"/>
          </w:tcPr>
          <w:p w14:paraId="0D8350C7" w14:textId="77777777" w:rsidR="003E0F58" w:rsidRPr="007C705C" w:rsidRDefault="003E0F58" w:rsidP="004D2249">
            <w:pPr>
              <w:autoSpaceDE w:val="0"/>
              <w:autoSpaceDN w:val="0"/>
              <w:adjustRightInd w:val="0"/>
              <w:jc w:val="center"/>
              <w:rPr>
                <w:rFonts w:cs="Times New Roman"/>
                <w:color w:val="000000"/>
                <w:sz w:val="18"/>
                <w:szCs w:val="18"/>
                <w:lang w:val="cs-CZ"/>
              </w:rPr>
            </w:pPr>
          </w:p>
        </w:tc>
        <w:tc>
          <w:tcPr>
            <w:tcW w:w="1865" w:type="dxa"/>
            <w:vAlign w:val="center"/>
          </w:tcPr>
          <w:p w14:paraId="01BE93D3"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Total emissions in category [kt CO</w:t>
            </w:r>
            <w:r w:rsidRPr="007C705C">
              <w:rPr>
                <w:rFonts w:cs="Times New Roman"/>
                <w:b/>
                <w:bCs/>
                <w:color w:val="000000"/>
                <w:sz w:val="12"/>
                <w:szCs w:val="12"/>
                <w:lang w:val="cs-CZ"/>
              </w:rPr>
              <w:t xml:space="preserve">2 </w:t>
            </w:r>
            <w:r w:rsidRPr="007C705C">
              <w:rPr>
                <w:rFonts w:cs="Times New Roman"/>
                <w:b/>
                <w:bCs/>
                <w:color w:val="000000"/>
                <w:sz w:val="18"/>
                <w:szCs w:val="18"/>
                <w:lang w:val="cs-CZ"/>
              </w:rPr>
              <w:t>eq.]</w:t>
            </w:r>
          </w:p>
        </w:tc>
        <w:tc>
          <w:tcPr>
            <w:tcW w:w="1865" w:type="dxa"/>
            <w:vAlign w:val="center"/>
          </w:tcPr>
          <w:p w14:paraId="0739BB9B"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CH</w:t>
            </w:r>
            <w:r w:rsidRPr="007C705C">
              <w:rPr>
                <w:rFonts w:cs="Times New Roman"/>
                <w:b/>
                <w:bCs/>
                <w:color w:val="000000"/>
                <w:sz w:val="12"/>
                <w:szCs w:val="12"/>
                <w:lang w:val="cs-CZ"/>
              </w:rPr>
              <w:t xml:space="preserve">4 </w:t>
            </w:r>
            <w:r w:rsidRPr="007C705C">
              <w:rPr>
                <w:rFonts w:cs="Times New Roman"/>
                <w:b/>
                <w:bCs/>
                <w:color w:val="000000"/>
                <w:sz w:val="18"/>
                <w:szCs w:val="18"/>
                <w:lang w:val="cs-CZ"/>
              </w:rPr>
              <w:t>emissions [kt CO</w:t>
            </w:r>
            <w:r w:rsidRPr="007C705C">
              <w:rPr>
                <w:rFonts w:cs="Times New Roman"/>
                <w:b/>
                <w:bCs/>
                <w:color w:val="000000"/>
                <w:sz w:val="12"/>
                <w:szCs w:val="12"/>
                <w:lang w:val="cs-CZ"/>
              </w:rPr>
              <w:t xml:space="preserve">2 </w:t>
            </w:r>
            <w:r w:rsidRPr="007C705C">
              <w:rPr>
                <w:rFonts w:cs="Times New Roman"/>
                <w:b/>
                <w:bCs/>
                <w:color w:val="000000"/>
                <w:sz w:val="18"/>
                <w:szCs w:val="18"/>
                <w:lang w:val="cs-CZ"/>
              </w:rPr>
              <w:t>eq.]</w:t>
            </w:r>
          </w:p>
        </w:tc>
        <w:tc>
          <w:tcPr>
            <w:tcW w:w="1865" w:type="dxa"/>
            <w:vAlign w:val="center"/>
          </w:tcPr>
          <w:p w14:paraId="4CDED465"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Direct N</w:t>
            </w:r>
            <w:r w:rsidRPr="007C705C">
              <w:rPr>
                <w:rFonts w:cs="Times New Roman"/>
                <w:b/>
                <w:bCs/>
                <w:color w:val="000000"/>
                <w:sz w:val="12"/>
                <w:szCs w:val="12"/>
                <w:lang w:val="cs-CZ"/>
              </w:rPr>
              <w:t>2</w:t>
            </w:r>
            <w:r w:rsidRPr="007C705C">
              <w:rPr>
                <w:rFonts w:cs="Times New Roman"/>
                <w:b/>
                <w:bCs/>
                <w:color w:val="000000"/>
                <w:sz w:val="18"/>
                <w:szCs w:val="18"/>
                <w:lang w:val="cs-CZ"/>
              </w:rPr>
              <w:t>O emissions [kt CO</w:t>
            </w:r>
            <w:r w:rsidRPr="007C705C">
              <w:rPr>
                <w:rFonts w:cs="Times New Roman"/>
                <w:b/>
                <w:bCs/>
                <w:color w:val="000000"/>
                <w:sz w:val="12"/>
                <w:szCs w:val="12"/>
                <w:lang w:val="cs-CZ"/>
              </w:rPr>
              <w:t xml:space="preserve">2 </w:t>
            </w:r>
            <w:r w:rsidRPr="007C705C">
              <w:rPr>
                <w:rFonts w:cs="Times New Roman"/>
                <w:b/>
                <w:bCs/>
                <w:color w:val="000000"/>
                <w:sz w:val="18"/>
                <w:szCs w:val="18"/>
                <w:lang w:val="cs-CZ"/>
              </w:rPr>
              <w:t>eq.]</w:t>
            </w:r>
          </w:p>
        </w:tc>
        <w:tc>
          <w:tcPr>
            <w:tcW w:w="1865" w:type="dxa"/>
            <w:vAlign w:val="center"/>
          </w:tcPr>
          <w:p w14:paraId="1B87022C"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Indirect N</w:t>
            </w:r>
            <w:r w:rsidRPr="007C705C">
              <w:rPr>
                <w:rFonts w:cs="Times New Roman"/>
                <w:b/>
                <w:bCs/>
                <w:color w:val="000000"/>
                <w:sz w:val="12"/>
                <w:szCs w:val="12"/>
                <w:lang w:val="cs-CZ"/>
              </w:rPr>
              <w:t>2</w:t>
            </w:r>
            <w:r w:rsidRPr="007C705C">
              <w:rPr>
                <w:rFonts w:cs="Times New Roman"/>
                <w:b/>
                <w:bCs/>
                <w:color w:val="000000"/>
                <w:sz w:val="18"/>
                <w:szCs w:val="18"/>
                <w:lang w:val="cs-CZ"/>
              </w:rPr>
              <w:t>O emissions [kt CO</w:t>
            </w:r>
            <w:r w:rsidRPr="007C705C">
              <w:rPr>
                <w:rFonts w:cs="Times New Roman"/>
                <w:b/>
                <w:bCs/>
                <w:color w:val="000000"/>
                <w:sz w:val="12"/>
                <w:szCs w:val="12"/>
                <w:lang w:val="cs-CZ"/>
              </w:rPr>
              <w:t xml:space="preserve">2 </w:t>
            </w:r>
            <w:r w:rsidRPr="007C705C">
              <w:rPr>
                <w:rFonts w:cs="Times New Roman"/>
                <w:b/>
                <w:bCs/>
                <w:color w:val="000000"/>
                <w:sz w:val="18"/>
                <w:szCs w:val="18"/>
                <w:lang w:val="cs-CZ"/>
              </w:rPr>
              <w:t>eq.]</w:t>
            </w:r>
          </w:p>
        </w:tc>
      </w:tr>
      <w:tr w:rsidR="003E0F58" w:rsidRPr="007C705C" w14:paraId="4B42B916" w14:textId="77777777" w:rsidTr="004D2249">
        <w:trPr>
          <w:trHeight w:val="100"/>
        </w:trPr>
        <w:tc>
          <w:tcPr>
            <w:tcW w:w="1865" w:type="dxa"/>
            <w:vAlign w:val="center"/>
          </w:tcPr>
          <w:p w14:paraId="17F39811" w14:textId="77777777" w:rsidR="003E0F58" w:rsidRPr="007C705C" w:rsidRDefault="003E0F58" w:rsidP="004D2249">
            <w:pPr>
              <w:autoSpaceDE w:val="0"/>
              <w:autoSpaceDN w:val="0"/>
              <w:adjustRightInd w:val="0"/>
              <w:jc w:val="center"/>
              <w:rPr>
                <w:rFonts w:cs="Times New Roman"/>
                <w:b/>
                <w:bCs/>
                <w:color w:val="000000"/>
                <w:sz w:val="18"/>
                <w:szCs w:val="18"/>
                <w:lang w:val="cs-CZ"/>
              </w:rPr>
            </w:pPr>
            <w:r w:rsidRPr="007C705C">
              <w:rPr>
                <w:rFonts w:cs="Times New Roman"/>
                <w:b/>
                <w:bCs/>
                <w:color w:val="000000"/>
                <w:sz w:val="18"/>
                <w:szCs w:val="18"/>
                <w:lang w:val="cs-CZ"/>
              </w:rPr>
              <w:t>1990</w:t>
            </w:r>
          </w:p>
        </w:tc>
        <w:tc>
          <w:tcPr>
            <w:tcW w:w="1865" w:type="dxa"/>
            <w:vAlign w:val="center"/>
          </w:tcPr>
          <w:p w14:paraId="771D70FB"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3 125 </w:t>
            </w:r>
          </w:p>
        </w:tc>
        <w:tc>
          <w:tcPr>
            <w:tcW w:w="1865" w:type="dxa"/>
            <w:vAlign w:val="center"/>
          </w:tcPr>
          <w:p w14:paraId="3F843EDA"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1 731 </w:t>
            </w:r>
          </w:p>
        </w:tc>
        <w:tc>
          <w:tcPr>
            <w:tcW w:w="1865" w:type="dxa"/>
            <w:vAlign w:val="center"/>
          </w:tcPr>
          <w:p w14:paraId="4F6BF9CD"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792 </w:t>
            </w:r>
          </w:p>
        </w:tc>
        <w:tc>
          <w:tcPr>
            <w:tcW w:w="1865" w:type="dxa"/>
            <w:vAlign w:val="center"/>
          </w:tcPr>
          <w:p w14:paraId="7C5B07AF"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602 </w:t>
            </w:r>
          </w:p>
        </w:tc>
      </w:tr>
      <w:tr w:rsidR="003E0F58" w:rsidRPr="007C705C" w14:paraId="5C5E1A7D" w14:textId="77777777" w:rsidTr="004D2249">
        <w:trPr>
          <w:trHeight w:val="100"/>
        </w:trPr>
        <w:tc>
          <w:tcPr>
            <w:tcW w:w="1865" w:type="dxa"/>
            <w:vAlign w:val="center"/>
          </w:tcPr>
          <w:p w14:paraId="59C36C37"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1995</w:t>
            </w:r>
          </w:p>
        </w:tc>
        <w:tc>
          <w:tcPr>
            <w:tcW w:w="1865" w:type="dxa"/>
            <w:vAlign w:val="center"/>
          </w:tcPr>
          <w:p w14:paraId="391B510C"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2 131 </w:t>
            </w:r>
          </w:p>
        </w:tc>
        <w:tc>
          <w:tcPr>
            <w:tcW w:w="1865" w:type="dxa"/>
            <w:vAlign w:val="center"/>
          </w:tcPr>
          <w:p w14:paraId="680115BE"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1 209 </w:t>
            </w:r>
          </w:p>
        </w:tc>
        <w:tc>
          <w:tcPr>
            <w:tcW w:w="1865" w:type="dxa"/>
            <w:vAlign w:val="center"/>
          </w:tcPr>
          <w:p w14:paraId="0CAC18CE"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525 </w:t>
            </w:r>
          </w:p>
        </w:tc>
        <w:tc>
          <w:tcPr>
            <w:tcW w:w="1865" w:type="dxa"/>
            <w:vAlign w:val="center"/>
          </w:tcPr>
          <w:p w14:paraId="41405733"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397 </w:t>
            </w:r>
          </w:p>
        </w:tc>
      </w:tr>
      <w:tr w:rsidR="003E0F58" w:rsidRPr="007C705C" w14:paraId="71AD24D0" w14:textId="77777777" w:rsidTr="004D2249">
        <w:trPr>
          <w:trHeight w:val="100"/>
        </w:trPr>
        <w:tc>
          <w:tcPr>
            <w:tcW w:w="1865" w:type="dxa"/>
            <w:vAlign w:val="center"/>
          </w:tcPr>
          <w:p w14:paraId="212B1AE2"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2000</w:t>
            </w:r>
          </w:p>
        </w:tc>
        <w:tc>
          <w:tcPr>
            <w:tcW w:w="1865" w:type="dxa"/>
            <w:vAlign w:val="center"/>
          </w:tcPr>
          <w:p w14:paraId="0DB3120B"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1 899 </w:t>
            </w:r>
          </w:p>
        </w:tc>
        <w:tc>
          <w:tcPr>
            <w:tcW w:w="1865" w:type="dxa"/>
            <w:vAlign w:val="center"/>
          </w:tcPr>
          <w:p w14:paraId="29C7DD7B"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1 058 </w:t>
            </w:r>
          </w:p>
        </w:tc>
        <w:tc>
          <w:tcPr>
            <w:tcW w:w="1865" w:type="dxa"/>
            <w:vAlign w:val="center"/>
          </w:tcPr>
          <w:p w14:paraId="738874F9"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483 </w:t>
            </w:r>
          </w:p>
        </w:tc>
        <w:tc>
          <w:tcPr>
            <w:tcW w:w="1865" w:type="dxa"/>
            <w:vAlign w:val="center"/>
          </w:tcPr>
          <w:p w14:paraId="54FC64A0"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358 </w:t>
            </w:r>
          </w:p>
        </w:tc>
      </w:tr>
      <w:tr w:rsidR="003E0F58" w:rsidRPr="007C705C" w14:paraId="38ACECA9" w14:textId="77777777" w:rsidTr="004D2249">
        <w:trPr>
          <w:trHeight w:val="100"/>
        </w:trPr>
        <w:tc>
          <w:tcPr>
            <w:tcW w:w="1865" w:type="dxa"/>
            <w:vAlign w:val="center"/>
          </w:tcPr>
          <w:p w14:paraId="1A6A45D6"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2005</w:t>
            </w:r>
          </w:p>
        </w:tc>
        <w:tc>
          <w:tcPr>
            <w:tcW w:w="1865" w:type="dxa"/>
            <w:vAlign w:val="center"/>
          </w:tcPr>
          <w:p w14:paraId="7A05E965"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1 696 </w:t>
            </w:r>
          </w:p>
        </w:tc>
        <w:tc>
          <w:tcPr>
            <w:tcW w:w="1865" w:type="dxa"/>
            <w:vAlign w:val="center"/>
          </w:tcPr>
          <w:p w14:paraId="4FD7D2E8"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964 </w:t>
            </w:r>
          </w:p>
        </w:tc>
        <w:tc>
          <w:tcPr>
            <w:tcW w:w="1865" w:type="dxa"/>
            <w:vAlign w:val="center"/>
          </w:tcPr>
          <w:p w14:paraId="25C2FB01"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419 </w:t>
            </w:r>
          </w:p>
        </w:tc>
        <w:tc>
          <w:tcPr>
            <w:tcW w:w="1865" w:type="dxa"/>
            <w:vAlign w:val="center"/>
          </w:tcPr>
          <w:p w14:paraId="44241E58"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313 </w:t>
            </w:r>
          </w:p>
        </w:tc>
      </w:tr>
      <w:tr w:rsidR="003E0F58" w:rsidRPr="007C705C" w14:paraId="10B21CFA" w14:textId="77777777" w:rsidTr="004D2249">
        <w:trPr>
          <w:trHeight w:val="100"/>
        </w:trPr>
        <w:tc>
          <w:tcPr>
            <w:tcW w:w="1865" w:type="dxa"/>
            <w:vAlign w:val="center"/>
          </w:tcPr>
          <w:p w14:paraId="5CFFEF4D"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2010</w:t>
            </w:r>
          </w:p>
        </w:tc>
        <w:tc>
          <w:tcPr>
            <w:tcW w:w="1865" w:type="dxa"/>
            <w:vAlign w:val="center"/>
          </w:tcPr>
          <w:p w14:paraId="618C49FE"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1 402 </w:t>
            </w:r>
          </w:p>
        </w:tc>
        <w:tc>
          <w:tcPr>
            <w:tcW w:w="1865" w:type="dxa"/>
            <w:vAlign w:val="center"/>
          </w:tcPr>
          <w:p w14:paraId="5DFF7A20"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771 </w:t>
            </w:r>
          </w:p>
        </w:tc>
        <w:tc>
          <w:tcPr>
            <w:tcW w:w="1865" w:type="dxa"/>
            <w:vAlign w:val="center"/>
          </w:tcPr>
          <w:p w14:paraId="2CFD0A33"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366 </w:t>
            </w:r>
          </w:p>
        </w:tc>
        <w:tc>
          <w:tcPr>
            <w:tcW w:w="1865" w:type="dxa"/>
            <w:vAlign w:val="center"/>
          </w:tcPr>
          <w:p w14:paraId="027D0193"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265 </w:t>
            </w:r>
          </w:p>
        </w:tc>
      </w:tr>
      <w:tr w:rsidR="003E0F58" w:rsidRPr="007C705C" w14:paraId="472EE80B" w14:textId="77777777" w:rsidTr="004D2249">
        <w:trPr>
          <w:trHeight w:val="100"/>
        </w:trPr>
        <w:tc>
          <w:tcPr>
            <w:tcW w:w="1865" w:type="dxa"/>
            <w:vAlign w:val="center"/>
          </w:tcPr>
          <w:p w14:paraId="1C0E5B9F"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2015</w:t>
            </w:r>
          </w:p>
        </w:tc>
        <w:tc>
          <w:tcPr>
            <w:tcW w:w="1865" w:type="dxa"/>
            <w:vAlign w:val="center"/>
          </w:tcPr>
          <w:p w14:paraId="6DDDA119"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1 324 </w:t>
            </w:r>
          </w:p>
        </w:tc>
        <w:tc>
          <w:tcPr>
            <w:tcW w:w="1865" w:type="dxa"/>
            <w:vAlign w:val="center"/>
          </w:tcPr>
          <w:p w14:paraId="6A7A4114"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744 </w:t>
            </w:r>
          </w:p>
        </w:tc>
        <w:tc>
          <w:tcPr>
            <w:tcW w:w="1865" w:type="dxa"/>
            <w:vAlign w:val="center"/>
          </w:tcPr>
          <w:p w14:paraId="6F1F85FD"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333 </w:t>
            </w:r>
          </w:p>
        </w:tc>
        <w:tc>
          <w:tcPr>
            <w:tcW w:w="1865" w:type="dxa"/>
            <w:vAlign w:val="center"/>
          </w:tcPr>
          <w:p w14:paraId="27642011"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247 </w:t>
            </w:r>
          </w:p>
        </w:tc>
      </w:tr>
      <w:tr w:rsidR="003E0F58" w:rsidRPr="007C705C" w14:paraId="5741F121" w14:textId="77777777" w:rsidTr="004D2249">
        <w:trPr>
          <w:trHeight w:val="100"/>
        </w:trPr>
        <w:tc>
          <w:tcPr>
            <w:tcW w:w="1865" w:type="dxa"/>
            <w:vAlign w:val="center"/>
          </w:tcPr>
          <w:p w14:paraId="6D88CCDA"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2016</w:t>
            </w:r>
          </w:p>
        </w:tc>
        <w:tc>
          <w:tcPr>
            <w:tcW w:w="1865" w:type="dxa"/>
            <w:vAlign w:val="center"/>
          </w:tcPr>
          <w:p w14:paraId="3427C5C0"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1 015 </w:t>
            </w:r>
          </w:p>
        </w:tc>
        <w:tc>
          <w:tcPr>
            <w:tcW w:w="1865" w:type="dxa"/>
            <w:vAlign w:val="center"/>
          </w:tcPr>
          <w:p w14:paraId="74DA28A5"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517 </w:t>
            </w:r>
          </w:p>
        </w:tc>
        <w:tc>
          <w:tcPr>
            <w:tcW w:w="1865" w:type="dxa"/>
            <w:vAlign w:val="center"/>
          </w:tcPr>
          <w:p w14:paraId="7056303C"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246 </w:t>
            </w:r>
          </w:p>
        </w:tc>
        <w:tc>
          <w:tcPr>
            <w:tcW w:w="1865" w:type="dxa"/>
            <w:vAlign w:val="center"/>
          </w:tcPr>
          <w:p w14:paraId="35855606"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252 </w:t>
            </w:r>
          </w:p>
        </w:tc>
      </w:tr>
      <w:tr w:rsidR="003E0F58" w:rsidRPr="007C705C" w14:paraId="1253AC0A" w14:textId="77777777" w:rsidTr="004D2249">
        <w:trPr>
          <w:trHeight w:val="100"/>
        </w:trPr>
        <w:tc>
          <w:tcPr>
            <w:tcW w:w="1865" w:type="dxa"/>
            <w:vAlign w:val="center"/>
          </w:tcPr>
          <w:p w14:paraId="17CC6DBC"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2017</w:t>
            </w:r>
          </w:p>
        </w:tc>
        <w:tc>
          <w:tcPr>
            <w:tcW w:w="1865" w:type="dxa"/>
            <w:vAlign w:val="center"/>
          </w:tcPr>
          <w:p w14:paraId="189A8A9C"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993 </w:t>
            </w:r>
          </w:p>
        </w:tc>
        <w:tc>
          <w:tcPr>
            <w:tcW w:w="1865" w:type="dxa"/>
            <w:vAlign w:val="center"/>
          </w:tcPr>
          <w:p w14:paraId="7BC436D2"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502 </w:t>
            </w:r>
          </w:p>
        </w:tc>
        <w:tc>
          <w:tcPr>
            <w:tcW w:w="1865" w:type="dxa"/>
            <w:vAlign w:val="center"/>
          </w:tcPr>
          <w:p w14:paraId="31780050"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243 </w:t>
            </w:r>
          </w:p>
        </w:tc>
        <w:tc>
          <w:tcPr>
            <w:tcW w:w="1865" w:type="dxa"/>
            <w:vAlign w:val="center"/>
          </w:tcPr>
          <w:p w14:paraId="63B0D7CC"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247 </w:t>
            </w:r>
          </w:p>
        </w:tc>
      </w:tr>
      <w:tr w:rsidR="003E0F58" w:rsidRPr="007C705C" w14:paraId="1104F22D" w14:textId="77777777" w:rsidTr="004D2249">
        <w:trPr>
          <w:trHeight w:val="100"/>
        </w:trPr>
        <w:tc>
          <w:tcPr>
            <w:tcW w:w="1865" w:type="dxa"/>
            <w:vAlign w:val="center"/>
          </w:tcPr>
          <w:p w14:paraId="2EFBC9EF"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2018</w:t>
            </w:r>
          </w:p>
        </w:tc>
        <w:tc>
          <w:tcPr>
            <w:tcW w:w="1865" w:type="dxa"/>
            <w:vAlign w:val="center"/>
          </w:tcPr>
          <w:p w14:paraId="0C7EA88C"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1 050 </w:t>
            </w:r>
          </w:p>
        </w:tc>
        <w:tc>
          <w:tcPr>
            <w:tcW w:w="1865" w:type="dxa"/>
            <w:vAlign w:val="center"/>
          </w:tcPr>
          <w:p w14:paraId="7214CAB6"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533 </w:t>
            </w:r>
          </w:p>
        </w:tc>
        <w:tc>
          <w:tcPr>
            <w:tcW w:w="1865" w:type="dxa"/>
            <w:vAlign w:val="center"/>
          </w:tcPr>
          <w:p w14:paraId="22B1AFBD"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256 </w:t>
            </w:r>
          </w:p>
        </w:tc>
        <w:tc>
          <w:tcPr>
            <w:tcW w:w="1865" w:type="dxa"/>
            <w:vAlign w:val="center"/>
          </w:tcPr>
          <w:p w14:paraId="15AFB6CF"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261 </w:t>
            </w:r>
          </w:p>
        </w:tc>
      </w:tr>
    </w:tbl>
    <w:p w14:paraId="6823A194" w14:textId="26DB08BA" w:rsidR="003E0F58" w:rsidRPr="007C705C" w:rsidRDefault="003E0F58" w:rsidP="007C705C">
      <w:pPr>
        <w:pStyle w:val="UZEIZdroj"/>
      </w:pPr>
      <w:r w:rsidRPr="007C705C">
        <w:t>Zdroj: NIR ČR 2020 (ČHMÚ)</w:t>
      </w:r>
    </w:p>
    <w:p w14:paraId="39FA8F65" w14:textId="16E01E8B" w:rsidR="003E0F58" w:rsidRPr="007C705C" w:rsidRDefault="003E0F58" w:rsidP="007C705C">
      <w:pPr>
        <w:pStyle w:val="UZEITaB"/>
      </w:pPr>
      <w:bookmarkStart w:id="158" w:name="_Toc77245801"/>
      <w:bookmarkStart w:id="159" w:name="_Toc94181558"/>
      <w:r w:rsidRPr="007C705C">
        <w:t>Overview of the Czech country specific AWMS, cattle categories, 1990-2018, fraction of manure management system, %</w:t>
      </w:r>
      <w:bookmarkEnd w:id="158"/>
      <w:bookmarkEnd w:id="159"/>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7"/>
        <w:gridCol w:w="24"/>
        <w:gridCol w:w="1417"/>
        <w:gridCol w:w="56"/>
        <w:gridCol w:w="1497"/>
        <w:gridCol w:w="7"/>
        <w:gridCol w:w="1490"/>
        <w:gridCol w:w="69"/>
        <w:gridCol w:w="1417"/>
        <w:gridCol w:w="11"/>
        <w:gridCol w:w="1497"/>
      </w:tblGrid>
      <w:tr w:rsidR="003E0F58" w:rsidRPr="007C705C" w14:paraId="1A5907D4" w14:textId="77777777" w:rsidTr="004D2249">
        <w:trPr>
          <w:trHeight w:val="90"/>
        </w:trPr>
        <w:tc>
          <w:tcPr>
            <w:tcW w:w="1521" w:type="dxa"/>
            <w:gridSpan w:val="2"/>
          </w:tcPr>
          <w:p w14:paraId="5C5BED5B"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Dairy cows </w:t>
            </w:r>
          </w:p>
        </w:tc>
        <w:tc>
          <w:tcPr>
            <w:tcW w:w="7461" w:type="dxa"/>
            <w:gridSpan w:val="9"/>
            <w:vAlign w:val="center"/>
          </w:tcPr>
          <w:p w14:paraId="4DADA9D4"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Fraction of Manure Nitrogen per AWMS [%]</w:t>
            </w:r>
          </w:p>
        </w:tc>
      </w:tr>
      <w:tr w:rsidR="003E0F58" w:rsidRPr="007C705C" w14:paraId="062CE04D" w14:textId="77777777" w:rsidTr="004D2249">
        <w:trPr>
          <w:trHeight w:val="206"/>
        </w:trPr>
        <w:tc>
          <w:tcPr>
            <w:tcW w:w="1521" w:type="dxa"/>
            <w:gridSpan w:val="2"/>
          </w:tcPr>
          <w:p w14:paraId="648E1360" w14:textId="77777777" w:rsidR="003E0F58" w:rsidRPr="007C705C" w:rsidRDefault="003E0F58" w:rsidP="004D2249">
            <w:pPr>
              <w:autoSpaceDE w:val="0"/>
              <w:autoSpaceDN w:val="0"/>
              <w:adjustRightInd w:val="0"/>
              <w:jc w:val="left"/>
              <w:rPr>
                <w:rFonts w:cs="Times New Roman"/>
                <w:color w:val="000000"/>
                <w:sz w:val="18"/>
                <w:szCs w:val="18"/>
                <w:lang w:val="cs-CZ"/>
              </w:rPr>
            </w:pPr>
          </w:p>
        </w:tc>
        <w:tc>
          <w:tcPr>
            <w:tcW w:w="1417" w:type="dxa"/>
            <w:vAlign w:val="center"/>
          </w:tcPr>
          <w:p w14:paraId="398A2F07"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Anaerobic digesters</w:t>
            </w:r>
          </w:p>
        </w:tc>
        <w:tc>
          <w:tcPr>
            <w:tcW w:w="1560" w:type="dxa"/>
            <w:gridSpan w:val="3"/>
            <w:vAlign w:val="center"/>
          </w:tcPr>
          <w:p w14:paraId="053B01A1"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Liquid</w:t>
            </w:r>
          </w:p>
        </w:tc>
        <w:tc>
          <w:tcPr>
            <w:tcW w:w="1559" w:type="dxa"/>
            <w:gridSpan w:val="2"/>
            <w:vAlign w:val="center"/>
          </w:tcPr>
          <w:p w14:paraId="43BA280C"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Daily spread</w:t>
            </w:r>
          </w:p>
        </w:tc>
        <w:tc>
          <w:tcPr>
            <w:tcW w:w="1417" w:type="dxa"/>
            <w:vAlign w:val="center"/>
          </w:tcPr>
          <w:p w14:paraId="579F34CA"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Solid</w:t>
            </w:r>
          </w:p>
        </w:tc>
        <w:tc>
          <w:tcPr>
            <w:tcW w:w="1508" w:type="dxa"/>
            <w:gridSpan w:val="2"/>
            <w:vAlign w:val="center"/>
          </w:tcPr>
          <w:p w14:paraId="11B920D2"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PRP</w:t>
            </w:r>
          </w:p>
        </w:tc>
      </w:tr>
      <w:tr w:rsidR="003E0F58" w:rsidRPr="007C705C" w14:paraId="3FC9A3AA" w14:textId="77777777" w:rsidTr="004D2249">
        <w:trPr>
          <w:trHeight w:val="90"/>
        </w:trPr>
        <w:tc>
          <w:tcPr>
            <w:tcW w:w="1497" w:type="dxa"/>
          </w:tcPr>
          <w:p w14:paraId="02A58C72"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1990 </w:t>
            </w:r>
          </w:p>
        </w:tc>
        <w:tc>
          <w:tcPr>
            <w:tcW w:w="1497" w:type="dxa"/>
            <w:gridSpan w:val="3"/>
          </w:tcPr>
          <w:p w14:paraId="240993CF"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 </w:t>
            </w:r>
          </w:p>
        </w:tc>
        <w:tc>
          <w:tcPr>
            <w:tcW w:w="1497" w:type="dxa"/>
          </w:tcPr>
          <w:p w14:paraId="1E782DFE"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25 </w:t>
            </w:r>
          </w:p>
        </w:tc>
        <w:tc>
          <w:tcPr>
            <w:tcW w:w="1497" w:type="dxa"/>
            <w:gridSpan w:val="2"/>
          </w:tcPr>
          <w:p w14:paraId="03891FD3"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2 </w:t>
            </w:r>
          </w:p>
        </w:tc>
        <w:tc>
          <w:tcPr>
            <w:tcW w:w="1497" w:type="dxa"/>
            <w:gridSpan w:val="3"/>
          </w:tcPr>
          <w:p w14:paraId="3E969E1F"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68 </w:t>
            </w:r>
          </w:p>
        </w:tc>
        <w:tc>
          <w:tcPr>
            <w:tcW w:w="1497" w:type="dxa"/>
          </w:tcPr>
          <w:p w14:paraId="333CD524"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5 </w:t>
            </w:r>
          </w:p>
        </w:tc>
      </w:tr>
      <w:tr w:rsidR="003E0F58" w:rsidRPr="007C705C" w14:paraId="0F6396EB" w14:textId="77777777" w:rsidTr="004D2249">
        <w:trPr>
          <w:trHeight w:val="90"/>
        </w:trPr>
        <w:tc>
          <w:tcPr>
            <w:tcW w:w="1497" w:type="dxa"/>
          </w:tcPr>
          <w:p w14:paraId="35988594"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1995 </w:t>
            </w:r>
          </w:p>
        </w:tc>
        <w:tc>
          <w:tcPr>
            <w:tcW w:w="1497" w:type="dxa"/>
            <w:gridSpan w:val="3"/>
          </w:tcPr>
          <w:p w14:paraId="374949EB"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 </w:t>
            </w:r>
          </w:p>
        </w:tc>
        <w:tc>
          <w:tcPr>
            <w:tcW w:w="1497" w:type="dxa"/>
          </w:tcPr>
          <w:p w14:paraId="11A59D55"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23 </w:t>
            </w:r>
          </w:p>
        </w:tc>
        <w:tc>
          <w:tcPr>
            <w:tcW w:w="1497" w:type="dxa"/>
            <w:gridSpan w:val="2"/>
          </w:tcPr>
          <w:p w14:paraId="19917B01"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1 </w:t>
            </w:r>
          </w:p>
        </w:tc>
        <w:tc>
          <w:tcPr>
            <w:tcW w:w="1497" w:type="dxa"/>
            <w:gridSpan w:val="3"/>
          </w:tcPr>
          <w:p w14:paraId="7D28A6E2"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66 </w:t>
            </w:r>
          </w:p>
        </w:tc>
        <w:tc>
          <w:tcPr>
            <w:tcW w:w="1497" w:type="dxa"/>
          </w:tcPr>
          <w:p w14:paraId="1B971DEC"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10 </w:t>
            </w:r>
          </w:p>
        </w:tc>
      </w:tr>
      <w:tr w:rsidR="003E0F58" w:rsidRPr="007C705C" w14:paraId="3AA19C97" w14:textId="77777777" w:rsidTr="004D2249">
        <w:trPr>
          <w:trHeight w:val="90"/>
        </w:trPr>
        <w:tc>
          <w:tcPr>
            <w:tcW w:w="1497" w:type="dxa"/>
          </w:tcPr>
          <w:p w14:paraId="7AA160FA"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2000 </w:t>
            </w:r>
          </w:p>
        </w:tc>
        <w:tc>
          <w:tcPr>
            <w:tcW w:w="1497" w:type="dxa"/>
            <w:gridSpan w:val="3"/>
          </w:tcPr>
          <w:p w14:paraId="1C124C16"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 </w:t>
            </w:r>
          </w:p>
        </w:tc>
        <w:tc>
          <w:tcPr>
            <w:tcW w:w="1497" w:type="dxa"/>
          </w:tcPr>
          <w:p w14:paraId="04FDA5D0"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15 </w:t>
            </w:r>
          </w:p>
        </w:tc>
        <w:tc>
          <w:tcPr>
            <w:tcW w:w="1497" w:type="dxa"/>
            <w:gridSpan w:val="2"/>
          </w:tcPr>
          <w:p w14:paraId="11CECA6C"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1 </w:t>
            </w:r>
          </w:p>
        </w:tc>
        <w:tc>
          <w:tcPr>
            <w:tcW w:w="1497" w:type="dxa"/>
            <w:gridSpan w:val="3"/>
          </w:tcPr>
          <w:p w14:paraId="45384B01"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74 </w:t>
            </w:r>
          </w:p>
        </w:tc>
        <w:tc>
          <w:tcPr>
            <w:tcW w:w="1497" w:type="dxa"/>
          </w:tcPr>
          <w:p w14:paraId="1BA240EE"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10 </w:t>
            </w:r>
          </w:p>
        </w:tc>
      </w:tr>
      <w:tr w:rsidR="003E0F58" w:rsidRPr="007C705C" w14:paraId="1EB413C7" w14:textId="77777777" w:rsidTr="004D2249">
        <w:trPr>
          <w:trHeight w:val="90"/>
        </w:trPr>
        <w:tc>
          <w:tcPr>
            <w:tcW w:w="1497" w:type="dxa"/>
          </w:tcPr>
          <w:p w14:paraId="6501142F"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2005 </w:t>
            </w:r>
          </w:p>
        </w:tc>
        <w:tc>
          <w:tcPr>
            <w:tcW w:w="1497" w:type="dxa"/>
            <w:gridSpan w:val="3"/>
          </w:tcPr>
          <w:p w14:paraId="75704C47"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 </w:t>
            </w:r>
          </w:p>
        </w:tc>
        <w:tc>
          <w:tcPr>
            <w:tcW w:w="1497" w:type="dxa"/>
          </w:tcPr>
          <w:p w14:paraId="702B2DA3"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26 </w:t>
            </w:r>
          </w:p>
        </w:tc>
        <w:tc>
          <w:tcPr>
            <w:tcW w:w="1497" w:type="dxa"/>
            <w:gridSpan w:val="2"/>
          </w:tcPr>
          <w:p w14:paraId="4382AB25"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1 </w:t>
            </w:r>
          </w:p>
        </w:tc>
        <w:tc>
          <w:tcPr>
            <w:tcW w:w="1497" w:type="dxa"/>
            <w:gridSpan w:val="3"/>
          </w:tcPr>
          <w:p w14:paraId="06EC77B2"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62 </w:t>
            </w:r>
          </w:p>
        </w:tc>
        <w:tc>
          <w:tcPr>
            <w:tcW w:w="1497" w:type="dxa"/>
          </w:tcPr>
          <w:p w14:paraId="38B8A58E"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11 </w:t>
            </w:r>
          </w:p>
        </w:tc>
      </w:tr>
      <w:tr w:rsidR="003E0F58" w:rsidRPr="007C705C" w14:paraId="69A05354" w14:textId="77777777" w:rsidTr="004D2249">
        <w:trPr>
          <w:trHeight w:val="90"/>
        </w:trPr>
        <w:tc>
          <w:tcPr>
            <w:tcW w:w="1497" w:type="dxa"/>
          </w:tcPr>
          <w:p w14:paraId="7D676EF0"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2010 – 2015 </w:t>
            </w:r>
          </w:p>
        </w:tc>
        <w:tc>
          <w:tcPr>
            <w:tcW w:w="1497" w:type="dxa"/>
            <w:gridSpan w:val="3"/>
          </w:tcPr>
          <w:p w14:paraId="0417EF7E"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 </w:t>
            </w:r>
          </w:p>
        </w:tc>
        <w:tc>
          <w:tcPr>
            <w:tcW w:w="1497" w:type="dxa"/>
          </w:tcPr>
          <w:p w14:paraId="254B6375"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27 </w:t>
            </w:r>
          </w:p>
        </w:tc>
        <w:tc>
          <w:tcPr>
            <w:tcW w:w="1497" w:type="dxa"/>
            <w:gridSpan w:val="2"/>
          </w:tcPr>
          <w:p w14:paraId="58333933"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1 </w:t>
            </w:r>
          </w:p>
        </w:tc>
        <w:tc>
          <w:tcPr>
            <w:tcW w:w="1497" w:type="dxa"/>
            <w:gridSpan w:val="3"/>
          </w:tcPr>
          <w:p w14:paraId="40262E1F"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65 </w:t>
            </w:r>
          </w:p>
        </w:tc>
        <w:tc>
          <w:tcPr>
            <w:tcW w:w="1497" w:type="dxa"/>
          </w:tcPr>
          <w:p w14:paraId="13C437E0"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7 </w:t>
            </w:r>
          </w:p>
        </w:tc>
      </w:tr>
      <w:tr w:rsidR="003E0F58" w:rsidRPr="007C705C" w14:paraId="0AB5504D" w14:textId="77777777" w:rsidTr="004D2249">
        <w:trPr>
          <w:trHeight w:val="90"/>
        </w:trPr>
        <w:tc>
          <w:tcPr>
            <w:tcW w:w="1497" w:type="dxa"/>
          </w:tcPr>
          <w:p w14:paraId="46A9BE3E"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2016 - now </w:t>
            </w:r>
          </w:p>
        </w:tc>
        <w:tc>
          <w:tcPr>
            <w:tcW w:w="1497" w:type="dxa"/>
            <w:gridSpan w:val="3"/>
          </w:tcPr>
          <w:p w14:paraId="78F42C9B" w14:textId="77777777" w:rsidR="003E0F58" w:rsidRPr="007C705C" w:rsidRDefault="003E0F58" w:rsidP="004D2249">
            <w:pPr>
              <w:autoSpaceDE w:val="0"/>
              <w:autoSpaceDN w:val="0"/>
              <w:adjustRightInd w:val="0"/>
              <w:jc w:val="left"/>
              <w:rPr>
                <w:rFonts w:cs="Times New Roman"/>
                <w:color w:val="000000"/>
                <w:szCs w:val="24"/>
                <w:lang w:val="cs-CZ"/>
              </w:rPr>
            </w:pPr>
            <w:r w:rsidRPr="007C705C">
              <w:rPr>
                <w:rFonts w:cs="Times New Roman"/>
                <w:color w:val="000000"/>
                <w:szCs w:val="24"/>
                <w:lang w:val="cs-CZ"/>
              </w:rPr>
              <w:t xml:space="preserve">37 </w:t>
            </w:r>
          </w:p>
        </w:tc>
        <w:tc>
          <w:tcPr>
            <w:tcW w:w="1497" w:type="dxa"/>
          </w:tcPr>
          <w:p w14:paraId="4A603F94" w14:textId="77777777" w:rsidR="003E0F58" w:rsidRPr="007C705C" w:rsidRDefault="003E0F58" w:rsidP="004D2249">
            <w:pPr>
              <w:autoSpaceDE w:val="0"/>
              <w:autoSpaceDN w:val="0"/>
              <w:adjustRightInd w:val="0"/>
              <w:jc w:val="left"/>
              <w:rPr>
                <w:rFonts w:cs="Times New Roman"/>
                <w:color w:val="000000"/>
                <w:szCs w:val="24"/>
                <w:lang w:val="cs-CZ"/>
              </w:rPr>
            </w:pPr>
            <w:r w:rsidRPr="007C705C">
              <w:rPr>
                <w:rFonts w:cs="Times New Roman"/>
                <w:color w:val="000000"/>
                <w:szCs w:val="24"/>
                <w:lang w:val="cs-CZ"/>
              </w:rPr>
              <w:t xml:space="preserve">16 </w:t>
            </w:r>
          </w:p>
        </w:tc>
        <w:tc>
          <w:tcPr>
            <w:tcW w:w="1497" w:type="dxa"/>
            <w:gridSpan w:val="2"/>
          </w:tcPr>
          <w:p w14:paraId="6973E19C" w14:textId="77777777" w:rsidR="003E0F58" w:rsidRPr="007C705C" w:rsidRDefault="003E0F58" w:rsidP="004D2249">
            <w:pPr>
              <w:autoSpaceDE w:val="0"/>
              <w:autoSpaceDN w:val="0"/>
              <w:adjustRightInd w:val="0"/>
              <w:jc w:val="left"/>
              <w:rPr>
                <w:rFonts w:cs="Times New Roman"/>
                <w:color w:val="000000"/>
                <w:szCs w:val="24"/>
                <w:lang w:val="cs-CZ"/>
              </w:rPr>
            </w:pPr>
            <w:r w:rsidRPr="007C705C">
              <w:rPr>
                <w:rFonts w:cs="Times New Roman"/>
                <w:color w:val="000000"/>
                <w:szCs w:val="24"/>
                <w:lang w:val="cs-CZ"/>
              </w:rPr>
              <w:t xml:space="preserve">0 </w:t>
            </w:r>
          </w:p>
        </w:tc>
        <w:tc>
          <w:tcPr>
            <w:tcW w:w="1497" w:type="dxa"/>
            <w:gridSpan w:val="3"/>
          </w:tcPr>
          <w:p w14:paraId="1DA31D81" w14:textId="77777777" w:rsidR="003E0F58" w:rsidRPr="007C705C" w:rsidRDefault="003E0F58" w:rsidP="004D2249">
            <w:pPr>
              <w:autoSpaceDE w:val="0"/>
              <w:autoSpaceDN w:val="0"/>
              <w:adjustRightInd w:val="0"/>
              <w:jc w:val="left"/>
              <w:rPr>
                <w:rFonts w:cs="Times New Roman"/>
                <w:color w:val="000000"/>
                <w:szCs w:val="24"/>
                <w:lang w:val="cs-CZ"/>
              </w:rPr>
            </w:pPr>
            <w:r w:rsidRPr="007C705C">
              <w:rPr>
                <w:rFonts w:cs="Times New Roman"/>
                <w:color w:val="000000"/>
                <w:szCs w:val="24"/>
                <w:lang w:val="cs-CZ"/>
              </w:rPr>
              <w:t xml:space="preserve">47 </w:t>
            </w:r>
          </w:p>
        </w:tc>
        <w:tc>
          <w:tcPr>
            <w:tcW w:w="1497" w:type="dxa"/>
          </w:tcPr>
          <w:p w14:paraId="15AF8CB2" w14:textId="77777777" w:rsidR="003E0F58" w:rsidRPr="007C705C" w:rsidRDefault="003E0F58" w:rsidP="004D2249">
            <w:pPr>
              <w:autoSpaceDE w:val="0"/>
              <w:autoSpaceDN w:val="0"/>
              <w:adjustRightInd w:val="0"/>
              <w:jc w:val="left"/>
              <w:rPr>
                <w:rFonts w:cs="Times New Roman"/>
                <w:color w:val="000000"/>
                <w:szCs w:val="24"/>
                <w:lang w:val="cs-CZ"/>
              </w:rPr>
            </w:pPr>
            <w:r w:rsidRPr="007C705C">
              <w:rPr>
                <w:rFonts w:cs="Times New Roman"/>
                <w:color w:val="000000"/>
                <w:szCs w:val="24"/>
                <w:lang w:val="cs-CZ"/>
              </w:rPr>
              <w:t xml:space="preserve">0 </w:t>
            </w:r>
          </w:p>
        </w:tc>
      </w:tr>
      <w:tr w:rsidR="003E0F58" w:rsidRPr="007C705C" w14:paraId="7E609DB9" w14:textId="77777777" w:rsidTr="004D2249">
        <w:trPr>
          <w:trHeight w:val="90"/>
        </w:trPr>
        <w:tc>
          <w:tcPr>
            <w:tcW w:w="8982" w:type="dxa"/>
            <w:gridSpan w:val="11"/>
            <w:vAlign w:val="center"/>
          </w:tcPr>
          <w:p w14:paraId="68D63FF6"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Non Dairy cattle (Weighted AVG)</w:t>
            </w:r>
          </w:p>
        </w:tc>
      </w:tr>
      <w:tr w:rsidR="003E0F58" w:rsidRPr="007C705C" w14:paraId="1D809AF0" w14:textId="77777777" w:rsidTr="004D2249">
        <w:trPr>
          <w:trHeight w:val="90"/>
        </w:trPr>
        <w:tc>
          <w:tcPr>
            <w:tcW w:w="1497" w:type="dxa"/>
          </w:tcPr>
          <w:p w14:paraId="5B8FCED9"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1990 </w:t>
            </w:r>
          </w:p>
        </w:tc>
        <w:tc>
          <w:tcPr>
            <w:tcW w:w="1497" w:type="dxa"/>
            <w:gridSpan w:val="3"/>
          </w:tcPr>
          <w:p w14:paraId="36FF326D"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 </w:t>
            </w:r>
          </w:p>
        </w:tc>
        <w:tc>
          <w:tcPr>
            <w:tcW w:w="1497" w:type="dxa"/>
          </w:tcPr>
          <w:p w14:paraId="773E4008"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45 </w:t>
            </w:r>
          </w:p>
        </w:tc>
        <w:tc>
          <w:tcPr>
            <w:tcW w:w="1497" w:type="dxa"/>
            <w:gridSpan w:val="2"/>
          </w:tcPr>
          <w:p w14:paraId="2A2B7B34"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1 </w:t>
            </w:r>
          </w:p>
        </w:tc>
        <w:tc>
          <w:tcPr>
            <w:tcW w:w="1497" w:type="dxa"/>
            <w:gridSpan w:val="3"/>
          </w:tcPr>
          <w:p w14:paraId="61223CF3"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42 </w:t>
            </w:r>
          </w:p>
        </w:tc>
        <w:tc>
          <w:tcPr>
            <w:tcW w:w="1497" w:type="dxa"/>
          </w:tcPr>
          <w:p w14:paraId="798925EB"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12 </w:t>
            </w:r>
          </w:p>
        </w:tc>
      </w:tr>
      <w:tr w:rsidR="003E0F58" w:rsidRPr="007C705C" w14:paraId="6BF60E7B" w14:textId="77777777" w:rsidTr="004D2249">
        <w:trPr>
          <w:trHeight w:val="90"/>
        </w:trPr>
        <w:tc>
          <w:tcPr>
            <w:tcW w:w="1497" w:type="dxa"/>
          </w:tcPr>
          <w:p w14:paraId="69C4B8AF"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1995 </w:t>
            </w:r>
          </w:p>
        </w:tc>
        <w:tc>
          <w:tcPr>
            <w:tcW w:w="1497" w:type="dxa"/>
            <w:gridSpan w:val="3"/>
          </w:tcPr>
          <w:p w14:paraId="3AEE0710"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 </w:t>
            </w:r>
          </w:p>
        </w:tc>
        <w:tc>
          <w:tcPr>
            <w:tcW w:w="1497" w:type="dxa"/>
          </w:tcPr>
          <w:p w14:paraId="5891C375"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43 </w:t>
            </w:r>
          </w:p>
        </w:tc>
        <w:tc>
          <w:tcPr>
            <w:tcW w:w="1497" w:type="dxa"/>
            <w:gridSpan w:val="2"/>
          </w:tcPr>
          <w:p w14:paraId="6B0446C1"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1 </w:t>
            </w:r>
          </w:p>
        </w:tc>
        <w:tc>
          <w:tcPr>
            <w:tcW w:w="1497" w:type="dxa"/>
            <w:gridSpan w:val="3"/>
          </w:tcPr>
          <w:p w14:paraId="1E1B3F7E"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39 </w:t>
            </w:r>
          </w:p>
        </w:tc>
        <w:tc>
          <w:tcPr>
            <w:tcW w:w="1497" w:type="dxa"/>
          </w:tcPr>
          <w:p w14:paraId="165F9579"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17 </w:t>
            </w:r>
          </w:p>
        </w:tc>
      </w:tr>
      <w:tr w:rsidR="003E0F58" w:rsidRPr="007C705C" w14:paraId="08505D38" w14:textId="77777777" w:rsidTr="004D2249">
        <w:trPr>
          <w:trHeight w:val="90"/>
        </w:trPr>
        <w:tc>
          <w:tcPr>
            <w:tcW w:w="1497" w:type="dxa"/>
          </w:tcPr>
          <w:p w14:paraId="5996887B"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2000 </w:t>
            </w:r>
          </w:p>
        </w:tc>
        <w:tc>
          <w:tcPr>
            <w:tcW w:w="1497" w:type="dxa"/>
            <w:gridSpan w:val="3"/>
          </w:tcPr>
          <w:p w14:paraId="7EFEC400"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 </w:t>
            </w:r>
          </w:p>
        </w:tc>
        <w:tc>
          <w:tcPr>
            <w:tcW w:w="1497" w:type="dxa"/>
          </w:tcPr>
          <w:p w14:paraId="0EB234BB"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44 </w:t>
            </w:r>
          </w:p>
        </w:tc>
        <w:tc>
          <w:tcPr>
            <w:tcW w:w="1497" w:type="dxa"/>
            <w:gridSpan w:val="2"/>
          </w:tcPr>
          <w:p w14:paraId="659D9FCE"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1 </w:t>
            </w:r>
          </w:p>
        </w:tc>
        <w:tc>
          <w:tcPr>
            <w:tcW w:w="1497" w:type="dxa"/>
            <w:gridSpan w:val="3"/>
          </w:tcPr>
          <w:p w14:paraId="6B0892AD"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38 </w:t>
            </w:r>
          </w:p>
        </w:tc>
        <w:tc>
          <w:tcPr>
            <w:tcW w:w="1497" w:type="dxa"/>
          </w:tcPr>
          <w:p w14:paraId="42EFE5D1"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17 </w:t>
            </w:r>
          </w:p>
        </w:tc>
      </w:tr>
      <w:tr w:rsidR="003E0F58" w:rsidRPr="007C705C" w14:paraId="5F3E1F3C" w14:textId="77777777" w:rsidTr="004D2249">
        <w:trPr>
          <w:trHeight w:val="90"/>
        </w:trPr>
        <w:tc>
          <w:tcPr>
            <w:tcW w:w="1497" w:type="dxa"/>
          </w:tcPr>
          <w:p w14:paraId="0E14DC1A"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2005 </w:t>
            </w:r>
          </w:p>
        </w:tc>
        <w:tc>
          <w:tcPr>
            <w:tcW w:w="1497" w:type="dxa"/>
            <w:gridSpan w:val="3"/>
          </w:tcPr>
          <w:p w14:paraId="514C921C"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 </w:t>
            </w:r>
          </w:p>
        </w:tc>
        <w:tc>
          <w:tcPr>
            <w:tcW w:w="1497" w:type="dxa"/>
          </w:tcPr>
          <w:p w14:paraId="018E0CA6"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49 </w:t>
            </w:r>
          </w:p>
        </w:tc>
        <w:tc>
          <w:tcPr>
            <w:tcW w:w="1497" w:type="dxa"/>
            <w:gridSpan w:val="2"/>
          </w:tcPr>
          <w:p w14:paraId="4187F2ED"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1 </w:t>
            </w:r>
          </w:p>
        </w:tc>
        <w:tc>
          <w:tcPr>
            <w:tcW w:w="1497" w:type="dxa"/>
            <w:gridSpan w:val="3"/>
          </w:tcPr>
          <w:p w14:paraId="177F57E6"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34 </w:t>
            </w:r>
          </w:p>
        </w:tc>
        <w:tc>
          <w:tcPr>
            <w:tcW w:w="1497" w:type="dxa"/>
          </w:tcPr>
          <w:p w14:paraId="0B5BE3C8"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16 </w:t>
            </w:r>
          </w:p>
        </w:tc>
      </w:tr>
      <w:tr w:rsidR="003E0F58" w:rsidRPr="007C705C" w14:paraId="249E94C4" w14:textId="77777777" w:rsidTr="004D2249">
        <w:trPr>
          <w:trHeight w:val="90"/>
        </w:trPr>
        <w:tc>
          <w:tcPr>
            <w:tcW w:w="1497" w:type="dxa"/>
          </w:tcPr>
          <w:p w14:paraId="6D4127BF"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2010 </w:t>
            </w:r>
          </w:p>
        </w:tc>
        <w:tc>
          <w:tcPr>
            <w:tcW w:w="1497" w:type="dxa"/>
            <w:gridSpan w:val="3"/>
          </w:tcPr>
          <w:p w14:paraId="779EBA40"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 </w:t>
            </w:r>
          </w:p>
        </w:tc>
        <w:tc>
          <w:tcPr>
            <w:tcW w:w="1497" w:type="dxa"/>
          </w:tcPr>
          <w:p w14:paraId="1F5C30CC"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43 </w:t>
            </w:r>
          </w:p>
        </w:tc>
        <w:tc>
          <w:tcPr>
            <w:tcW w:w="1497" w:type="dxa"/>
            <w:gridSpan w:val="2"/>
          </w:tcPr>
          <w:p w14:paraId="2EC8CC37"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1 </w:t>
            </w:r>
          </w:p>
        </w:tc>
        <w:tc>
          <w:tcPr>
            <w:tcW w:w="1497" w:type="dxa"/>
            <w:gridSpan w:val="3"/>
          </w:tcPr>
          <w:p w14:paraId="684F261B"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32 </w:t>
            </w:r>
          </w:p>
        </w:tc>
        <w:tc>
          <w:tcPr>
            <w:tcW w:w="1497" w:type="dxa"/>
          </w:tcPr>
          <w:p w14:paraId="3F75C8A1"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24 </w:t>
            </w:r>
          </w:p>
        </w:tc>
      </w:tr>
      <w:tr w:rsidR="003E0F58" w:rsidRPr="007C705C" w14:paraId="5E483728" w14:textId="77777777" w:rsidTr="004D2249">
        <w:trPr>
          <w:trHeight w:val="90"/>
        </w:trPr>
        <w:tc>
          <w:tcPr>
            <w:tcW w:w="1497" w:type="dxa"/>
          </w:tcPr>
          <w:p w14:paraId="72BDF998"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2011 – 2015 </w:t>
            </w:r>
          </w:p>
        </w:tc>
        <w:tc>
          <w:tcPr>
            <w:tcW w:w="1497" w:type="dxa"/>
            <w:gridSpan w:val="3"/>
          </w:tcPr>
          <w:p w14:paraId="7D1D269D"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 </w:t>
            </w:r>
          </w:p>
        </w:tc>
        <w:tc>
          <w:tcPr>
            <w:tcW w:w="1497" w:type="dxa"/>
          </w:tcPr>
          <w:p w14:paraId="625F528A"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42 </w:t>
            </w:r>
          </w:p>
        </w:tc>
        <w:tc>
          <w:tcPr>
            <w:tcW w:w="1497" w:type="dxa"/>
            <w:gridSpan w:val="2"/>
          </w:tcPr>
          <w:p w14:paraId="7DEE5B8F"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1 </w:t>
            </w:r>
          </w:p>
        </w:tc>
        <w:tc>
          <w:tcPr>
            <w:tcW w:w="1497" w:type="dxa"/>
            <w:gridSpan w:val="3"/>
          </w:tcPr>
          <w:p w14:paraId="3C3B7E93"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32 </w:t>
            </w:r>
          </w:p>
        </w:tc>
        <w:tc>
          <w:tcPr>
            <w:tcW w:w="1497" w:type="dxa"/>
          </w:tcPr>
          <w:p w14:paraId="5173B088"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25 </w:t>
            </w:r>
          </w:p>
        </w:tc>
      </w:tr>
      <w:tr w:rsidR="003E0F58" w:rsidRPr="007C705C" w14:paraId="3070915A" w14:textId="77777777" w:rsidTr="004D2249">
        <w:trPr>
          <w:trHeight w:val="90"/>
        </w:trPr>
        <w:tc>
          <w:tcPr>
            <w:tcW w:w="1497" w:type="dxa"/>
          </w:tcPr>
          <w:p w14:paraId="1378ED00"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2016 - now </w:t>
            </w:r>
          </w:p>
        </w:tc>
        <w:tc>
          <w:tcPr>
            <w:tcW w:w="1497" w:type="dxa"/>
            <w:gridSpan w:val="3"/>
          </w:tcPr>
          <w:p w14:paraId="2128C8F5"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3 </w:t>
            </w:r>
          </w:p>
        </w:tc>
        <w:tc>
          <w:tcPr>
            <w:tcW w:w="1497" w:type="dxa"/>
          </w:tcPr>
          <w:p w14:paraId="34B21C12"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9 </w:t>
            </w:r>
          </w:p>
        </w:tc>
        <w:tc>
          <w:tcPr>
            <w:tcW w:w="1497" w:type="dxa"/>
            <w:gridSpan w:val="2"/>
          </w:tcPr>
          <w:p w14:paraId="2FEBB9CE"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 </w:t>
            </w:r>
          </w:p>
        </w:tc>
        <w:tc>
          <w:tcPr>
            <w:tcW w:w="1497" w:type="dxa"/>
            <w:gridSpan w:val="3"/>
          </w:tcPr>
          <w:p w14:paraId="0143D075"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58 </w:t>
            </w:r>
          </w:p>
        </w:tc>
        <w:tc>
          <w:tcPr>
            <w:tcW w:w="1497" w:type="dxa"/>
          </w:tcPr>
          <w:p w14:paraId="21A0C9F5"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30 </w:t>
            </w:r>
          </w:p>
        </w:tc>
      </w:tr>
    </w:tbl>
    <w:p w14:paraId="2A3B162E" w14:textId="1C645180" w:rsidR="003E0F58" w:rsidRPr="007C705C" w:rsidRDefault="003E0F58" w:rsidP="007C705C">
      <w:pPr>
        <w:pStyle w:val="UZEIZdroj"/>
      </w:pPr>
      <w:r w:rsidRPr="007C705C">
        <w:t>Zdroj: NIR ČR 2020 (ČHMÚ)</w:t>
      </w:r>
    </w:p>
    <w:p w14:paraId="37CE9AE8" w14:textId="3181F472" w:rsidR="003E0F58" w:rsidRPr="007C705C" w:rsidRDefault="003E0F58" w:rsidP="007C705C">
      <w:pPr>
        <w:pStyle w:val="UZEITaB"/>
      </w:pPr>
      <w:bookmarkStart w:id="160" w:name="_Toc77245802"/>
      <w:bookmarkStart w:id="161" w:name="_Toc94181559"/>
      <w:r w:rsidRPr="007C705C">
        <w:t>Overview of the Czech country specific AWMS systems for swine and poultry, 1990-2018, fraction of manure management system, %.</w:t>
      </w:r>
      <w:bookmarkEnd w:id="160"/>
      <w:bookmarkEnd w:id="161"/>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4"/>
        <w:gridCol w:w="993"/>
        <w:gridCol w:w="1109"/>
        <w:gridCol w:w="25"/>
        <w:gridCol w:w="1277"/>
        <w:gridCol w:w="1274"/>
        <w:gridCol w:w="28"/>
        <w:gridCol w:w="1390"/>
        <w:gridCol w:w="1218"/>
      </w:tblGrid>
      <w:tr w:rsidR="003E0F58" w:rsidRPr="007C705C" w14:paraId="2BE36750" w14:textId="77777777" w:rsidTr="004D2249">
        <w:trPr>
          <w:trHeight w:val="90"/>
        </w:trPr>
        <w:tc>
          <w:tcPr>
            <w:tcW w:w="1804" w:type="dxa"/>
          </w:tcPr>
          <w:p w14:paraId="0C1998F7"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Livestock category </w:t>
            </w:r>
          </w:p>
        </w:tc>
        <w:tc>
          <w:tcPr>
            <w:tcW w:w="7314" w:type="dxa"/>
            <w:gridSpan w:val="8"/>
            <w:vAlign w:val="center"/>
          </w:tcPr>
          <w:p w14:paraId="4D0DF7AC"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Type of AWMS</w:t>
            </w:r>
          </w:p>
        </w:tc>
      </w:tr>
      <w:tr w:rsidR="003E0F58" w:rsidRPr="007C705C" w14:paraId="408CAF0F" w14:textId="77777777" w:rsidTr="004D2249">
        <w:trPr>
          <w:trHeight w:val="206"/>
        </w:trPr>
        <w:tc>
          <w:tcPr>
            <w:tcW w:w="1804" w:type="dxa"/>
          </w:tcPr>
          <w:p w14:paraId="4DFF3C22" w14:textId="77777777" w:rsidR="003E0F58" w:rsidRPr="007C705C" w:rsidRDefault="003E0F58" w:rsidP="004D2249">
            <w:pPr>
              <w:autoSpaceDE w:val="0"/>
              <w:autoSpaceDN w:val="0"/>
              <w:adjustRightInd w:val="0"/>
              <w:jc w:val="left"/>
              <w:rPr>
                <w:rFonts w:cs="Times New Roman"/>
                <w:color w:val="000000"/>
                <w:sz w:val="18"/>
                <w:szCs w:val="18"/>
                <w:lang w:val="cs-CZ"/>
              </w:rPr>
            </w:pPr>
          </w:p>
        </w:tc>
        <w:tc>
          <w:tcPr>
            <w:tcW w:w="993" w:type="dxa"/>
            <w:vAlign w:val="center"/>
          </w:tcPr>
          <w:p w14:paraId="53B2B68C"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Anaerobic digesters</w:t>
            </w:r>
          </w:p>
        </w:tc>
        <w:tc>
          <w:tcPr>
            <w:tcW w:w="1134" w:type="dxa"/>
            <w:gridSpan w:val="2"/>
            <w:vAlign w:val="center"/>
          </w:tcPr>
          <w:p w14:paraId="0A11FCAB"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Liquid</w:t>
            </w:r>
          </w:p>
        </w:tc>
        <w:tc>
          <w:tcPr>
            <w:tcW w:w="1277" w:type="dxa"/>
            <w:vAlign w:val="center"/>
          </w:tcPr>
          <w:p w14:paraId="6F16DD7F"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Daily spread</w:t>
            </w:r>
          </w:p>
        </w:tc>
        <w:tc>
          <w:tcPr>
            <w:tcW w:w="1274" w:type="dxa"/>
            <w:vAlign w:val="center"/>
          </w:tcPr>
          <w:p w14:paraId="5B3C45E0"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Solid</w:t>
            </w:r>
          </w:p>
        </w:tc>
        <w:tc>
          <w:tcPr>
            <w:tcW w:w="1418" w:type="dxa"/>
            <w:gridSpan w:val="2"/>
            <w:vAlign w:val="center"/>
          </w:tcPr>
          <w:p w14:paraId="32517C37"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PRP</w:t>
            </w:r>
          </w:p>
        </w:tc>
        <w:tc>
          <w:tcPr>
            <w:tcW w:w="1218" w:type="dxa"/>
            <w:vAlign w:val="center"/>
          </w:tcPr>
          <w:p w14:paraId="7B171BA6"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Other</w:t>
            </w:r>
          </w:p>
        </w:tc>
      </w:tr>
      <w:tr w:rsidR="003E0F58" w:rsidRPr="007C705C" w14:paraId="4837B878" w14:textId="77777777" w:rsidTr="004D2249">
        <w:trPr>
          <w:trHeight w:val="90"/>
        </w:trPr>
        <w:tc>
          <w:tcPr>
            <w:tcW w:w="9118" w:type="dxa"/>
            <w:gridSpan w:val="9"/>
            <w:vAlign w:val="center"/>
          </w:tcPr>
          <w:p w14:paraId="7024A0BF"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Fraction of Manure Nitrogen per AWMS [%]</w:t>
            </w:r>
          </w:p>
        </w:tc>
      </w:tr>
      <w:tr w:rsidR="003E0F58" w:rsidRPr="007C705C" w14:paraId="2B0DCD7D" w14:textId="77777777" w:rsidTr="004D2249">
        <w:trPr>
          <w:trHeight w:val="90"/>
        </w:trPr>
        <w:tc>
          <w:tcPr>
            <w:tcW w:w="1804" w:type="dxa"/>
          </w:tcPr>
          <w:p w14:paraId="1CACC1D1"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Swine 1990- 2015 </w:t>
            </w:r>
          </w:p>
        </w:tc>
        <w:tc>
          <w:tcPr>
            <w:tcW w:w="993" w:type="dxa"/>
          </w:tcPr>
          <w:p w14:paraId="2A9429D2"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 </w:t>
            </w:r>
          </w:p>
        </w:tc>
        <w:tc>
          <w:tcPr>
            <w:tcW w:w="1109" w:type="dxa"/>
          </w:tcPr>
          <w:p w14:paraId="11152E4A"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76 </w:t>
            </w:r>
          </w:p>
        </w:tc>
        <w:tc>
          <w:tcPr>
            <w:tcW w:w="1302" w:type="dxa"/>
            <w:gridSpan w:val="2"/>
          </w:tcPr>
          <w:p w14:paraId="749D8DEB"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 </w:t>
            </w:r>
          </w:p>
        </w:tc>
        <w:tc>
          <w:tcPr>
            <w:tcW w:w="1302" w:type="dxa"/>
            <w:gridSpan w:val="2"/>
          </w:tcPr>
          <w:p w14:paraId="5B5A63AF"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23 </w:t>
            </w:r>
          </w:p>
        </w:tc>
        <w:tc>
          <w:tcPr>
            <w:tcW w:w="1390" w:type="dxa"/>
          </w:tcPr>
          <w:p w14:paraId="35AF1F65"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 </w:t>
            </w:r>
          </w:p>
        </w:tc>
        <w:tc>
          <w:tcPr>
            <w:tcW w:w="1218" w:type="dxa"/>
          </w:tcPr>
          <w:p w14:paraId="1A5431F9"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1 </w:t>
            </w:r>
          </w:p>
        </w:tc>
      </w:tr>
      <w:tr w:rsidR="003E0F58" w:rsidRPr="007C705C" w14:paraId="5D6A882E" w14:textId="77777777" w:rsidTr="004D2249">
        <w:trPr>
          <w:trHeight w:val="90"/>
        </w:trPr>
        <w:tc>
          <w:tcPr>
            <w:tcW w:w="1804" w:type="dxa"/>
          </w:tcPr>
          <w:p w14:paraId="4B90F872"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Swine 2016 - now </w:t>
            </w:r>
          </w:p>
        </w:tc>
        <w:tc>
          <w:tcPr>
            <w:tcW w:w="993" w:type="dxa"/>
          </w:tcPr>
          <w:p w14:paraId="1398048F"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42 </w:t>
            </w:r>
          </w:p>
        </w:tc>
        <w:tc>
          <w:tcPr>
            <w:tcW w:w="1109" w:type="dxa"/>
          </w:tcPr>
          <w:p w14:paraId="49F39EF1"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45 </w:t>
            </w:r>
          </w:p>
        </w:tc>
        <w:tc>
          <w:tcPr>
            <w:tcW w:w="1302" w:type="dxa"/>
            <w:gridSpan w:val="2"/>
          </w:tcPr>
          <w:p w14:paraId="222557D9"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 </w:t>
            </w:r>
          </w:p>
        </w:tc>
        <w:tc>
          <w:tcPr>
            <w:tcW w:w="1302" w:type="dxa"/>
            <w:gridSpan w:val="2"/>
          </w:tcPr>
          <w:p w14:paraId="0DA7E093"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13 </w:t>
            </w:r>
          </w:p>
        </w:tc>
        <w:tc>
          <w:tcPr>
            <w:tcW w:w="1390" w:type="dxa"/>
          </w:tcPr>
          <w:p w14:paraId="7C5F187A"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 </w:t>
            </w:r>
          </w:p>
        </w:tc>
        <w:tc>
          <w:tcPr>
            <w:tcW w:w="1218" w:type="dxa"/>
          </w:tcPr>
          <w:p w14:paraId="673AFF8C"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 </w:t>
            </w:r>
          </w:p>
        </w:tc>
      </w:tr>
      <w:tr w:rsidR="003E0F58" w:rsidRPr="007C705C" w14:paraId="3D0F8F85" w14:textId="77777777" w:rsidTr="004D2249">
        <w:trPr>
          <w:trHeight w:val="90"/>
        </w:trPr>
        <w:tc>
          <w:tcPr>
            <w:tcW w:w="1804" w:type="dxa"/>
          </w:tcPr>
          <w:p w14:paraId="5AF7433F"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Poultry 1990-2015 </w:t>
            </w:r>
          </w:p>
        </w:tc>
        <w:tc>
          <w:tcPr>
            <w:tcW w:w="993" w:type="dxa"/>
          </w:tcPr>
          <w:p w14:paraId="5ADBAF5D" w14:textId="77777777" w:rsidR="003E0F58" w:rsidRPr="007C705C" w:rsidRDefault="003E0F58" w:rsidP="004D2249">
            <w:pPr>
              <w:autoSpaceDE w:val="0"/>
              <w:autoSpaceDN w:val="0"/>
              <w:adjustRightInd w:val="0"/>
              <w:jc w:val="left"/>
              <w:rPr>
                <w:rFonts w:cs="Times New Roman"/>
                <w:color w:val="000000"/>
                <w:sz w:val="18"/>
                <w:szCs w:val="18"/>
                <w:lang w:val="cs-CZ"/>
              </w:rPr>
            </w:pPr>
          </w:p>
        </w:tc>
        <w:tc>
          <w:tcPr>
            <w:tcW w:w="1134" w:type="dxa"/>
            <w:gridSpan w:val="2"/>
          </w:tcPr>
          <w:p w14:paraId="38E356B5"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13 </w:t>
            </w:r>
          </w:p>
        </w:tc>
        <w:tc>
          <w:tcPr>
            <w:tcW w:w="1277" w:type="dxa"/>
          </w:tcPr>
          <w:p w14:paraId="04822204"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 </w:t>
            </w:r>
          </w:p>
        </w:tc>
        <w:tc>
          <w:tcPr>
            <w:tcW w:w="1274" w:type="dxa"/>
          </w:tcPr>
          <w:p w14:paraId="0F5FB924"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1 </w:t>
            </w:r>
          </w:p>
        </w:tc>
        <w:tc>
          <w:tcPr>
            <w:tcW w:w="1418" w:type="dxa"/>
            <w:gridSpan w:val="2"/>
          </w:tcPr>
          <w:p w14:paraId="664E4AB4"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2 </w:t>
            </w:r>
          </w:p>
        </w:tc>
        <w:tc>
          <w:tcPr>
            <w:tcW w:w="1218" w:type="dxa"/>
          </w:tcPr>
          <w:p w14:paraId="6494D72C"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84 </w:t>
            </w:r>
          </w:p>
        </w:tc>
      </w:tr>
      <w:tr w:rsidR="003E0F58" w:rsidRPr="007C705C" w14:paraId="3F9C81A1" w14:textId="77777777" w:rsidTr="004D2249">
        <w:trPr>
          <w:trHeight w:val="90"/>
        </w:trPr>
        <w:tc>
          <w:tcPr>
            <w:tcW w:w="1804" w:type="dxa"/>
          </w:tcPr>
          <w:p w14:paraId="1901C7AC"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Poultry 2016 – now </w:t>
            </w:r>
          </w:p>
        </w:tc>
        <w:tc>
          <w:tcPr>
            <w:tcW w:w="993" w:type="dxa"/>
          </w:tcPr>
          <w:p w14:paraId="7455C99A"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7 </w:t>
            </w:r>
          </w:p>
        </w:tc>
        <w:tc>
          <w:tcPr>
            <w:tcW w:w="1109" w:type="dxa"/>
          </w:tcPr>
          <w:p w14:paraId="1A241B06"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3 </w:t>
            </w:r>
          </w:p>
        </w:tc>
        <w:tc>
          <w:tcPr>
            <w:tcW w:w="1302" w:type="dxa"/>
            <w:gridSpan w:val="2"/>
          </w:tcPr>
          <w:p w14:paraId="762D753E"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 </w:t>
            </w:r>
          </w:p>
        </w:tc>
        <w:tc>
          <w:tcPr>
            <w:tcW w:w="1302" w:type="dxa"/>
            <w:gridSpan w:val="2"/>
          </w:tcPr>
          <w:p w14:paraId="48F7B0FA"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90 </w:t>
            </w:r>
          </w:p>
        </w:tc>
        <w:tc>
          <w:tcPr>
            <w:tcW w:w="1390" w:type="dxa"/>
          </w:tcPr>
          <w:p w14:paraId="614D3E8F"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 </w:t>
            </w:r>
          </w:p>
        </w:tc>
        <w:tc>
          <w:tcPr>
            <w:tcW w:w="1218" w:type="dxa"/>
          </w:tcPr>
          <w:p w14:paraId="6B65E8AF"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 </w:t>
            </w:r>
          </w:p>
        </w:tc>
      </w:tr>
    </w:tbl>
    <w:p w14:paraId="03FA4743" w14:textId="5C198A07" w:rsidR="007C705C" w:rsidRPr="007C705C" w:rsidRDefault="003E0F58" w:rsidP="007C705C">
      <w:pPr>
        <w:pStyle w:val="UZEIZdroj"/>
      </w:pPr>
      <w:r w:rsidRPr="007C705C">
        <w:t>Zdroj: NIR ČR 2020 (ČHMÚ)</w:t>
      </w:r>
    </w:p>
    <w:p w14:paraId="0C5205FA" w14:textId="2EA6153F" w:rsidR="003E0F58" w:rsidRPr="007C705C" w:rsidRDefault="003E0F58" w:rsidP="007C705C">
      <w:pPr>
        <w:pStyle w:val="UZEITaB"/>
      </w:pPr>
      <w:bookmarkStart w:id="162" w:name="_Toc77245803"/>
      <w:bookmarkStart w:id="163" w:name="_Toc94181560"/>
      <w:r w:rsidRPr="007C705C">
        <w:t xml:space="preserve">Tabulka </w:t>
      </w:r>
      <w:r w:rsidRPr="007C705C">
        <w:fldChar w:fldCharType="begin"/>
      </w:r>
      <w:r w:rsidRPr="007C705C">
        <w:instrText xml:space="preserve"> SEQ Tabulka \* ARABIC </w:instrText>
      </w:r>
      <w:r w:rsidRPr="007C705C">
        <w:fldChar w:fldCharType="separate"/>
      </w:r>
      <w:r w:rsidR="00127D64">
        <w:rPr>
          <w:noProof/>
        </w:rPr>
        <w:t>1</w:t>
      </w:r>
      <w:r w:rsidRPr="007C705C">
        <w:rPr>
          <w:noProof/>
        </w:rPr>
        <w:fldChar w:fldCharType="end"/>
      </w:r>
      <w:r w:rsidRPr="007C705C">
        <w:t xml:space="preserve"> Overview of the Czech country specific AWMS systems for sheep, goats and horses, 1990-2018, fraction of manure management system, %</w:t>
      </w:r>
      <w:bookmarkEnd w:id="162"/>
      <w:bookmarkEnd w:id="163"/>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4"/>
        <w:gridCol w:w="1202"/>
        <w:gridCol w:w="74"/>
        <w:gridCol w:w="1418"/>
        <w:gridCol w:w="13"/>
        <w:gridCol w:w="1503"/>
        <w:gridCol w:w="43"/>
        <w:gridCol w:w="1417"/>
        <w:gridCol w:w="43"/>
        <w:gridCol w:w="1505"/>
      </w:tblGrid>
      <w:tr w:rsidR="003E0F58" w:rsidRPr="007C705C" w14:paraId="5E2D2746" w14:textId="77777777" w:rsidTr="007C705C">
        <w:trPr>
          <w:trHeight w:val="90"/>
        </w:trPr>
        <w:tc>
          <w:tcPr>
            <w:tcW w:w="1804" w:type="dxa"/>
          </w:tcPr>
          <w:p w14:paraId="41BBF4A1"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Livestock category </w:t>
            </w:r>
          </w:p>
        </w:tc>
        <w:tc>
          <w:tcPr>
            <w:tcW w:w="7218" w:type="dxa"/>
            <w:gridSpan w:val="9"/>
            <w:vAlign w:val="center"/>
          </w:tcPr>
          <w:p w14:paraId="62A48FCA"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Type of AWMS</w:t>
            </w:r>
          </w:p>
        </w:tc>
      </w:tr>
      <w:tr w:rsidR="003E0F58" w:rsidRPr="007C705C" w14:paraId="1DF712A0" w14:textId="77777777" w:rsidTr="007C705C">
        <w:trPr>
          <w:trHeight w:val="90"/>
        </w:trPr>
        <w:tc>
          <w:tcPr>
            <w:tcW w:w="1804" w:type="dxa"/>
          </w:tcPr>
          <w:p w14:paraId="0548A20B" w14:textId="77777777" w:rsidR="003E0F58" w:rsidRPr="007C705C" w:rsidRDefault="003E0F58" w:rsidP="004D2249">
            <w:pPr>
              <w:autoSpaceDE w:val="0"/>
              <w:autoSpaceDN w:val="0"/>
              <w:adjustRightInd w:val="0"/>
              <w:jc w:val="left"/>
              <w:rPr>
                <w:rFonts w:cs="Times New Roman"/>
                <w:color w:val="000000"/>
                <w:sz w:val="18"/>
                <w:szCs w:val="18"/>
                <w:lang w:val="cs-CZ"/>
              </w:rPr>
            </w:pPr>
          </w:p>
        </w:tc>
        <w:tc>
          <w:tcPr>
            <w:tcW w:w="1276" w:type="dxa"/>
            <w:gridSpan w:val="2"/>
            <w:vAlign w:val="center"/>
          </w:tcPr>
          <w:p w14:paraId="4E7D2BE7"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Liquid</w:t>
            </w:r>
          </w:p>
        </w:tc>
        <w:tc>
          <w:tcPr>
            <w:tcW w:w="1418" w:type="dxa"/>
            <w:vAlign w:val="center"/>
          </w:tcPr>
          <w:p w14:paraId="330A27B1"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Daily spread</w:t>
            </w:r>
          </w:p>
        </w:tc>
        <w:tc>
          <w:tcPr>
            <w:tcW w:w="1559" w:type="dxa"/>
            <w:gridSpan w:val="3"/>
            <w:vAlign w:val="center"/>
          </w:tcPr>
          <w:p w14:paraId="27A184EC"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Solid</w:t>
            </w:r>
          </w:p>
        </w:tc>
        <w:tc>
          <w:tcPr>
            <w:tcW w:w="1417" w:type="dxa"/>
            <w:vAlign w:val="center"/>
          </w:tcPr>
          <w:p w14:paraId="7A75207B"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PRP</w:t>
            </w:r>
          </w:p>
        </w:tc>
        <w:tc>
          <w:tcPr>
            <w:tcW w:w="1548" w:type="dxa"/>
            <w:gridSpan w:val="2"/>
            <w:vAlign w:val="center"/>
          </w:tcPr>
          <w:p w14:paraId="7A6C0B36"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Other</w:t>
            </w:r>
          </w:p>
        </w:tc>
      </w:tr>
      <w:tr w:rsidR="003E0F58" w:rsidRPr="007C705C" w14:paraId="49F837C0" w14:textId="77777777" w:rsidTr="004D2249">
        <w:trPr>
          <w:trHeight w:val="90"/>
        </w:trPr>
        <w:tc>
          <w:tcPr>
            <w:tcW w:w="9022" w:type="dxa"/>
            <w:gridSpan w:val="10"/>
            <w:vAlign w:val="center"/>
          </w:tcPr>
          <w:p w14:paraId="2A924F48"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Fraction of Manure Nitrogen per AWMS [%]</w:t>
            </w:r>
          </w:p>
        </w:tc>
      </w:tr>
      <w:tr w:rsidR="003E0F58" w:rsidRPr="007C705C" w14:paraId="201F5464" w14:textId="77777777" w:rsidTr="007C705C">
        <w:trPr>
          <w:trHeight w:val="90"/>
        </w:trPr>
        <w:tc>
          <w:tcPr>
            <w:tcW w:w="1804" w:type="dxa"/>
          </w:tcPr>
          <w:p w14:paraId="527F9C3D"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Sheep 1990-2013 </w:t>
            </w:r>
          </w:p>
        </w:tc>
        <w:tc>
          <w:tcPr>
            <w:tcW w:w="1202" w:type="dxa"/>
          </w:tcPr>
          <w:p w14:paraId="0499A1B0"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 </w:t>
            </w:r>
          </w:p>
        </w:tc>
        <w:tc>
          <w:tcPr>
            <w:tcW w:w="1505" w:type="dxa"/>
            <w:gridSpan w:val="3"/>
          </w:tcPr>
          <w:p w14:paraId="14DC8208"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 </w:t>
            </w:r>
          </w:p>
        </w:tc>
        <w:tc>
          <w:tcPr>
            <w:tcW w:w="1503" w:type="dxa"/>
          </w:tcPr>
          <w:p w14:paraId="6A751D02"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2 </w:t>
            </w:r>
          </w:p>
        </w:tc>
        <w:tc>
          <w:tcPr>
            <w:tcW w:w="1503" w:type="dxa"/>
            <w:gridSpan w:val="3"/>
          </w:tcPr>
          <w:p w14:paraId="29E6C718"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87 </w:t>
            </w:r>
          </w:p>
        </w:tc>
        <w:tc>
          <w:tcPr>
            <w:tcW w:w="1505" w:type="dxa"/>
          </w:tcPr>
          <w:p w14:paraId="1570B6BE"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11 </w:t>
            </w:r>
          </w:p>
        </w:tc>
      </w:tr>
      <w:tr w:rsidR="003E0F58" w:rsidRPr="007C705C" w14:paraId="1F37AB13" w14:textId="77777777" w:rsidTr="007C705C">
        <w:trPr>
          <w:trHeight w:val="90"/>
        </w:trPr>
        <w:tc>
          <w:tcPr>
            <w:tcW w:w="1804" w:type="dxa"/>
          </w:tcPr>
          <w:p w14:paraId="6CF55119"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Sheep 2014-now </w:t>
            </w:r>
          </w:p>
        </w:tc>
        <w:tc>
          <w:tcPr>
            <w:tcW w:w="1202" w:type="dxa"/>
          </w:tcPr>
          <w:p w14:paraId="1A3524F2"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 </w:t>
            </w:r>
          </w:p>
        </w:tc>
        <w:tc>
          <w:tcPr>
            <w:tcW w:w="1505" w:type="dxa"/>
            <w:gridSpan w:val="3"/>
          </w:tcPr>
          <w:p w14:paraId="03D70AF2"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 </w:t>
            </w:r>
          </w:p>
        </w:tc>
        <w:tc>
          <w:tcPr>
            <w:tcW w:w="1503" w:type="dxa"/>
          </w:tcPr>
          <w:p w14:paraId="6BCB8DC6"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45 </w:t>
            </w:r>
          </w:p>
        </w:tc>
        <w:tc>
          <w:tcPr>
            <w:tcW w:w="1503" w:type="dxa"/>
            <w:gridSpan w:val="3"/>
          </w:tcPr>
          <w:p w14:paraId="7B0AD70B"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55 </w:t>
            </w:r>
          </w:p>
        </w:tc>
        <w:tc>
          <w:tcPr>
            <w:tcW w:w="1505" w:type="dxa"/>
          </w:tcPr>
          <w:p w14:paraId="69E8B369"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 </w:t>
            </w:r>
          </w:p>
        </w:tc>
      </w:tr>
      <w:tr w:rsidR="003E0F58" w:rsidRPr="007C705C" w14:paraId="0C74CFB3" w14:textId="77777777" w:rsidTr="007C705C">
        <w:trPr>
          <w:trHeight w:val="90"/>
        </w:trPr>
        <w:tc>
          <w:tcPr>
            <w:tcW w:w="1804" w:type="dxa"/>
          </w:tcPr>
          <w:p w14:paraId="35AAA8E8"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Horses 1990-2013 </w:t>
            </w:r>
          </w:p>
        </w:tc>
        <w:tc>
          <w:tcPr>
            <w:tcW w:w="1202" w:type="dxa"/>
          </w:tcPr>
          <w:p w14:paraId="6F1E9E2D"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 </w:t>
            </w:r>
          </w:p>
        </w:tc>
        <w:tc>
          <w:tcPr>
            <w:tcW w:w="1505" w:type="dxa"/>
            <w:gridSpan w:val="3"/>
          </w:tcPr>
          <w:p w14:paraId="04A712A5"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 </w:t>
            </w:r>
          </w:p>
        </w:tc>
        <w:tc>
          <w:tcPr>
            <w:tcW w:w="1503" w:type="dxa"/>
          </w:tcPr>
          <w:p w14:paraId="188305CE"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 </w:t>
            </w:r>
          </w:p>
        </w:tc>
        <w:tc>
          <w:tcPr>
            <w:tcW w:w="1503" w:type="dxa"/>
            <w:gridSpan w:val="3"/>
          </w:tcPr>
          <w:p w14:paraId="75827CB6"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96 </w:t>
            </w:r>
          </w:p>
        </w:tc>
        <w:tc>
          <w:tcPr>
            <w:tcW w:w="1505" w:type="dxa"/>
          </w:tcPr>
          <w:p w14:paraId="29F739E5"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4 </w:t>
            </w:r>
          </w:p>
        </w:tc>
      </w:tr>
      <w:tr w:rsidR="003E0F58" w:rsidRPr="007C705C" w14:paraId="57F37C10" w14:textId="77777777" w:rsidTr="007C705C">
        <w:trPr>
          <w:trHeight w:val="90"/>
        </w:trPr>
        <w:tc>
          <w:tcPr>
            <w:tcW w:w="1804" w:type="dxa"/>
          </w:tcPr>
          <w:p w14:paraId="7850C0C5"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Horses 2014 – now </w:t>
            </w:r>
          </w:p>
        </w:tc>
        <w:tc>
          <w:tcPr>
            <w:tcW w:w="1202" w:type="dxa"/>
          </w:tcPr>
          <w:p w14:paraId="4D002EFD"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 </w:t>
            </w:r>
          </w:p>
        </w:tc>
        <w:tc>
          <w:tcPr>
            <w:tcW w:w="1505" w:type="dxa"/>
            <w:gridSpan w:val="3"/>
          </w:tcPr>
          <w:p w14:paraId="1B178FA1"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 </w:t>
            </w:r>
          </w:p>
        </w:tc>
        <w:tc>
          <w:tcPr>
            <w:tcW w:w="1503" w:type="dxa"/>
          </w:tcPr>
          <w:p w14:paraId="71EDE6A8"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42 </w:t>
            </w:r>
          </w:p>
        </w:tc>
        <w:tc>
          <w:tcPr>
            <w:tcW w:w="1503" w:type="dxa"/>
            <w:gridSpan w:val="3"/>
          </w:tcPr>
          <w:p w14:paraId="4EB6ACB2"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58 </w:t>
            </w:r>
          </w:p>
        </w:tc>
        <w:tc>
          <w:tcPr>
            <w:tcW w:w="1505" w:type="dxa"/>
          </w:tcPr>
          <w:p w14:paraId="510C17A2"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 </w:t>
            </w:r>
          </w:p>
        </w:tc>
      </w:tr>
      <w:tr w:rsidR="003E0F58" w:rsidRPr="007C705C" w14:paraId="5CE63269" w14:textId="77777777" w:rsidTr="007C705C">
        <w:trPr>
          <w:trHeight w:val="90"/>
        </w:trPr>
        <w:tc>
          <w:tcPr>
            <w:tcW w:w="1804" w:type="dxa"/>
          </w:tcPr>
          <w:p w14:paraId="32EB6654"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Goats 1990-2013 </w:t>
            </w:r>
          </w:p>
        </w:tc>
        <w:tc>
          <w:tcPr>
            <w:tcW w:w="1202" w:type="dxa"/>
          </w:tcPr>
          <w:p w14:paraId="0BC1694E"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 </w:t>
            </w:r>
          </w:p>
        </w:tc>
        <w:tc>
          <w:tcPr>
            <w:tcW w:w="1505" w:type="dxa"/>
            <w:gridSpan w:val="3"/>
          </w:tcPr>
          <w:p w14:paraId="15F17F13"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 </w:t>
            </w:r>
          </w:p>
        </w:tc>
        <w:tc>
          <w:tcPr>
            <w:tcW w:w="1503" w:type="dxa"/>
          </w:tcPr>
          <w:p w14:paraId="6CA4B60B"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 </w:t>
            </w:r>
          </w:p>
        </w:tc>
        <w:tc>
          <w:tcPr>
            <w:tcW w:w="1503" w:type="dxa"/>
            <w:gridSpan w:val="3"/>
          </w:tcPr>
          <w:p w14:paraId="05E8C267"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96 </w:t>
            </w:r>
          </w:p>
        </w:tc>
        <w:tc>
          <w:tcPr>
            <w:tcW w:w="1505" w:type="dxa"/>
          </w:tcPr>
          <w:p w14:paraId="4D76AD61"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4 </w:t>
            </w:r>
          </w:p>
        </w:tc>
      </w:tr>
      <w:tr w:rsidR="003E0F58" w:rsidRPr="007C705C" w14:paraId="707723F7" w14:textId="77777777" w:rsidTr="007C705C">
        <w:trPr>
          <w:trHeight w:val="90"/>
        </w:trPr>
        <w:tc>
          <w:tcPr>
            <w:tcW w:w="1804" w:type="dxa"/>
          </w:tcPr>
          <w:p w14:paraId="0628CDA0"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Goats 2014 – now </w:t>
            </w:r>
          </w:p>
        </w:tc>
        <w:tc>
          <w:tcPr>
            <w:tcW w:w="1202" w:type="dxa"/>
          </w:tcPr>
          <w:p w14:paraId="666520AE"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 </w:t>
            </w:r>
          </w:p>
        </w:tc>
        <w:tc>
          <w:tcPr>
            <w:tcW w:w="1505" w:type="dxa"/>
            <w:gridSpan w:val="3"/>
          </w:tcPr>
          <w:p w14:paraId="50A39DD5"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 </w:t>
            </w:r>
          </w:p>
        </w:tc>
        <w:tc>
          <w:tcPr>
            <w:tcW w:w="1503" w:type="dxa"/>
          </w:tcPr>
          <w:p w14:paraId="2FEAE06D"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45 </w:t>
            </w:r>
          </w:p>
        </w:tc>
        <w:tc>
          <w:tcPr>
            <w:tcW w:w="1503" w:type="dxa"/>
            <w:gridSpan w:val="3"/>
          </w:tcPr>
          <w:p w14:paraId="60B08C96"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55 </w:t>
            </w:r>
          </w:p>
        </w:tc>
        <w:tc>
          <w:tcPr>
            <w:tcW w:w="1505" w:type="dxa"/>
          </w:tcPr>
          <w:p w14:paraId="700E5245"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 </w:t>
            </w:r>
          </w:p>
        </w:tc>
      </w:tr>
    </w:tbl>
    <w:p w14:paraId="4452610F" w14:textId="7EF05128" w:rsidR="003E0F58" w:rsidRPr="007C705C" w:rsidRDefault="003E0F58" w:rsidP="007C705C">
      <w:pPr>
        <w:pStyle w:val="UZEIZdroj"/>
      </w:pPr>
      <w:r w:rsidRPr="007C705C">
        <w:t>Zdroj: NIR ČR 2020 (ČHMÚ)</w:t>
      </w:r>
    </w:p>
    <w:p w14:paraId="27625B03" w14:textId="59F42E2F" w:rsidR="003E0F58" w:rsidRPr="007C705C" w:rsidRDefault="007C705C" w:rsidP="007C705C">
      <w:pPr>
        <w:pStyle w:val="UZEITaB"/>
      </w:pPr>
      <w:bookmarkStart w:id="164" w:name="_Toc77245804"/>
      <w:r>
        <w:lastRenderedPageBreak/>
        <w:t xml:space="preserve">  </w:t>
      </w:r>
      <w:bookmarkStart w:id="165" w:name="_Toc94181561"/>
      <w:r w:rsidR="003E0F58" w:rsidRPr="007C705C">
        <w:t>Direct and indirect N2O emissions from Agricultural Soils in period 1990-2018 in kt N2O</w:t>
      </w:r>
      <w:bookmarkEnd w:id="164"/>
      <w:bookmarkEnd w:id="165"/>
    </w:p>
    <w:tbl>
      <w:tblPr>
        <w:tblW w:w="938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7"/>
        <w:gridCol w:w="635"/>
        <w:gridCol w:w="74"/>
        <w:gridCol w:w="851"/>
        <w:gridCol w:w="13"/>
        <w:gridCol w:w="938"/>
        <w:gridCol w:w="41"/>
        <w:gridCol w:w="850"/>
        <w:gridCol w:w="47"/>
        <w:gridCol w:w="942"/>
        <w:gridCol w:w="938"/>
        <w:gridCol w:w="54"/>
        <w:gridCol w:w="850"/>
        <w:gridCol w:w="34"/>
        <w:gridCol w:w="938"/>
        <w:gridCol w:w="21"/>
        <w:gridCol w:w="917"/>
        <w:gridCol w:w="7"/>
      </w:tblGrid>
      <w:tr w:rsidR="003E0F58" w:rsidRPr="007C705C" w14:paraId="317B4C6E" w14:textId="77777777" w:rsidTr="004D2249">
        <w:trPr>
          <w:trHeight w:val="206"/>
        </w:trPr>
        <w:tc>
          <w:tcPr>
            <w:tcW w:w="1237" w:type="dxa"/>
            <w:vAlign w:val="center"/>
          </w:tcPr>
          <w:p w14:paraId="034A3E69" w14:textId="77777777" w:rsidR="003E0F58" w:rsidRPr="007C705C" w:rsidRDefault="003E0F58" w:rsidP="004D2249">
            <w:pPr>
              <w:autoSpaceDE w:val="0"/>
              <w:autoSpaceDN w:val="0"/>
              <w:adjustRightInd w:val="0"/>
              <w:jc w:val="center"/>
              <w:rPr>
                <w:rFonts w:cs="Times New Roman"/>
                <w:color w:val="000000"/>
                <w:sz w:val="18"/>
                <w:szCs w:val="18"/>
                <w:lang w:val="cs-CZ"/>
              </w:rPr>
            </w:pPr>
          </w:p>
        </w:tc>
        <w:tc>
          <w:tcPr>
            <w:tcW w:w="709" w:type="dxa"/>
            <w:gridSpan w:val="2"/>
            <w:vAlign w:val="center"/>
          </w:tcPr>
          <w:p w14:paraId="5248FE16"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Total emissions</w:t>
            </w:r>
          </w:p>
        </w:tc>
        <w:tc>
          <w:tcPr>
            <w:tcW w:w="851" w:type="dxa"/>
            <w:vAlign w:val="center"/>
          </w:tcPr>
          <w:p w14:paraId="554877D2" w14:textId="373449F3"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Synth</w:t>
            </w:r>
            <w:r w:rsidR="00751773">
              <w:rPr>
                <w:rFonts w:cs="Times New Roman"/>
                <w:b/>
                <w:bCs/>
                <w:color w:val="000000"/>
                <w:sz w:val="18"/>
                <w:szCs w:val="18"/>
                <w:lang w:val="cs-CZ"/>
              </w:rPr>
              <w:t>e</w:t>
            </w:r>
            <w:r w:rsidRPr="007C705C">
              <w:rPr>
                <w:rFonts w:cs="Times New Roman"/>
                <w:b/>
                <w:bCs/>
                <w:color w:val="000000"/>
                <w:sz w:val="18"/>
                <w:szCs w:val="18"/>
                <w:lang w:val="cs-CZ"/>
              </w:rPr>
              <w:t>tic fertilizersA</w:t>
            </w:r>
          </w:p>
        </w:tc>
        <w:tc>
          <w:tcPr>
            <w:tcW w:w="992" w:type="dxa"/>
            <w:gridSpan w:val="3"/>
            <w:vAlign w:val="center"/>
          </w:tcPr>
          <w:p w14:paraId="58299E5C"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Animal manure</w:t>
            </w:r>
          </w:p>
        </w:tc>
        <w:tc>
          <w:tcPr>
            <w:tcW w:w="850" w:type="dxa"/>
            <w:vAlign w:val="center"/>
          </w:tcPr>
          <w:p w14:paraId="4FAD1EEA"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Sewage sludgec</w:t>
            </w:r>
          </w:p>
        </w:tc>
        <w:tc>
          <w:tcPr>
            <w:tcW w:w="989" w:type="dxa"/>
            <w:gridSpan w:val="2"/>
            <w:vAlign w:val="center"/>
          </w:tcPr>
          <w:p w14:paraId="3F87DBA3"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Crop residuesd</w:t>
            </w:r>
          </w:p>
        </w:tc>
        <w:tc>
          <w:tcPr>
            <w:tcW w:w="992" w:type="dxa"/>
            <w:gridSpan w:val="2"/>
            <w:vAlign w:val="center"/>
          </w:tcPr>
          <w:p w14:paraId="5A01D3E1"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Mineral. Soil</w:t>
            </w:r>
          </w:p>
        </w:tc>
        <w:tc>
          <w:tcPr>
            <w:tcW w:w="850" w:type="dxa"/>
            <w:vAlign w:val="center"/>
          </w:tcPr>
          <w:p w14:paraId="132A4C83"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PRP</w:t>
            </w:r>
          </w:p>
        </w:tc>
        <w:tc>
          <w:tcPr>
            <w:tcW w:w="993" w:type="dxa"/>
            <w:gridSpan w:val="3"/>
            <w:vAlign w:val="center"/>
          </w:tcPr>
          <w:p w14:paraId="58C5F509"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Atmosph. deposition</w:t>
            </w:r>
          </w:p>
        </w:tc>
        <w:tc>
          <w:tcPr>
            <w:tcW w:w="924" w:type="dxa"/>
            <w:gridSpan w:val="2"/>
            <w:vAlign w:val="center"/>
          </w:tcPr>
          <w:p w14:paraId="3D5643FE"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Leaching</w:t>
            </w:r>
          </w:p>
        </w:tc>
      </w:tr>
      <w:tr w:rsidR="003E0F58" w:rsidRPr="007C705C" w14:paraId="4C636F42" w14:textId="77777777" w:rsidTr="004D2249">
        <w:trPr>
          <w:gridAfter w:val="1"/>
          <w:wAfter w:w="7" w:type="dxa"/>
          <w:trHeight w:val="90"/>
        </w:trPr>
        <w:tc>
          <w:tcPr>
            <w:tcW w:w="1237" w:type="dxa"/>
          </w:tcPr>
          <w:p w14:paraId="622FD3AD"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1990</w:t>
            </w:r>
          </w:p>
        </w:tc>
        <w:tc>
          <w:tcPr>
            <w:tcW w:w="635" w:type="dxa"/>
            <w:vAlign w:val="center"/>
          </w:tcPr>
          <w:p w14:paraId="5FD88B22"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18.9 </w:t>
            </w:r>
          </w:p>
        </w:tc>
        <w:tc>
          <w:tcPr>
            <w:tcW w:w="938" w:type="dxa"/>
            <w:gridSpan w:val="3"/>
            <w:vAlign w:val="center"/>
          </w:tcPr>
          <w:p w14:paraId="115E77CA"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6.6 </w:t>
            </w:r>
          </w:p>
        </w:tc>
        <w:tc>
          <w:tcPr>
            <w:tcW w:w="938" w:type="dxa"/>
            <w:vAlign w:val="center"/>
          </w:tcPr>
          <w:p w14:paraId="70262B17"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3.0 </w:t>
            </w:r>
          </w:p>
        </w:tc>
        <w:tc>
          <w:tcPr>
            <w:tcW w:w="938" w:type="dxa"/>
            <w:gridSpan w:val="3"/>
            <w:vAlign w:val="center"/>
          </w:tcPr>
          <w:p w14:paraId="034FFFBB" w14:textId="77777777" w:rsidR="003E0F58" w:rsidRPr="007C705C" w:rsidRDefault="003E0F58" w:rsidP="004D2249">
            <w:pPr>
              <w:autoSpaceDE w:val="0"/>
              <w:autoSpaceDN w:val="0"/>
              <w:adjustRightInd w:val="0"/>
              <w:jc w:val="right"/>
              <w:rPr>
                <w:rFonts w:cs="Times New Roman"/>
                <w:color w:val="000000"/>
                <w:szCs w:val="24"/>
                <w:lang w:val="cs-CZ"/>
              </w:rPr>
            </w:pPr>
            <w:r w:rsidRPr="007C705C">
              <w:rPr>
                <w:rFonts w:cs="Times New Roman"/>
                <w:color w:val="000000"/>
                <w:szCs w:val="24"/>
                <w:lang w:val="cs-CZ"/>
              </w:rPr>
              <w:t xml:space="preserve">0.004 </w:t>
            </w:r>
          </w:p>
        </w:tc>
        <w:tc>
          <w:tcPr>
            <w:tcW w:w="942" w:type="dxa"/>
            <w:vAlign w:val="center"/>
          </w:tcPr>
          <w:p w14:paraId="2F124B7A"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3.9 </w:t>
            </w:r>
          </w:p>
        </w:tc>
        <w:tc>
          <w:tcPr>
            <w:tcW w:w="938" w:type="dxa"/>
            <w:vAlign w:val="center"/>
          </w:tcPr>
          <w:p w14:paraId="6BE6570B"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0.04 </w:t>
            </w:r>
          </w:p>
        </w:tc>
        <w:tc>
          <w:tcPr>
            <w:tcW w:w="938" w:type="dxa"/>
            <w:gridSpan w:val="3"/>
            <w:vAlign w:val="center"/>
          </w:tcPr>
          <w:p w14:paraId="7EA63C06"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0.8 </w:t>
            </w:r>
          </w:p>
        </w:tc>
        <w:tc>
          <w:tcPr>
            <w:tcW w:w="938" w:type="dxa"/>
            <w:vAlign w:val="center"/>
          </w:tcPr>
          <w:p w14:paraId="4A59BC46"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1.4 </w:t>
            </w:r>
          </w:p>
        </w:tc>
        <w:tc>
          <w:tcPr>
            <w:tcW w:w="938" w:type="dxa"/>
            <w:gridSpan w:val="2"/>
            <w:vAlign w:val="center"/>
          </w:tcPr>
          <w:p w14:paraId="6F989A46"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3.2 </w:t>
            </w:r>
          </w:p>
        </w:tc>
      </w:tr>
      <w:tr w:rsidR="003E0F58" w:rsidRPr="007C705C" w14:paraId="5CDFB730" w14:textId="77777777" w:rsidTr="004D2249">
        <w:trPr>
          <w:gridAfter w:val="1"/>
          <w:wAfter w:w="7" w:type="dxa"/>
          <w:trHeight w:val="90"/>
        </w:trPr>
        <w:tc>
          <w:tcPr>
            <w:tcW w:w="1237" w:type="dxa"/>
          </w:tcPr>
          <w:p w14:paraId="1DB00C53"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1995</w:t>
            </w:r>
          </w:p>
        </w:tc>
        <w:tc>
          <w:tcPr>
            <w:tcW w:w="635" w:type="dxa"/>
            <w:vAlign w:val="center"/>
          </w:tcPr>
          <w:p w14:paraId="05D57B5C"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12.0 </w:t>
            </w:r>
          </w:p>
        </w:tc>
        <w:tc>
          <w:tcPr>
            <w:tcW w:w="938" w:type="dxa"/>
            <w:gridSpan w:val="3"/>
            <w:vAlign w:val="center"/>
          </w:tcPr>
          <w:p w14:paraId="69EA3C88"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3.6 </w:t>
            </w:r>
          </w:p>
        </w:tc>
        <w:tc>
          <w:tcPr>
            <w:tcW w:w="938" w:type="dxa"/>
            <w:vAlign w:val="center"/>
          </w:tcPr>
          <w:p w14:paraId="5A210B84"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1.9 </w:t>
            </w:r>
          </w:p>
        </w:tc>
        <w:tc>
          <w:tcPr>
            <w:tcW w:w="938" w:type="dxa"/>
            <w:gridSpan w:val="3"/>
            <w:vAlign w:val="center"/>
          </w:tcPr>
          <w:p w14:paraId="40C3A630"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0.01 </w:t>
            </w:r>
          </w:p>
        </w:tc>
        <w:tc>
          <w:tcPr>
            <w:tcW w:w="942" w:type="dxa"/>
            <w:vAlign w:val="center"/>
          </w:tcPr>
          <w:p w14:paraId="2CCB541C"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2.9 </w:t>
            </w:r>
          </w:p>
        </w:tc>
        <w:tc>
          <w:tcPr>
            <w:tcW w:w="938" w:type="dxa"/>
            <w:vAlign w:val="center"/>
          </w:tcPr>
          <w:p w14:paraId="0F667364"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0.04 </w:t>
            </w:r>
          </w:p>
        </w:tc>
        <w:tc>
          <w:tcPr>
            <w:tcW w:w="938" w:type="dxa"/>
            <w:gridSpan w:val="3"/>
            <w:vAlign w:val="center"/>
          </w:tcPr>
          <w:p w14:paraId="68658629"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0.7 </w:t>
            </w:r>
          </w:p>
        </w:tc>
        <w:tc>
          <w:tcPr>
            <w:tcW w:w="938" w:type="dxa"/>
            <w:vAlign w:val="center"/>
          </w:tcPr>
          <w:p w14:paraId="19D8D400"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0.8 </w:t>
            </w:r>
          </w:p>
        </w:tc>
        <w:tc>
          <w:tcPr>
            <w:tcW w:w="938" w:type="dxa"/>
            <w:gridSpan w:val="2"/>
            <w:vAlign w:val="center"/>
          </w:tcPr>
          <w:p w14:paraId="2E49B634"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2.0 </w:t>
            </w:r>
          </w:p>
        </w:tc>
      </w:tr>
      <w:tr w:rsidR="003E0F58" w:rsidRPr="007C705C" w14:paraId="1C7795E4" w14:textId="77777777" w:rsidTr="004D2249">
        <w:trPr>
          <w:gridAfter w:val="1"/>
          <w:wAfter w:w="7" w:type="dxa"/>
          <w:trHeight w:val="90"/>
        </w:trPr>
        <w:tc>
          <w:tcPr>
            <w:tcW w:w="1237" w:type="dxa"/>
          </w:tcPr>
          <w:p w14:paraId="0D83A586"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2000</w:t>
            </w:r>
          </w:p>
        </w:tc>
        <w:tc>
          <w:tcPr>
            <w:tcW w:w="635" w:type="dxa"/>
            <w:vAlign w:val="center"/>
          </w:tcPr>
          <w:p w14:paraId="0E71CD8A"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11.8 </w:t>
            </w:r>
          </w:p>
        </w:tc>
        <w:tc>
          <w:tcPr>
            <w:tcW w:w="938" w:type="dxa"/>
            <w:gridSpan w:val="3"/>
            <w:vAlign w:val="center"/>
          </w:tcPr>
          <w:p w14:paraId="3EE6E207"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4.1 </w:t>
            </w:r>
          </w:p>
        </w:tc>
        <w:tc>
          <w:tcPr>
            <w:tcW w:w="938" w:type="dxa"/>
            <w:vAlign w:val="center"/>
          </w:tcPr>
          <w:p w14:paraId="3A79F78B"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1.7 </w:t>
            </w:r>
          </w:p>
        </w:tc>
        <w:tc>
          <w:tcPr>
            <w:tcW w:w="938" w:type="dxa"/>
            <w:gridSpan w:val="3"/>
            <w:vAlign w:val="center"/>
          </w:tcPr>
          <w:p w14:paraId="741A5088"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0.02 </w:t>
            </w:r>
          </w:p>
        </w:tc>
        <w:tc>
          <w:tcPr>
            <w:tcW w:w="942" w:type="dxa"/>
            <w:vAlign w:val="center"/>
          </w:tcPr>
          <w:p w14:paraId="309064B9"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2.5 </w:t>
            </w:r>
          </w:p>
        </w:tc>
        <w:tc>
          <w:tcPr>
            <w:tcW w:w="938" w:type="dxa"/>
            <w:vAlign w:val="center"/>
          </w:tcPr>
          <w:p w14:paraId="2E74D5AA"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0.04 </w:t>
            </w:r>
          </w:p>
        </w:tc>
        <w:tc>
          <w:tcPr>
            <w:tcW w:w="938" w:type="dxa"/>
            <w:gridSpan w:val="3"/>
            <w:vAlign w:val="center"/>
          </w:tcPr>
          <w:p w14:paraId="5335A709"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0.6 </w:t>
            </w:r>
          </w:p>
        </w:tc>
        <w:tc>
          <w:tcPr>
            <w:tcW w:w="938" w:type="dxa"/>
            <w:vAlign w:val="center"/>
          </w:tcPr>
          <w:p w14:paraId="4C55DAA9"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0.8 </w:t>
            </w:r>
          </w:p>
        </w:tc>
        <w:tc>
          <w:tcPr>
            <w:tcW w:w="938" w:type="dxa"/>
            <w:gridSpan w:val="2"/>
            <w:vAlign w:val="center"/>
          </w:tcPr>
          <w:p w14:paraId="14B26FCC"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2.0 </w:t>
            </w:r>
          </w:p>
        </w:tc>
      </w:tr>
      <w:tr w:rsidR="003E0F58" w:rsidRPr="007C705C" w14:paraId="617DB97F" w14:textId="77777777" w:rsidTr="004D2249">
        <w:trPr>
          <w:gridAfter w:val="1"/>
          <w:wAfter w:w="7" w:type="dxa"/>
          <w:trHeight w:val="90"/>
        </w:trPr>
        <w:tc>
          <w:tcPr>
            <w:tcW w:w="1237" w:type="dxa"/>
          </w:tcPr>
          <w:p w14:paraId="32BE08D2"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2005</w:t>
            </w:r>
          </w:p>
        </w:tc>
        <w:tc>
          <w:tcPr>
            <w:tcW w:w="635" w:type="dxa"/>
            <w:vAlign w:val="center"/>
          </w:tcPr>
          <w:p w14:paraId="3F653495"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11.9 </w:t>
            </w:r>
          </w:p>
        </w:tc>
        <w:tc>
          <w:tcPr>
            <w:tcW w:w="938" w:type="dxa"/>
            <w:gridSpan w:val="3"/>
            <w:vAlign w:val="center"/>
          </w:tcPr>
          <w:p w14:paraId="289F1F3B"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4.6 </w:t>
            </w:r>
          </w:p>
        </w:tc>
        <w:tc>
          <w:tcPr>
            <w:tcW w:w="938" w:type="dxa"/>
            <w:vAlign w:val="center"/>
          </w:tcPr>
          <w:p w14:paraId="7B7DF1DF"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1.5 </w:t>
            </w:r>
          </w:p>
        </w:tc>
        <w:tc>
          <w:tcPr>
            <w:tcW w:w="938" w:type="dxa"/>
            <w:gridSpan w:val="3"/>
            <w:vAlign w:val="center"/>
          </w:tcPr>
          <w:p w14:paraId="29B4F73E"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0.02 </w:t>
            </w:r>
          </w:p>
        </w:tc>
        <w:tc>
          <w:tcPr>
            <w:tcW w:w="942" w:type="dxa"/>
            <w:vAlign w:val="center"/>
          </w:tcPr>
          <w:p w14:paraId="1E7DC97C"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2.3 </w:t>
            </w:r>
          </w:p>
        </w:tc>
        <w:tc>
          <w:tcPr>
            <w:tcW w:w="938" w:type="dxa"/>
            <w:vAlign w:val="center"/>
          </w:tcPr>
          <w:p w14:paraId="5AA76A38"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0.04 </w:t>
            </w:r>
          </w:p>
        </w:tc>
        <w:tc>
          <w:tcPr>
            <w:tcW w:w="938" w:type="dxa"/>
            <w:gridSpan w:val="3"/>
            <w:vAlign w:val="center"/>
          </w:tcPr>
          <w:p w14:paraId="63A2CDD1"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0.6 </w:t>
            </w:r>
          </w:p>
        </w:tc>
        <w:tc>
          <w:tcPr>
            <w:tcW w:w="938" w:type="dxa"/>
            <w:vAlign w:val="center"/>
          </w:tcPr>
          <w:p w14:paraId="77BEC535"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0.8 </w:t>
            </w:r>
          </w:p>
        </w:tc>
        <w:tc>
          <w:tcPr>
            <w:tcW w:w="938" w:type="dxa"/>
            <w:gridSpan w:val="2"/>
            <w:vAlign w:val="center"/>
          </w:tcPr>
          <w:p w14:paraId="6CA06CE0"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2.0 </w:t>
            </w:r>
          </w:p>
        </w:tc>
      </w:tr>
      <w:tr w:rsidR="003E0F58" w:rsidRPr="007C705C" w14:paraId="68397DB8" w14:textId="77777777" w:rsidTr="004D2249">
        <w:trPr>
          <w:gridAfter w:val="1"/>
          <w:wAfter w:w="7" w:type="dxa"/>
          <w:trHeight w:val="90"/>
        </w:trPr>
        <w:tc>
          <w:tcPr>
            <w:tcW w:w="1237" w:type="dxa"/>
          </w:tcPr>
          <w:p w14:paraId="2F421B2C"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2010</w:t>
            </w:r>
          </w:p>
        </w:tc>
        <w:tc>
          <w:tcPr>
            <w:tcW w:w="635" w:type="dxa"/>
            <w:vAlign w:val="center"/>
          </w:tcPr>
          <w:p w14:paraId="16193F41"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10.9 </w:t>
            </w:r>
          </w:p>
        </w:tc>
        <w:tc>
          <w:tcPr>
            <w:tcW w:w="938" w:type="dxa"/>
            <w:gridSpan w:val="3"/>
            <w:vAlign w:val="center"/>
          </w:tcPr>
          <w:p w14:paraId="619C530A"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4.2 </w:t>
            </w:r>
          </w:p>
        </w:tc>
        <w:tc>
          <w:tcPr>
            <w:tcW w:w="938" w:type="dxa"/>
            <w:vAlign w:val="center"/>
          </w:tcPr>
          <w:p w14:paraId="452A89D6"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1.3 </w:t>
            </w:r>
          </w:p>
        </w:tc>
        <w:tc>
          <w:tcPr>
            <w:tcW w:w="938" w:type="dxa"/>
            <w:gridSpan w:val="3"/>
            <w:vAlign w:val="center"/>
          </w:tcPr>
          <w:p w14:paraId="0BF6C377"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0.04 </w:t>
            </w:r>
          </w:p>
        </w:tc>
        <w:tc>
          <w:tcPr>
            <w:tcW w:w="942" w:type="dxa"/>
            <w:vAlign w:val="center"/>
          </w:tcPr>
          <w:p w14:paraId="14B57537"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2.0 </w:t>
            </w:r>
          </w:p>
        </w:tc>
        <w:tc>
          <w:tcPr>
            <w:tcW w:w="938" w:type="dxa"/>
            <w:vAlign w:val="center"/>
          </w:tcPr>
          <w:p w14:paraId="105E6F50"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0.04 </w:t>
            </w:r>
          </w:p>
        </w:tc>
        <w:tc>
          <w:tcPr>
            <w:tcW w:w="938" w:type="dxa"/>
            <w:gridSpan w:val="3"/>
            <w:vAlign w:val="center"/>
          </w:tcPr>
          <w:p w14:paraId="11E1099C"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0.7 </w:t>
            </w:r>
          </w:p>
        </w:tc>
        <w:tc>
          <w:tcPr>
            <w:tcW w:w="938" w:type="dxa"/>
            <w:vAlign w:val="center"/>
          </w:tcPr>
          <w:p w14:paraId="013A6C55"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0.8 </w:t>
            </w:r>
          </w:p>
        </w:tc>
        <w:tc>
          <w:tcPr>
            <w:tcW w:w="938" w:type="dxa"/>
            <w:gridSpan w:val="2"/>
            <w:vAlign w:val="center"/>
          </w:tcPr>
          <w:p w14:paraId="395AB75F"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1.8 </w:t>
            </w:r>
          </w:p>
        </w:tc>
      </w:tr>
      <w:tr w:rsidR="003E0F58" w:rsidRPr="007C705C" w14:paraId="57AE0D42" w14:textId="77777777" w:rsidTr="004D2249">
        <w:trPr>
          <w:gridAfter w:val="1"/>
          <w:wAfter w:w="7" w:type="dxa"/>
          <w:trHeight w:val="90"/>
        </w:trPr>
        <w:tc>
          <w:tcPr>
            <w:tcW w:w="1237" w:type="dxa"/>
          </w:tcPr>
          <w:p w14:paraId="0098E8B8"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2015</w:t>
            </w:r>
          </w:p>
        </w:tc>
        <w:tc>
          <w:tcPr>
            <w:tcW w:w="635" w:type="dxa"/>
            <w:vAlign w:val="center"/>
          </w:tcPr>
          <w:p w14:paraId="05248B67"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13.8 </w:t>
            </w:r>
          </w:p>
        </w:tc>
        <w:tc>
          <w:tcPr>
            <w:tcW w:w="938" w:type="dxa"/>
            <w:gridSpan w:val="3"/>
            <w:vAlign w:val="center"/>
          </w:tcPr>
          <w:p w14:paraId="66049681"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6.2 </w:t>
            </w:r>
          </w:p>
        </w:tc>
        <w:tc>
          <w:tcPr>
            <w:tcW w:w="938" w:type="dxa"/>
            <w:vAlign w:val="center"/>
          </w:tcPr>
          <w:p w14:paraId="590EBF04"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1.3 </w:t>
            </w:r>
          </w:p>
        </w:tc>
        <w:tc>
          <w:tcPr>
            <w:tcW w:w="938" w:type="dxa"/>
            <w:gridSpan w:val="3"/>
            <w:vAlign w:val="center"/>
          </w:tcPr>
          <w:p w14:paraId="25C2E97A"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0.04 </w:t>
            </w:r>
          </w:p>
        </w:tc>
        <w:tc>
          <w:tcPr>
            <w:tcW w:w="942" w:type="dxa"/>
            <w:vAlign w:val="center"/>
          </w:tcPr>
          <w:p w14:paraId="4183ABD0"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2.3 </w:t>
            </w:r>
          </w:p>
        </w:tc>
        <w:tc>
          <w:tcPr>
            <w:tcW w:w="938" w:type="dxa"/>
            <w:vAlign w:val="center"/>
          </w:tcPr>
          <w:p w14:paraId="736310C4"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0.03 </w:t>
            </w:r>
          </w:p>
        </w:tc>
        <w:tc>
          <w:tcPr>
            <w:tcW w:w="938" w:type="dxa"/>
            <w:gridSpan w:val="3"/>
            <w:vAlign w:val="center"/>
          </w:tcPr>
          <w:p w14:paraId="3A8736F9"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0.7 </w:t>
            </w:r>
          </w:p>
        </w:tc>
        <w:tc>
          <w:tcPr>
            <w:tcW w:w="938" w:type="dxa"/>
            <w:vAlign w:val="center"/>
          </w:tcPr>
          <w:p w14:paraId="7054CD63"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1.0 </w:t>
            </w:r>
          </w:p>
        </w:tc>
        <w:tc>
          <w:tcPr>
            <w:tcW w:w="938" w:type="dxa"/>
            <w:gridSpan w:val="2"/>
            <w:vAlign w:val="center"/>
          </w:tcPr>
          <w:p w14:paraId="0058547E"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2.6 </w:t>
            </w:r>
          </w:p>
        </w:tc>
      </w:tr>
      <w:tr w:rsidR="003E0F58" w:rsidRPr="007C705C" w14:paraId="1ECEC21E" w14:textId="77777777" w:rsidTr="004D2249">
        <w:trPr>
          <w:gridAfter w:val="1"/>
          <w:wAfter w:w="7" w:type="dxa"/>
          <w:trHeight w:val="90"/>
        </w:trPr>
        <w:tc>
          <w:tcPr>
            <w:tcW w:w="1237" w:type="dxa"/>
          </w:tcPr>
          <w:p w14:paraId="4B3F929D"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2016</w:t>
            </w:r>
          </w:p>
        </w:tc>
        <w:tc>
          <w:tcPr>
            <w:tcW w:w="635" w:type="dxa"/>
            <w:vAlign w:val="center"/>
          </w:tcPr>
          <w:p w14:paraId="60E88001"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15.3 </w:t>
            </w:r>
          </w:p>
        </w:tc>
        <w:tc>
          <w:tcPr>
            <w:tcW w:w="938" w:type="dxa"/>
            <w:gridSpan w:val="3"/>
            <w:vAlign w:val="center"/>
          </w:tcPr>
          <w:p w14:paraId="52838093"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6.4 </w:t>
            </w:r>
          </w:p>
        </w:tc>
        <w:tc>
          <w:tcPr>
            <w:tcW w:w="938" w:type="dxa"/>
            <w:vAlign w:val="center"/>
          </w:tcPr>
          <w:p w14:paraId="19E87BEB"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1.9* </w:t>
            </w:r>
          </w:p>
        </w:tc>
        <w:tc>
          <w:tcPr>
            <w:tcW w:w="938" w:type="dxa"/>
            <w:gridSpan w:val="3"/>
            <w:vAlign w:val="center"/>
          </w:tcPr>
          <w:p w14:paraId="06E6AB29"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0.04 </w:t>
            </w:r>
          </w:p>
        </w:tc>
        <w:tc>
          <w:tcPr>
            <w:tcW w:w="942" w:type="dxa"/>
            <w:vAlign w:val="center"/>
          </w:tcPr>
          <w:p w14:paraId="5A40EDA1"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2.6 </w:t>
            </w:r>
          </w:p>
        </w:tc>
        <w:tc>
          <w:tcPr>
            <w:tcW w:w="938" w:type="dxa"/>
            <w:vAlign w:val="center"/>
          </w:tcPr>
          <w:p w14:paraId="07E91A00"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0.03 </w:t>
            </w:r>
          </w:p>
        </w:tc>
        <w:tc>
          <w:tcPr>
            <w:tcW w:w="938" w:type="dxa"/>
            <w:gridSpan w:val="3"/>
            <w:vAlign w:val="center"/>
          </w:tcPr>
          <w:p w14:paraId="149723AE"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0.7 </w:t>
            </w:r>
          </w:p>
        </w:tc>
        <w:tc>
          <w:tcPr>
            <w:tcW w:w="938" w:type="dxa"/>
            <w:vAlign w:val="center"/>
          </w:tcPr>
          <w:p w14:paraId="05408E1A"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1.1 </w:t>
            </w:r>
          </w:p>
        </w:tc>
        <w:tc>
          <w:tcPr>
            <w:tcW w:w="938" w:type="dxa"/>
            <w:gridSpan w:val="2"/>
            <w:vAlign w:val="center"/>
          </w:tcPr>
          <w:p w14:paraId="18981E4A"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2.6 </w:t>
            </w:r>
          </w:p>
        </w:tc>
      </w:tr>
      <w:tr w:rsidR="003E0F58" w:rsidRPr="007C705C" w14:paraId="19A2FB6B" w14:textId="77777777" w:rsidTr="004D2249">
        <w:trPr>
          <w:gridAfter w:val="1"/>
          <w:wAfter w:w="7" w:type="dxa"/>
          <w:trHeight w:val="90"/>
        </w:trPr>
        <w:tc>
          <w:tcPr>
            <w:tcW w:w="1237" w:type="dxa"/>
          </w:tcPr>
          <w:p w14:paraId="7CF9CC71"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2017</w:t>
            </w:r>
          </w:p>
        </w:tc>
        <w:tc>
          <w:tcPr>
            <w:tcW w:w="635" w:type="dxa"/>
            <w:vAlign w:val="center"/>
          </w:tcPr>
          <w:p w14:paraId="1624F933"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15.4 </w:t>
            </w:r>
          </w:p>
        </w:tc>
        <w:tc>
          <w:tcPr>
            <w:tcW w:w="938" w:type="dxa"/>
            <w:gridSpan w:val="3"/>
            <w:vAlign w:val="center"/>
          </w:tcPr>
          <w:p w14:paraId="2378CD9B"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6.2 </w:t>
            </w:r>
          </w:p>
        </w:tc>
        <w:tc>
          <w:tcPr>
            <w:tcW w:w="938" w:type="dxa"/>
            <w:vAlign w:val="center"/>
          </w:tcPr>
          <w:p w14:paraId="6C747000"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1.9* </w:t>
            </w:r>
          </w:p>
        </w:tc>
        <w:tc>
          <w:tcPr>
            <w:tcW w:w="938" w:type="dxa"/>
            <w:gridSpan w:val="3"/>
            <w:vAlign w:val="center"/>
          </w:tcPr>
          <w:p w14:paraId="49F98EC9"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0.04 </w:t>
            </w:r>
          </w:p>
        </w:tc>
        <w:tc>
          <w:tcPr>
            <w:tcW w:w="942" w:type="dxa"/>
            <w:vAlign w:val="center"/>
          </w:tcPr>
          <w:p w14:paraId="05E78652"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2.8 </w:t>
            </w:r>
          </w:p>
        </w:tc>
        <w:tc>
          <w:tcPr>
            <w:tcW w:w="938" w:type="dxa"/>
            <w:vAlign w:val="center"/>
          </w:tcPr>
          <w:p w14:paraId="1E18AE57"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0.03 </w:t>
            </w:r>
          </w:p>
        </w:tc>
        <w:tc>
          <w:tcPr>
            <w:tcW w:w="938" w:type="dxa"/>
            <w:gridSpan w:val="3"/>
            <w:vAlign w:val="center"/>
          </w:tcPr>
          <w:p w14:paraId="33E4FC13"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0.7 </w:t>
            </w:r>
          </w:p>
        </w:tc>
        <w:tc>
          <w:tcPr>
            <w:tcW w:w="938" w:type="dxa"/>
            <w:vAlign w:val="center"/>
          </w:tcPr>
          <w:p w14:paraId="72A72EC7"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1.1 </w:t>
            </w:r>
          </w:p>
        </w:tc>
        <w:tc>
          <w:tcPr>
            <w:tcW w:w="938" w:type="dxa"/>
            <w:gridSpan w:val="2"/>
            <w:vAlign w:val="center"/>
          </w:tcPr>
          <w:p w14:paraId="12BA8C3F"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2.6 </w:t>
            </w:r>
          </w:p>
        </w:tc>
      </w:tr>
      <w:tr w:rsidR="003E0F58" w:rsidRPr="007C705C" w14:paraId="75981D5F" w14:textId="77777777" w:rsidTr="004D2249">
        <w:trPr>
          <w:gridAfter w:val="1"/>
          <w:wAfter w:w="7" w:type="dxa"/>
          <w:trHeight w:val="90"/>
        </w:trPr>
        <w:tc>
          <w:tcPr>
            <w:tcW w:w="1237" w:type="dxa"/>
          </w:tcPr>
          <w:p w14:paraId="1C9409FF"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2018</w:t>
            </w:r>
          </w:p>
        </w:tc>
        <w:tc>
          <w:tcPr>
            <w:tcW w:w="635" w:type="dxa"/>
            <w:vAlign w:val="center"/>
          </w:tcPr>
          <w:p w14:paraId="7650321B"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14.2 </w:t>
            </w:r>
          </w:p>
        </w:tc>
        <w:tc>
          <w:tcPr>
            <w:tcW w:w="938" w:type="dxa"/>
            <w:gridSpan w:val="3"/>
            <w:vAlign w:val="center"/>
          </w:tcPr>
          <w:p w14:paraId="7D9F3808"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5.5 </w:t>
            </w:r>
          </w:p>
        </w:tc>
        <w:tc>
          <w:tcPr>
            <w:tcW w:w="938" w:type="dxa"/>
            <w:vAlign w:val="center"/>
          </w:tcPr>
          <w:p w14:paraId="60357F6B"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2.0* </w:t>
            </w:r>
          </w:p>
        </w:tc>
        <w:tc>
          <w:tcPr>
            <w:tcW w:w="938" w:type="dxa"/>
            <w:gridSpan w:val="3"/>
            <w:vAlign w:val="center"/>
          </w:tcPr>
          <w:p w14:paraId="7F661717"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0.05 </w:t>
            </w:r>
          </w:p>
        </w:tc>
        <w:tc>
          <w:tcPr>
            <w:tcW w:w="942" w:type="dxa"/>
            <w:vAlign w:val="center"/>
          </w:tcPr>
          <w:p w14:paraId="0A90CACA"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2.5 </w:t>
            </w:r>
          </w:p>
        </w:tc>
        <w:tc>
          <w:tcPr>
            <w:tcW w:w="938" w:type="dxa"/>
            <w:vAlign w:val="center"/>
          </w:tcPr>
          <w:p w14:paraId="6FC05D8E"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0.02 </w:t>
            </w:r>
          </w:p>
        </w:tc>
        <w:tc>
          <w:tcPr>
            <w:tcW w:w="938" w:type="dxa"/>
            <w:gridSpan w:val="3"/>
            <w:vAlign w:val="center"/>
          </w:tcPr>
          <w:p w14:paraId="41D1F6F0"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0.7 </w:t>
            </w:r>
          </w:p>
        </w:tc>
        <w:tc>
          <w:tcPr>
            <w:tcW w:w="938" w:type="dxa"/>
            <w:vAlign w:val="center"/>
          </w:tcPr>
          <w:p w14:paraId="2EFB33D3"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1.0 </w:t>
            </w:r>
          </w:p>
        </w:tc>
        <w:tc>
          <w:tcPr>
            <w:tcW w:w="938" w:type="dxa"/>
            <w:gridSpan w:val="2"/>
            <w:vAlign w:val="center"/>
          </w:tcPr>
          <w:p w14:paraId="75FFE8EF" w14:textId="77777777" w:rsidR="003E0F58" w:rsidRPr="007C705C" w:rsidRDefault="003E0F58" w:rsidP="004D2249">
            <w:pPr>
              <w:autoSpaceDE w:val="0"/>
              <w:autoSpaceDN w:val="0"/>
              <w:adjustRightInd w:val="0"/>
              <w:jc w:val="right"/>
              <w:rPr>
                <w:rFonts w:cs="Times New Roman"/>
                <w:color w:val="000000"/>
                <w:sz w:val="18"/>
                <w:szCs w:val="18"/>
                <w:lang w:val="cs-CZ"/>
              </w:rPr>
            </w:pPr>
            <w:r w:rsidRPr="007C705C">
              <w:rPr>
                <w:rFonts w:cs="Times New Roman"/>
                <w:color w:val="000000"/>
                <w:sz w:val="18"/>
                <w:szCs w:val="18"/>
                <w:lang w:val="cs-CZ"/>
              </w:rPr>
              <w:t xml:space="preserve">2.4 </w:t>
            </w:r>
          </w:p>
        </w:tc>
      </w:tr>
    </w:tbl>
    <w:p w14:paraId="67ABABC9" w14:textId="77777777" w:rsidR="003E0F58" w:rsidRPr="007C705C" w:rsidRDefault="003E0F58" w:rsidP="007C705C">
      <w:pPr>
        <w:pStyle w:val="UZEIZdroj"/>
      </w:pPr>
      <w:r w:rsidRPr="007C705C">
        <w:t>* Animal Manure + Digestate are sources of emissions</w:t>
      </w:r>
    </w:p>
    <w:p w14:paraId="3892D5EB" w14:textId="1F177799" w:rsidR="007C705C" w:rsidRPr="007C705C" w:rsidRDefault="003E0F58" w:rsidP="007C705C">
      <w:pPr>
        <w:pStyle w:val="UZEIZdroj"/>
      </w:pPr>
      <w:r w:rsidRPr="007C705C">
        <w:t>Zdroj: NIR ČR 2020 (ČHMÚ)</w:t>
      </w:r>
    </w:p>
    <w:p w14:paraId="56AB9494" w14:textId="2506B2AC" w:rsidR="003E0F58" w:rsidRPr="007C705C" w:rsidRDefault="003E0F58" w:rsidP="007C705C">
      <w:pPr>
        <w:pStyle w:val="Odstavecseseznamem"/>
        <w:ind w:left="0"/>
        <w:rPr>
          <w:rFonts w:eastAsiaTheme="minorEastAsia"/>
          <w:b/>
          <w:bCs/>
        </w:rPr>
      </w:pPr>
      <w:r w:rsidRPr="007C705C">
        <w:rPr>
          <w:rFonts w:eastAsiaTheme="minorEastAsia"/>
          <w:b/>
          <w:bCs/>
        </w:rPr>
        <w:t>Emise GHG z lesnictví (LULUCF) – detailní rozbor</w:t>
      </w:r>
      <w:bookmarkStart w:id="166" w:name="_Ref74661815"/>
    </w:p>
    <w:p w14:paraId="0F6FE72F" w14:textId="53C70173" w:rsidR="003E0F58" w:rsidRPr="002E0181" w:rsidRDefault="007C705C" w:rsidP="002E0181">
      <w:pPr>
        <w:pStyle w:val="UZEITaB"/>
      </w:pPr>
      <w:bookmarkStart w:id="167" w:name="_Toc77245805"/>
      <w:r w:rsidRPr="002E0181">
        <w:t xml:space="preserve"> </w:t>
      </w:r>
      <w:bookmarkStart w:id="168" w:name="_Ref81228106"/>
      <w:bookmarkStart w:id="169" w:name="_Toc94181562"/>
      <w:r w:rsidR="003E0F58" w:rsidRPr="002E0181">
        <w:t>Přehled výměr jednotlivých kultur</w:t>
      </w:r>
      <w:bookmarkEnd w:id="167"/>
      <w:bookmarkEnd w:id="168"/>
      <w:bookmarkEnd w:id="169"/>
    </w:p>
    <w:tbl>
      <w:tblPr>
        <w:tblW w:w="5040" w:type="dxa"/>
        <w:tblInd w:w="-1" w:type="dxa"/>
        <w:tblCellMar>
          <w:left w:w="0" w:type="dxa"/>
          <w:right w:w="0" w:type="dxa"/>
        </w:tblCellMar>
        <w:tblLook w:val="04A0" w:firstRow="1" w:lastRow="0" w:firstColumn="1" w:lastColumn="0" w:noHBand="0" w:noVBand="1"/>
      </w:tblPr>
      <w:tblGrid>
        <w:gridCol w:w="2840"/>
        <w:gridCol w:w="1240"/>
        <w:gridCol w:w="960"/>
      </w:tblGrid>
      <w:tr w:rsidR="003E0F58" w:rsidRPr="00B644A3" w14:paraId="7A1EAB5A" w14:textId="77777777" w:rsidTr="004D2249">
        <w:trPr>
          <w:trHeight w:val="864"/>
        </w:trPr>
        <w:tc>
          <w:tcPr>
            <w:tcW w:w="2840" w:type="dxa"/>
            <w:tcBorders>
              <w:top w:val="single" w:sz="8" w:space="0" w:color="auto"/>
              <w:left w:val="single" w:sz="8" w:space="0" w:color="auto"/>
              <w:bottom w:val="single" w:sz="8" w:space="0" w:color="auto"/>
              <w:right w:val="single" w:sz="8" w:space="0" w:color="auto"/>
            </w:tcBorders>
            <w:shd w:val="clear" w:color="auto" w:fill="C0C0C0"/>
            <w:noWrap/>
            <w:tcMar>
              <w:top w:w="0" w:type="dxa"/>
              <w:left w:w="70" w:type="dxa"/>
              <w:bottom w:w="0" w:type="dxa"/>
              <w:right w:w="70" w:type="dxa"/>
            </w:tcMar>
            <w:vAlign w:val="center"/>
            <w:hideMark/>
          </w:tcPr>
          <w:p w14:paraId="5304B264" w14:textId="77777777" w:rsidR="003E0F58" w:rsidRPr="00B644A3" w:rsidRDefault="003E0F58" w:rsidP="004D2249">
            <w:pPr>
              <w:jc w:val="center"/>
              <w:rPr>
                <w:rFonts w:eastAsia="Calibri" w:cs="Times New Roman"/>
                <w:color w:val="000000"/>
                <w:sz w:val="20"/>
                <w:szCs w:val="20"/>
                <w:lang w:val="cs-CZ"/>
              </w:rPr>
            </w:pPr>
            <w:r w:rsidRPr="00B644A3">
              <w:rPr>
                <w:rFonts w:eastAsia="Calibri" w:cs="Times New Roman"/>
                <w:color w:val="000000"/>
                <w:sz w:val="20"/>
                <w:szCs w:val="20"/>
                <w:lang w:val="cs-CZ"/>
              </w:rPr>
              <w:t>Typ kultury</w:t>
            </w:r>
          </w:p>
        </w:tc>
        <w:tc>
          <w:tcPr>
            <w:tcW w:w="1240" w:type="dxa"/>
            <w:tcBorders>
              <w:top w:val="single" w:sz="8" w:space="0" w:color="auto"/>
              <w:left w:val="nil"/>
              <w:bottom w:val="single" w:sz="8" w:space="0" w:color="auto"/>
              <w:right w:val="single" w:sz="8" w:space="0" w:color="auto"/>
            </w:tcBorders>
            <w:shd w:val="clear" w:color="auto" w:fill="C0C0C0"/>
            <w:noWrap/>
            <w:tcMar>
              <w:top w:w="0" w:type="dxa"/>
              <w:left w:w="70" w:type="dxa"/>
              <w:bottom w:w="0" w:type="dxa"/>
              <w:right w:w="70" w:type="dxa"/>
            </w:tcMar>
            <w:vAlign w:val="center"/>
            <w:hideMark/>
          </w:tcPr>
          <w:p w14:paraId="763C88A2" w14:textId="77777777" w:rsidR="003E0F58" w:rsidRPr="00B644A3" w:rsidRDefault="003E0F58" w:rsidP="004D2249">
            <w:pPr>
              <w:jc w:val="center"/>
              <w:rPr>
                <w:rFonts w:eastAsia="Calibri" w:cs="Times New Roman"/>
                <w:color w:val="000000"/>
                <w:sz w:val="20"/>
                <w:szCs w:val="20"/>
                <w:lang w:val="cs-CZ"/>
              </w:rPr>
            </w:pPr>
            <w:r w:rsidRPr="00B644A3">
              <w:rPr>
                <w:rFonts w:eastAsia="Calibri" w:cs="Times New Roman"/>
                <w:color w:val="000000"/>
                <w:sz w:val="20"/>
                <w:szCs w:val="20"/>
                <w:lang w:val="cs-CZ"/>
              </w:rPr>
              <w:t>Výměra (ha)</w:t>
            </w:r>
          </w:p>
        </w:tc>
        <w:tc>
          <w:tcPr>
            <w:tcW w:w="960" w:type="dxa"/>
            <w:tcBorders>
              <w:top w:val="single" w:sz="8" w:space="0" w:color="auto"/>
              <w:left w:val="nil"/>
              <w:bottom w:val="single" w:sz="8" w:space="0" w:color="auto"/>
              <w:right w:val="single" w:sz="8" w:space="0" w:color="auto"/>
            </w:tcBorders>
            <w:shd w:val="clear" w:color="auto" w:fill="C0C0C0"/>
            <w:tcMar>
              <w:top w:w="0" w:type="dxa"/>
              <w:left w:w="70" w:type="dxa"/>
              <w:bottom w:w="0" w:type="dxa"/>
              <w:right w:w="70" w:type="dxa"/>
            </w:tcMar>
            <w:vAlign w:val="center"/>
            <w:hideMark/>
          </w:tcPr>
          <w:p w14:paraId="0B5294AF" w14:textId="77777777" w:rsidR="003E0F58" w:rsidRPr="00B644A3" w:rsidRDefault="003E0F58" w:rsidP="004D2249">
            <w:pPr>
              <w:jc w:val="center"/>
              <w:rPr>
                <w:rFonts w:eastAsia="Calibri" w:cs="Times New Roman"/>
                <w:color w:val="000000"/>
                <w:sz w:val="20"/>
                <w:szCs w:val="20"/>
                <w:lang w:val="cs-CZ"/>
              </w:rPr>
            </w:pPr>
            <w:r w:rsidRPr="00B644A3">
              <w:rPr>
                <w:rFonts w:eastAsia="Calibri" w:cs="Times New Roman"/>
                <w:color w:val="000000"/>
                <w:sz w:val="20"/>
                <w:szCs w:val="20"/>
                <w:lang w:val="cs-CZ"/>
              </w:rPr>
              <w:t>Podíl výměr (%)</w:t>
            </w:r>
          </w:p>
        </w:tc>
      </w:tr>
      <w:tr w:rsidR="003E0F58" w:rsidRPr="00B644A3" w14:paraId="718BF932" w14:textId="77777777" w:rsidTr="004D2249">
        <w:trPr>
          <w:trHeight w:val="288"/>
        </w:trPr>
        <w:tc>
          <w:tcPr>
            <w:tcW w:w="2840" w:type="dxa"/>
            <w:tcBorders>
              <w:top w:val="nil"/>
              <w:left w:val="single" w:sz="8" w:space="0" w:color="auto"/>
              <w:bottom w:val="single" w:sz="8" w:space="0" w:color="auto"/>
              <w:right w:val="single" w:sz="8" w:space="0" w:color="auto"/>
            </w:tcBorders>
            <w:tcMar>
              <w:top w:w="0" w:type="dxa"/>
              <w:left w:w="70" w:type="dxa"/>
              <w:bottom w:w="0" w:type="dxa"/>
              <w:right w:w="70" w:type="dxa"/>
            </w:tcMar>
            <w:vAlign w:val="bottom"/>
            <w:hideMark/>
          </w:tcPr>
          <w:p w14:paraId="05A09B3A" w14:textId="77777777" w:rsidR="003E0F58" w:rsidRPr="00B644A3" w:rsidRDefault="003E0F58" w:rsidP="004D2249">
            <w:pPr>
              <w:jc w:val="left"/>
              <w:rPr>
                <w:rFonts w:eastAsia="Calibri" w:cs="Times New Roman"/>
                <w:color w:val="000000"/>
                <w:sz w:val="20"/>
                <w:szCs w:val="20"/>
                <w:lang w:val="cs-CZ"/>
              </w:rPr>
            </w:pPr>
            <w:r w:rsidRPr="00B644A3">
              <w:rPr>
                <w:rFonts w:eastAsia="Calibri" w:cs="Times New Roman"/>
                <w:color w:val="000000"/>
                <w:sz w:val="20"/>
                <w:szCs w:val="20"/>
                <w:lang w:val="cs-CZ"/>
              </w:rPr>
              <w:t>standardní orná půda</w:t>
            </w:r>
          </w:p>
        </w:tc>
        <w:tc>
          <w:tcPr>
            <w:tcW w:w="1240" w:type="dxa"/>
            <w:tcBorders>
              <w:top w:val="nil"/>
              <w:left w:val="nil"/>
              <w:bottom w:val="single" w:sz="8" w:space="0" w:color="auto"/>
              <w:right w:val="single" w:sz="8" w:space="0" w:color="auto"/>
            </w:tcBorders>
            <w:tcMar>
              <w:top w:w="0" w:type="dxa"/>
              <w:left w:w="70" w:type="dxa"/>
              <w:bottom w:w="0" w:type="dxa"/>
              <w:right w:w="70" w:type="dxa"/>
            </w:tcMar>
            <w:vAlign w:val="bottom"/>
            <w:hideMark/>
          </w:tcPr>
          <w:p w14:paraId="7D6FB989" w14:textId="77777777" w:rsidR="003E0F58" w:rsidRPr="00B644A3" w:rsidRDefault="003E0F58" w:rsidP="004D2249">
            <w:pPr>
              <w:jc w:val="right"/>
              <w:rPr>
                <w:rFonts w:eastAsia="Calibri" w:cs="Times New Roman"/>
                <w:color w:val="000000"/>
                <w:sz w:val="20"/>
                <w:szCs w:val="20"/>
                <w:lang w:val="cs-CZ"/>
              </w:rPr>
            </w:pPr>
            <w:r w:rsidRPr="00B644A3">
              <w:rPr>
                <w:rFonts w:eastAsia="Calibri" w:cs="Times New Roman"/>
                <w:color w:val="000000"/>
                <w:sz w:val="20"/>
                <w:szCs w:val="20"/>
                <w:lang w:val="cs-CZ"/>
              </w:rPr>
              <w:t>2 453 181</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22DC92F" w14:textId="77777777" w:rsidR="003E0F58" w:rsidRPr="00B644A3" w:rsidRDefault="003E0F58" w:rsidP="004D2249">
            <w:pPr>
              <w:jc w:val="right"/>
              <w:rPr>
                <w:rFonts w:eastAsia="Calibri" w:cs="Times New Roman"/>
                <w:color w:val="000000"/>
                <w:sz w:val="20"/>
                <w:szCs w:val="20"/>
                <w:lang w:val="cs-CZ"/>
              </w:rPr>
            </w:pPr>
            <w:r w:rsidRPr="00B644A3">
              <w:rPr>
                <w:rFonts w:eastAsia="Calibri" w:cs="Times New Roman"/>
                <w:color w:val="000000"/>
                <w:sz w:val="20"/>
                <w:szCs w:val="20"/>
                <w:lang w:val="cs-CZ"/>
              </w:rPr>
              <w:t>68,96</w:t>
            </w:r>
          </w:p>
        </w:tc>
      </w:tr>
      <w:tr w:rsidR="003E0F58" w:rsidRPr="00B644A3" w14:paraId="65A3DFCB" w14:textId="77777777" w:rsidTr="004D2249">
        <w:trPr>
          <w:trHeight w:val="288"/>
        </w:trPr>
        <w:tc>
          <w:tcPr>
            <w:tcW w:w="2840" w:type="dxa"/>
            <w:tcBorders>
              <w:top w:val="nil"/>
              <w:left w:val="single" w:sz="8" w:space="0" w:color="auto"/>
              <w:bottom w:val="single" w:sz="8" w:space="0" w:color="auto"/>
              <w:right w:val="single" w:sz="8" w:space="0" w:color="auto"/>
            </w:tcBorders>
            <w:tcMar>
              <w:top w:w="0" w:type="dxa"/>
              <w:left w:w="70" w:type="dxa"/>
              <w:bottom w:w="0" w:type="dxa"/>
              <w:right w:w="70" w:type="dxa"/>
            </w:tcMar>
            <w:vAlign w:val="bottom"/>
            <w:hideMark/>
          </w:tcPr>
          <w:p w14:paraId="21E3ED4D" w14:textId="77777777" w:rsidR="003E0F58" w:rsidRPr="00B644A3" w:rsidRDefault="003E0F58" w:rsidP="004D2249">
            <w:pPr>
              <w:jc w:val="left"/>
              <w:rPr>
                <w:rFonts w:eastAsia="Calibri" w:cs="Times New Roman"/>
                <w:color w:val="000000"/>
                <w:sz w:val="20"/>
                <w:szCs w:val="20"/>
                <w:lang w:val="cs-CZ"/>
              </w:rPr>
            </w:pPr>
            <w:r w:rsidRPr="00B644A3">
              <w:rPr>
                <w:rFonts w:eastAsia="Calibri" w:cs="Times New Roman"/>
                <w:color w:val="000000"/>
                <w:sz w:val="20"/>
                <w:szCs w:val="20"/>
                <w:lang w:val="cs-CZ"/>
              </w:rPr>
              <w:t>travní porost (na orné půdě)</w:t>
            </w:r>
          </w:p>
        </w:tc>
        <w:tc>
          <w:tcPr>
            <w:tcW w:w="1240" w:type="dxa"/>
            <w:tcBorders>
              <w:top w:val="nil"/>
              <w:left w:val="nil"/>
              <w:bottom w:val="single" w:sz="8" w:space="0" w:color="auto"/>
              <w:right w:val="single" w:sz="8" w:space="0" w:color="auto"/>
            </w:tcBorders>
            <w:tcMar>
              <w:top w:w="0" w:type="dxa"/>
              <w:left w:w="70" w:type="dxa"/>
              <w:bottom w:w="0" w:type="dxa"/>
              <w:right w:w="70" w:type="dxa"/>
            </w:tcMar>
            <w:vAlign w:val="bottom"/>
            <w:hideMark/>
          </w:tcPr>
          <w:p w14:paraId="40135972" w14:textId="77777777" w:rsidR="003E0F58" w:rsidRPr="00B644A3" w:rsidRDefault="003E0F58" w:rsidP="004D2249">
            <w:pPr>
              <w:jc w:val="right"/>
              <w:rPr>
                <w:rFonts w:eastAsia="Calibri" w:cs="Times New Roman"/>
                <w:color w:val="000000"/>
                <w:sz w:val="20"/>
                <w:szCs w:val="20"/>
                <w:lang w:val="cs-CZ"/>
              </w:rPr>
            </w:pPr>
            <w:r w:rsidRPr="00B644A3">
              <w:rPr>
                <w:rFonts w:eastAsia="Calibri" w:cs="Times New Roman"/>
                <w:color w:val="000000"/>
                <w:sz w:val="20"/>
                <w:szCs w:val="20"/>
                <w:lang w:val="cs-CZ"/>
              </w:rPr>
              <w:t>36 857</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15B4647" w14:textId="77777777" w:rsidR="003E0F58" w:rsidRPr="00B644A3" w:rsidRDefault="003E0F58" w:rsidP="004D2249">
            <w:pPr>
              <w:jc w:val="right"/>
              <w:rPr>
                <w:rFonts w:eastAsia="Calibri" w:cs="Times New Roman"/>
                <w:color w:val="000000"/>
                <w:sz w:val="20"/>
                <w:szCs w:val="20"/>
                <w:lang w:val="cs-CZ"/>
              </w:rPr>
            </w:pPr>
            <w:r w:rsidRPr="00B644A3">
              <w:rPr>
                <w:rFonts w:eastAsia="Calibri" w:cs="Times New Roman"/>
                <w:color w:val="000000"/>
                <w:sz w:val="20"/>
                <w:szCs w:val="20"/>
                <w:lang w:val="cs-CZ"/>
              </w:rPr>
              <w:t>1,04</w:t>
            </w:r>
          </w:p>
        </w:tc>
      </w:tr>
      <w:tr w:rsidR="003E0F58" w:rsidRPr="00B644A3" w14:paraId="6CF0EFA7" w14:textId="77777777" w:rsidTr="004D2249">
        <w:trPr>
          <w:trHeight w:val="288"/>
        </w:trPr>
        <w:tc>
          <w:tcPr>
            <w:tcW w:w="2840" w:type="dxa"/>
            <w:tcBorders>
              <w:top w:val="nil"/>
              <w:left w:val="single" w:sz="8" w:space="0" w:color="auto"/>
              <w:bottom w:val="single" w:sz="8" w:space="0" w:color="auto"/>
              <w:right w:val="single" w:sz="8" w:space="0" w:color="auto"/>
            </w:tcBorders>
            <w:tcMar>
              <w:top w:w="0" w:type="dxa"/>
              <w:left w:w="70" w:type="dxa"/>
              <w:bottom w:w="0" w:type="dxa"/>
              <w:right w:w="70" w:type="dxa"/>
            </w:tcMar>
            <w:vAlign w:val="bottom"/>
            <w:hideMark/>
          </w:tcPr>
          <w:p w14:paraId="5ACD4BF5" w14:textId="77777777" w:rsidR="003E0F58" w:rsidRPr="00B644A3" w:rsidRDefault="003E0F58" w:rsidP="004D2249">
            <w:pPr>
              <w:jc w:val="left"/>
              <w:rPr>
                <w:rFonts w:eastAsia="Calibri" w:cs="Times New Roman"/>
                <w:color w:val="000000"/>
                <w:sz w:val="20"/>
                <w:szCs w:val="20"/>
                <w:lang w:val="cs-CZ"/>
              </w:rPr>
            </w:pPr>
            <w:r w:rsidRPr="00B644A3">
              <w:rPr>
                <w:rFonts w:eastAsia="Calibri" w:cs="Times New Roman"/>
                <w:color w:val="000000"/>
                <w:sz w:val="20"/>
                <w:szCs w:val="20"/>
                <w:lang w:val="cs-CZ"/>
              </w:rPr>
              <w:t>úhor</w:t>
            </w:r>
          </w:p>
        </w:tc>
        <w:tc>
          <w:tcPr>
            <w:tcW w:w="1240" w:type="dxa"/>
            <w:tcBorders>
              <w:top w:val="nil"/>
              <w:left w:val="nil"/>
              <w:bottom w:val="single" w:sz="8" w:space="0" w:color="auto"/>
              <w:right w:val="single" w:sz="8" w:space="0" w:color="auto"/>
            </w:tcBorders>
            <w:tcMar>
              <w:top w:w="0" w:type="dxa"/>
              <w:left w:w="70" w:type="dxa"/>
              <w:bottom w:w="0" w:type="dxa"/>
              <w:right w:w="70" w:type="dxa"/>
            </w:tcMar>
            <w:vAlign w:val="bottom"/>
            <w:hideMark/>
          </w:tcPr>
          <w:p w14:paraId="10E7CE59" w14:textId="77777777" w:rsidR="003E0F58" w:rsidRPr="00B644A3" w:rsidRDefault="003E0F58" w:rsidP="004D2249">
            <w:pPr>
              <w:jc w:val="right"/>
              <w:rPr>
                <w:rFonts w:eastAsia="Calibri" w:cs="Times New Roman"/>
                <w:color w:val="000000"/>
                <w:sz w:val="20"/>
                <w:szCs w:val="20"/>
                <w:lang w:val="cs-CZ"/>
              </w:rPr>
            </w:pPr>
            <w:r w:rsidRPr="00B644A3">
              <w:rPr>
                <w:rFonts w:eastAsia="Calibri" w:cs="Times New Roman"/>
                <w:color w:val="000000"/>
                <w:sz w:val="20"/>
                <w:szCs w:val="20"/>
                <w:lang w:val="cs-CZ"/>
              </w:rPr>
              <w:t>9 051</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7E3E5BB" w14:textId="77777777" w:rsidR="003E0F58" w:rsidRPr="00B644A3" w:rsidRDefault="003E0F58" w:rsidP="004D2249">
            <w:pPr>
              <w:jc w:val="right"/>
              <w:rPr>
                <w:rFonts w:eastAsia="Calibri" w:cs="Times New Roman"/>
                <w:color w:val="000000"/>
                <w:sz w:val="20"/>
                <w:szCs w:val="20"/>
                <w:lang w:val="cs-CZ"/>
              </w:rPr>
            </w:pPr>
            <w:r w:rsidRPr="00B644A3">
              <w:rPr>
                <w:rFonts w:eastAsia="Calibri" w:cs="Times New Roman"/>
                <w:color w:val="000000"/>
                <w:sz w:val="20"/>
                <w:szCs w:val="20"/>
                <w:lang w:val="cs-CZ"/>
              </w:rPr>
              <w:t>0,25</w:t>
            </w:r>
          </w:p>
        </w:tc>
      </w:tr>
      <w:tr w:rsidR="003E0F58" w:rsidRPr="00B644A3" w14:paraId="28F1B11F" w14:textId="77777777" w:rsidTr="004D2249">
        <w:trPr>
          <w:trHeight w:val="288"/>
        </w:trPr>
        <w:tc>
          <w:tcPr>
            <w:tcW w:w="2840" w:type="dxa"/>
            <w:tcBorders>
              <w:top w:val="nil"/>
              <w:left w:val="single" w:sz="8" w:space="0" w:color="auto"/>
              <w:bottom w:val="single" w:sz="8" w:space="0" w:color="auto"/>
              <w:right w:val="single" w:sz="8" w:space="0" w:color="auto"/>
            </w:tcBorders>
            <w:tcMar>
              <w:top w:w="0" w:type="dxa"/>
              <w:left w:w="70" w:type="dxa"/>
              <w:bottom w:w="0" w:type="dxa"/>
              <w:right w:w="70" w:type="dxa"/>
            </w:tcMar>
            <w:vAlign w:val="bottom"/>
            <w:hideMark/>
          </w:tcPr>
          <w:p w14:paraId="7226C6C3" w14:textId="77777777" w:rsidR="003E0F58" w:rsidRPr="00B644A3" w:rsidRDefault="003E0F58" w:rsidP="004D2249">
            <w:pPr>
              <w:jc w:val="left"/>
              <w:rPr>
                <w:rFonts w:eastAsia="Calibri" w:cs="Times New Roman"/>
                <w:color w:val="000000"/>
                <w:sz w:val="20"/>
                <w:szCs w:val="20"/>
                <w:lang w:val="cs-CZ"/>
              </w:rPr>
            </w:pPr>
            <w:r w:rsidRPr="00B644A3">
              <w:rPr>
                <w:rFonts w:eastAsia="Calibri" w:cs="Times New Roman"/>
                <w:color w:val="000000"/>
                <w:sz w:val="20"/>
                <w:szCs w:val="20"/>
                <w:lang w:val="cs-CZ"/>
              </w:rPr>
              <w:t>trvalý travní porost</w:t>
            </w:r>
          </w:p>
        </w:tc>
        <w:tc>
          <w:tcPr>
            <w:tcW w:w="1240" w:type="dxa"/>
            <w:tcBorders>
              <w:top w:val="nil"/>
              <w:left w:val="nil"/>
              <w:bottom w:val="single" w:sz="8" w:space="0" w:color="auto"/>
              <w:right w:val="single" w:sz="8" w:space="0" w:color="auto"/>
            </w:tcBorders>
            <w:tcMar>
              <w:top w:w="0" w:type="dxa"/>
              <w:left w:w="70" w:type="dxa"/>
              <w:bottom w:w="0" w:type="dxa"/>
              <w:right w:w="70" w:type="dxa"/>
            </w:tcMar>
            <w:vAlign w:val="bottom"/>
            <w:hideMark/>
          </w:tcPr>
          <w:p w14:paraId="54A412A9" w14:textId="77777777" w:rsidR="003E0F58" w:rsidRPr="00B644A3" w:rsidRDefault="003E0F58" w:rsidP="004D2249">
            <w:pPr>
              <w:jc w:val="right"/>
              <w:rPr>
                <w:rFonts w:eastAsia="Calibri" w:cs="Times New Roman"/>
                <w:color w:val="000000"/>
                <w:sz w:val="20"/>
                <w:szCs w:val="20"/>
                <w:lang w:val="cs-CZ"/>
              </w:rPr>
            </w:pPr>
            <w:r w:rsidRPr="00B644A3">
              <w:rPr>
                <w:rFonts w:eastAsia="Calibri" w:cs="Times New Roman"/>
                <w:color w:val="000000"/>
                <w:sz w:val="20"/>
                <w:szCs w:val="20"/>
                <w:lang w:val="cs-CZ"/>
              </w:rPr>
              <w:t>1 006 255</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56CC5EC" w14:textId="77777777" w:rsidR="003E0F58" w:rsidRPr="00B644A3" w:rsidRDefault="003E0F58" w:rsidP="004D2249">
            <w:pPr>
              <w:jc w:val="right"/>
              <w:rPr>
                <w:rFonts w:eastAsia="Calibri" w:cs="Times New Roman"/>
                <w:color w:val="000000"/>
                <w:sz w:val="20"/>
                <w:szCs w:val="20"/>
                <w:lang w:val="cs-CZ"/>
              </w:rPr>
            </w:pPr>
            <w:r w:rsidRPr="00B644A3">
              <w:rPr>
                <w:rFonts w:eastAsia="Calibri" w:cs="Times New Roman"/>
                <w:color w:val="000000"/>
                <w:sz w:val="20"/>
                <w:szCs w:val="20"/>
                <w:lang w:val="cs-CZ"/>
              </w:rPr>
              <w:t>28,28</w:t>
            </w:r>
          </w:p>
        </w:tc>
      </w:tr>
      <w:tr w:rsidR="003E0F58" w:rsidRPr="00B644A3" w14:paraId="5EA4E136" w14:textId="77777777" w:rsidTr="004D2249">
        <w:trPr>
          <w:trHeight w:val="288"/>
        </w:trPr>
        <w:tc>
          <w:tcPr>
            <w:tcW w:w="2840" w:type="dxa"/>
            <w:tcBorders>
              <w:top w:val="nil"/>
              <w:left w:val="single" w:sz="8" w:space="0" w:color="auto"/>
              <w:bottom w:val="single" w:sz="8" w:space="0" w:color="auto"/>
              <w:right w:val="single" w:sz="8" w:space="0" w:color="auto"/>
            </w:tcBorders>
            <w:tcMar>
              <w:top w:w="0" w:type="dxa"/>
              <w:left w:w="70" w:type="dxa"/>
              <w:bottom w:w="0" w:type="dxa"/>
              <w:right w:w="70" w:type="dxa"/>
            </w:tcMar>
            <w:vAlign w:val="bottom"/>
            <w:hideMark/>
          </w:tcPr>
          <w:p w14:paraId="5B24C98D" w14:textId="77777777" w:rsidR="003E0F58" w:rsidRPr="00B644A3" w:rsidRDefault="003E0F58" w:rsidP="004D2249">
            <w:pPr>
              <w:jc w:val="left"/>
              <w:rPr>
                <w:rFonts w:eastAsia="Calibri" w:cs="Times New Roman"/>
                <w:color w:val="000000"/>
                <w:sz w:val="20"/>
                <w:szCs w:val="20"/>
                <w:lang w:val="cs-CZ"/>
              </w:rPr>
            </w:pPr>
            <w:r w:rsidRPr="00B644A3">
              <w:rPr>
                <w:rFonts w:eastAsia="Calibri" w:cs="Times New Roman"/>
                <w:color w:val="000000"/>
                <w:sz w:val="20"/>
                <w:szCs w:val="20"/>
                <w:lang w:val="cs-CZ"/>
              </w:rPr>
              <w:t>vinice</w:t>
            </w:r>
          </w:p>
        </w:tc>
        <w:tc>
          <w:tcPr>
            <w:tcW w:w="1240" w:type="dxa"/>
            <w:tcBorders>
              <w:top w:val="nil"/>
              <w:left w:val="nil"/>
              <w:bottom w:val="single" w:sz="8" w:space="0" w:color="auto"/>
              <w:right w:val="single" w:sz="8" w:space="0" w:color="auto"/>
            </w:tcBorders>
            <w:tcMar>
              <w:top w:w="0" w:type="dxa"/>
              <w:left w:w="70" w:type="dxa"/>
              <w:bottom w:w="0" w:type="dxa"/>
              <w:right w:w="70" w:type="dxa"/>
            </w:tcMar>
            <w:vAlign w:val="bottom"/>
            <w:hideMark/>
          </w:tcPr>
          <w:p w14:paraId="2D551784" w14:textId="77777777" w:rsidR="003E0F58" w:rsidRPr="00B644A3" w:rsidRDefault="003E0F58" w:rsidP="004D2249">
            <w:pPr>
              <w:jc w:val="right"/>
              <w:rPr>
                <w:rFonts w:eastAsia="Calibri" w:cs="Times New Roman"/>
                <w:color w:val="000000"/>
                <w:sz w:val="20"/>
                <w:szCs w:val="20"/>
                <w:lang w:val="cs-CZ"/>
              </w:rPr>
            </w:pPr>
            <w:r w:rsidRPr="00B644A3">
              <w:rPr>
                <w:rFonts w:eastAsia="Calibri" w:cs="Times New Roman"/>
                <w:color w:val="000000"/>
                <w:sz w:val="20"/>
                <w:szCs w:val="20"/>
                <w:lang w:val="cs-CZ"/>
              </w:rPr>
              <w:t>15 370</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473EF02" w14:textId="77777777" w:rsidR="003E0F58" w:rsidRPr="00B644A3" w:rsidRDefault="003E0F58" w:rsidP="004D2249">
            <w:pPr>
              <w:jc w:val="right"/>
              <w:rPr>
                <w:rFonts w:eastAsia="Calibri" w:cs="Times New Roman"/>
                <w:color w:val="000000"/>
                <w:sz w:val="20"/>
                <w:szCs w:val="20"/>
                <w:lang w:val="cs-CZ"/>
              </w:rPr>
            </w:pPr>
            <w:r w:rsidRPr="00B644A3">
              <w:rPr>
                <w:rFonts w:eastAsia="Calibri" w:cs="Times New Roman"/>
                <w:color w:val="000000"/>
                <w:sz w:val="20"/>
                <w:szCs w:val="20"/>
                <w:lang w:val="cs-CZ"/>
              </w:rPr>
              <w:t>0,43</w:t>
            </w:r>
          </w:p>
        </w:tc>
      </w:tr>
      <w:tr w:rsidR="003E0F58" w:rsidRPr="00B644A3" w14:paraId="6DDBFA3A" w14:textId="77777777" w:rsidTr="004D2249">
        <w:trPr>
          <w:trHeight w:val="288"/>
        </w:trPr>
        <w:tc>
          <w:tcPr>
            <w:tcW w:w="2840" w:type="dxa"/>
            <w:tcBorders>
              <w:top w:val="nil"/>
              <w:left w:val="single" w:sz="8" w:space="0" w:color="auto"/>
              <w:bottom w:val="single" w:sz="8" w:space="0" w:color="auto"/>
              <w:right w:val="single" w:sz="8" w:space="0" w:color="auto"/>
            </w:tcBorders>
            <w:tcMar>
              <w:top w:w="0" w:type="dxa"/>
              <w:left w:w="70" w:type="dxa"/>
              <w:bottom w:w="0" w:type="dxa"/>
              <w:right w:w="70" w:type="dxa"/>
            </w:tcMar>
            <w:vAlign w:val="bottom"/>
            <w:hideMark/>
          </w:tcPr>
          <w:p w14:paraId="7660CB60" w14:textId="77777777" w:rsidR="003E0F58" w:rsidRPr="00B644A3" w:rsidRDefault="003E0F58" w:rsidP="004D2249">
            <w:pPr>
              <w:jc w:val="left"/>
              <w:rPr>
                <w:rFonts w:eastAsia="Calibri" w:cs="Times New Roman"/>
                <w:color w:val="000000"/>
                <w:sz w:val="20"/>
                <w:szCs w:val="20"/>
                <w:lang w:val="cs-CZ"/>
              </w:rPr>
            </w:pPr>
            <w:r w:rsidRPr="00B644A3">
              <w:rPr>
                <w:rFonts w:eastAsia="Calibri" w:cs="Times New Roman"/>
                <w:color w:val="000000"/>
                <w:sz w:val="20"/>
                <w:szCs w:val="20"/>
                <w:lang w:val="cs-CZ"/>
              </w:rPr>
              <w:t>chmelnice</w:t>
            </w:r>
          </w:p>
        </w:tc>
        <w:tc>
          <w:tcPr>
            <w:tcW w:w="1240" w:type="dxa"/>
            <w:tcBorders>
              <w:top w:val="nil"/>
              <w:left w:val="nil"/>
              <w:bottom w:val="single" w:sz="8" w:space="0" w:color="auto"/>
              <w:right w:val="single" w:sz="8" w:space="0" w:color="auto"/>
            </w:tcBorders>
            <w:tcMar>
              <w:top w:w="0" w:type="dxa"/>
              <w:left w:w="70" w:type="dxa"/>
              <w:bottom w:w="0" w:type="dxa"/>
              <w:right w:w="70" w:type="dxa"/>
            </w:tcMar>
            <w:vAlign w:val="bottom"/>
            <w:hideMark/>
          </w:tcPr>
          <w:p w14:paraId="7A671E41" w14:textId="77777777" w:rsidR="003E0F58" w:rsidRPr="00B644A3" w:rsidRDefault="003E0F58" w:rsidP="004D2249">
            <w:pPr>
              <w:jc w:val="right"/>
              <w:rPr>
                <w:rFonts w:eastAsia="Calibri" w:cs="Times New Roman"/>
                <w:color w:val="000000"/>
                <w:sz w:val="20"/>
                <w:szCs w:val="20"/>
                <w:lang w:val="cs-CZ"/>
              </w:rPr>
            </w:pPr>
            <w:r w:rsidRPr="00B644A3">
              <w:rPr>
                <w:rFonts w:eastAsia="Calibri" w:cs="Times New Roman"/>
                <w:color w:val="000000"/>
                <w:sz w:val="20"/>
                <w:szCs w:val="20"/>
                <w:lang w:val="cs-CZ"/>
              </w:rPr>
              <w:t>5 285</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1009188" w14:textId="77777777" w:rsidR="003E0F58" w:rsidRPr="00B644A3" w:rsidRDefault="003E0F58" w:rsidP="004D2249">
            <w:pPr>
              <w:jc w:val="right"/>
              <w:rPr>
                <w:rFonts w:eastAsia="Calibri" w:cs="Times New Roman"/>
                <w:color w:val="000000"/>
                <w:sz w:val="20"/>
                <w:szCs w:val="20"/>
                <w:lang w:val="cs-CZ"/>
              </w:rPr>
            </w:pPr>
            <w:r w:rsidRPr="00B644A3">
              <w:rPr>
                <w:rFonts w:eastAsia="Calibri" w:cs="Times New Roman"/>
                <w:color w:val="000000"/>
                <w:sz w:val="20"/>
                <w:szCs w:val="20"/>
                <w:lang w:val="cs-CZ"/>
              </w:rPr>
              <w:t>0,15</w:t>
            </w:r>
          </w:p>
        </w:tc>
      </w:tr>
      <w:tr w:rsidR="003E0F58" w:rsidRPr="00B644A3" w14:paraId="6E04FF78" w14:textId="77777777" w:rsidTr="004D2249">
        <w:trPr>
          <w:trHeight w:val="288"/>
        </w:trPr>
        <w:tc>
          <w:tcPr>
            <w:tcW w:w="2840" w:type="dxa"/>
            <w:tcBorders>
              <w:top w:val="nil"/>
              <w:left w:val="single" w:sz="8" w:space="0" w:color="auto"/>
              <w:bottom w:val="single" w:sz="8" w:space="0" w:color="auto"/>
              <w:right w:val="single" w:sz="8" w:space="0" w:color="auto"/>
            </w:tcBorders>
            <w:tcMar>
              <w:top w:w="0" w:type="dxa"/>
              <w:left w:w="70" w:type="dxa"/>
              <w:bottom w:w="0" w:type="dxa"/>
              <w:right w:w="70" w:type="dxa"/>
            </w:tcMar>
            <w:vAlign w:val="bottom"/>
            <w:hideMark/>
          </w:tcPr>
          <w:p w14:paraId="2B1B6B86" w14:textId="77777777" w:rsidR="003E0F58" w:rsidRPr="00B644A3" w:rsidRDefault="003E0F58" w:rsidP="004D2249">
            <w:pPr>
              <w:jc w:val="left"/>
              <w:rPr>
                <w:rFonts w:eastAsia="Calibri" w:cs="Times New Roman"/>
                <w:color w:val="000000"/>
                <w:sz w:val="20"/>
                <w:szCs w:val="20"/>
                <w:lang w:val="cs-CZ"/>
              </w:rPr>
            </w:pPr>
            <w:r w:rsidRPr="00B644A3">
              <w:rPr>
                <w:rFonts w:eastAsia="Calibri" w:cs="Times New Roman"/>
                <w:color w:val="000000"/>
                <w:sz w:val="20"/>
                <w:szCs w:val="20"/>
                <w:lang w:val="cs-CZ"/>
              </w:rPr>
              <w:t>ovocný sad</w:t>
            </w:r>
          </w:p>
        </w:tc>
        <w:tc>
          <w:tcPr>
            <w:tcW w:w="1240" w:type="dxa"/>
            <w:tcBorders>
              <w:top w:val="nil"/>
              <w:left w:val="nil"/>
              <w:bottom w:val="single" w:sz="8" w:space="0" w:color="auto"/>
              <w:right w:val="single" w:sz="8" w:space="0" w:color="auto"/>
            </w:tcBorders>
            <w:tcMar>
              <w:top w:w="0" w:type="dxa"/>
              <w:left w:w="70" w:type="dxa"/>
              <w:bottom w:w="0" w:type="dxa"/>
              <w:right w:w="70" w:type="dxa"/>
            </w:tcMar>
            <w:vAlign w:val="bottom"/>
            <w:hideMark/>
          </w:tcPr>
          <w:p w14:paraId="55F8AF3F" w14:textId="77777777" w:rsidR="003E0F58" w:rsidRPr="00B644A3" w:rsidRDefault="003E0F58" w:rsidP="004D2249">
            <w:pPr>
              <w:jc w:val="right"/>
              <w:rPr>
                <w:rFonts w:eastAsia="Calibri" w:cs="Times New Roman"/>
                <w:color w:val="000000"/>
                <w:sz w:val="20"/>
                <w:szCs w:val="20"/>
                <w:lang w:val="cs-CZ"/>
              </w:rPr>
            </w:pPr>
            <w:r w:rsidRPr="00B644A3">
              <w:rPr>
                <w:rFonts w:eastAsia="Calibri" w:cs="Times New Roman"/>
                <w:color w:val="000000"/>
                <w:sz w:val="20"/>
                <w:szCs w:val="20"/>
                <w:lang w:val="cs-CZ"/>
              </w:rPr>
              <w:t>15 027</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067ED3C" w14:textId="77777777" w:rsidR="003E0F58" w:rsidRPr="00B644A3" w:rsidRDefault="003E0F58" w:rsidP="004D2249">
            <w:pPr>
              <w:jc w:val="right"/>
              <w:rPr>
                <w:rFonts w:eastAsia="Calibri" w:cs="Times New Roman"/>
                <w:color w:val="000000"/>
                <w:sz w:val="20"/>
                <w:szCs w:val="20"/>
                <w:lang w:val="cs-CZ"/>
              </w:rPr>
            </w:pPr>
            <w:r w:rsidRPr="00B644A3">
              <w:rPr>
                <w:rFonts w:eastAsia="Calibri" w:cs="Times New Roman"/>
                <w:color w:val="000000"/>
                <w:sz w:val="20"/>
                <w:szCs w:val="20"/>
                <w:lang w:val="cs-CZ"/>
              </w:rPr>
              <w:t>0,42</w:t>
            </w:r>
          </w:p>
        </w:tc>
      </w:tr>
      <w:tr w:rsidR="003E0F58" w:rsidRPr="00B644A3" w14:paraId="3D74EBD5" w14:textId="77777777" w:rsidTr="004D2249">
        <w:trPr>
          <w:trHeight w:val="288"/>
        </w:trPr>
        <w:tc>
          <w:tcPr>
            <w:tcW w:w="2840" w:type="dxa"/>
            <w:tcBorders>
              <w:top w:val="nil"/>
              <w:left w:val="single" w:sz="8" w:space="0" w:color="auto"/>
              <w:bottom w:val="single" w:sz="8" w:space="0" w:color="auto"/>
              <w:right w:val="single" w:sz="8" w:space="0" w:color="auto"/>
            </w:tcBorders>
            <w:tcMar>
              <w:top w:w="0" w:type="dxa"/>
              <w:left w:w="70" w:type="dxa"/>
              <w:bottom w:w="0" w:type="dxa"/>
              <w:right w:w="70" w:type="dxa"/>
            </w:tcMar>
            <w:vAlign w:val="bottom"/>
            <w:hideMark/>
          </w:tcPr>
          <w:p w14:paraId="50C99548" w14:textId="77777777" w:rsidR="003E0F58" w:rsidRPr="00B644A3" w:rsidRDefault="003E0F58" w:rsidP="004D2249">
            <w:pPr>
              <w:jc w:val="left"/>
              <w:rPr>
                <w:rFonts w:eastAsia="Calibri" w:cs="Times New Roman"/>
                <w:color w:val="000000"/>
                <w:sz w:val="20"/>
                <w:szCs w:val="20"/>
                <w:lang w:val="cs-CZ"/>
              </w:rPr>
            </w:pPr>
            <w:r w:rsidRPr="00B644A3">
              <w:rPr>
                <w:rFonts w:eastAsia="Calibri" w:cs="Times New Roman"/>
                <w:color w:val="000000"/>
                <w:sz w:val="20"/>
                <w:szCs w:val="20"/>
                <w:lang w:val="cs-CZ"/>
              </w:rPr>
              <w:t>školka</w:t>
            </w:r>
          </w:p>
        </w:tc>
        <w:tc>
          <w:tcPr>
            <w:tcW w:w="1240" w:type="dxa"/>
            <w:tcBorders>
              <w:top w:val="nil"/>
              <w:left w:val="nil"/>
              <w:bottom w:val="single" w:sz="8" w:space="0" w:color="auto"/>
              <w:right w:val="single" w:sz="8" w:space="0" w:color="auto"/>
            </w:tcBorders>
            <w:tcMar>
              <w:top w:w="0" w:type="dxa"/>
              <w:left w:w="70" w:type="dxa"/>
              <w:bottom w:w="0" w:type="dxa"/>
              <w:right w:w="70" w:type="dxa"/>
            </w:tcMar>
            <w:vAlign w:val="bottom"/>
            <w:hideMark/>
          </w:tcPr>
          <w:p w14:paraId="6070BA34" w14:textId="77777777" w:rsidR="003E0F58" w:rsidRPr="00B644A3" w:rsidRDefault="003E0F58" w:rsidP="004D2249">
            <w:pPr>
              <w:jc w:val="right"/>
              <w:rPr>
                <w:rFonts w:eastAsia="Calibri" w:cs="Times New Roman"/>
                <w:color w:val="000000"/>
                <w:sz w:val="20"/>
                <w:szCs w:val="20"/>
                <w:lang w:val="cs-CZ"/>
              </w:rPr>
            </w:pPr>
            <w:r w:rsidRPr="00B644A3">
              <w:rPr>
                <w:rFonts w:eastAsia="Calibri" w:cs="Times New Roman"/>
                <w:color w:val="000000"/>
                <w:sz w:val="20"/>
                <w:szCs w:val="20"/>
                <w:lang w:val="cs-CZ"/>
              </w:rPr>
              <w:t>2 385</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FA44EEE" w14:textId="77777777" w:rsidR="003E0F58" w:rsidRPr="00B644A3" w:rsidRDefault="003E0F58" w:rsidP="004D2249">
            <w:pPr>
              <w:jc w:val="right"/>
              <w:rPr>
                <w:rFonts w:eastAsia="Calibri" w:cs="Times New Roman"/>
                <w:color w:val="000000"/>
                <w:sz w:val="20"/>
                <w:szCs w:val="20"/>
                <w:lang w:val="cs-CZ"/>
              </w:rPr>
            </w:pPr>
            <w:r w:rsidRPr="00B644A3">
              <w:rPr>
                <w:rFonts w:eastAsia="Calibri" w:cs="Times New Roman"/>
                <w:color w:val="000000"/>
                <w:sz w:val="20"/>
                <w:szCs w:val="20"/>
                <w:lang w:val="cs-CZ"/>
              </w:rPr>
              <w:t>0,07</w:t>
            </w:r>
          </w:p>
        </w:tc>
      </w:tr>
      <w:tr w:rsidR="003E0F58" w:rsidRPr="00B644A3" w14:paraId="07B45EE9" w14:textId="77777777" w:rsidTr="004D2249">
        <w:trPr>
          <w:trHeight w:val="288"/>
        </w:trPr>
        <w:tc>
          <w:tcPr>
            <w:tcW w:w="2840" w:type="dxa"/>
            <w:tcBorders>
              <w:top w:val="nil"/>
              <w:left w:val="single" w:sz="8" w:space="0" w:color="auto"/>
              <w:bottom w:val="single" w:sz="8" w:space="0" w:color="auto"/>
              <w:right w:val="single" w:sz="8" w:space="0" w:color="auto"/>
            </w:tcBorders>
            <w:tcMar>
              <w:top w:w="0" w:type="dxa"/>
              <w:left w:w="70" w:type="dxa"/>
              <w:bottom w:w="0" w:type="dxa"/>
              <w:right w:w="70" w:type="dxa"/>
            </w:tcMar>
            <w:vAlign w:val="bottom"/>
            <w:hideMark/>
          </w:tcPr>
          <w:p w14:paraId="49882F62" w14:textId="77777777" w:rsidR="003E0F58" w:rsidRPr="00B644A3" w:rsidRDefault="003E0F58" w:rsidP="004D2249">
            <w:pPr>
              <w:jc w:val="left"/>
              <w:rPr>
                <w:rFonts w:eastAsia="Calibri" w:cs="Times New Roman"/>
                <w:color w:val="000000"/>
                <w:sz w:val="20"/>
                <w:szCs w:val="20"/>
                <w:lang w:val="cs-CZ"/>
              </w:rPr>
            </w:pPr>
            <w:r w:rsidRPr="00B644A3">
              <w:rPr>
                <w:rFonts w:eastAsia="Calibri" w:cs="Times New Roman"/>
                <w:color w:val="000000"/>
                <w:sz w:val="20"/>
                <w:szCs w:val="20"/>
                <w:lang w:val="cs-CZ"/>
              </w:rPr>
              <w:t>rychle rostoucí dřeviny</w:t>
            </w:r>
          </w:p>
        </w:tc>
        <w:tc>
          <w:tcPr>
            <w:tcW w:w="1240" w:type="dxa"/>
            <w:tcBorders>
              <w:top w:val="nil"/>
              <w:left w:val="nil"/>
              <w:bottom w:val="single" w:sz="8" w:space="0" w:color="auto"/>
              <w:right w:val="single" w:sz="8" w:space="0" w:color="auto"/>
            </w:tcBorders>
            <w:tcMar>
              <w:top w:w="0" w:type="dxa"/>
              <w:left w:w="70" w:type="dxa"/>
              <w:bottom w:w="0" w:type="dxa"/>
              <w:right w:w="70" w:type="dxa"/>
            </w:tcMar>
            <w:vAlign w:val="bottom"/>
            <w:hideMark/>
          </w:tcPr>
          <w:p w14:paraId="088E96C0" w14:textId="77777777" w:rsidR="003E0F58" w:rsidRPr="00B644A3" w:rsidRDefault="003E0F58" w:rsidP="004D2249">
            <w:pPr>
              <w:jc w:val="right"/>
              <w:rPr>
                <w:rFonts w:eastAsia="Calibri" w:cs="Times New Roman"/>
                <w:color w:val="000000"/>
                <w:sz w:val="20"/>
                <w:szCs w:val="20"/>
                <w:lang w:val="cs-CZ"/>
              </w:rPr>
            </w:pPr>
            <w:r w:rsidRPr="00B644A3">
              <w:rPr>
                <w:rFonts w:eastAsia="Calibri" w:cs="Times New Roman"/>
                <w:color w:val="000000"/>
                <w:sz w:val="20"/>
                <w:szCs w:val="20"/>
                <w:lang w:val="cs-CZ"/>
              </w:rPr>
              <w:t>2 650</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139F68D" w14:textId="77777777" w:rsidR="003E0F58" w:rsidRPr="00B644A3" w:rsidRDefault="003E0F58" w:rsidP="004D2249">
            <w:pPr>
              <w:jc w:val="right"/>
              <w:rPr>
                <w:rFonts w:eastAsia="Calibri" w:cs="Times New Roman"/>
                <w:color w:val="000000"/>
                <w:sz w:val="20"/>
                <w:szCs w:val="20"/>
                <w:lang w:val="cs-CZ"/>
              </w:rPr>
            </w:pPr>
            <w:r w:rsidRPr="00B644A3">
              <w:rPr>
                <w:rFonts w:eastAsia="Calibri" w:cs="Times New Roman"/>
                <w:color w:val="000000"/>
                <w:sz w:val="20"/>
                <w:szCs w:val="20"/>
                <w:lang w:val="cs-CZ"/>
              </w:rPr>
              <w:t>0,07</w:t>
            </w:r>
          </w:p>
        </w:tc>
      </w:tr>
      <w:tr w:rsidR="003E0F58" w:rsidRPr="00B644A3" w14:paraId="2968138B" w14:textId="77777777" w:rsidTr="004D2249">
        <w:trPr>
          <w:trHeight w:val="288"/>
        </w:trPr>
        <w:tc>
          <w:tcPr>
            <w:tcW w:w="2840" w:type="dxa"/>
            <w:tcBorders>
              <w:top w:val="nil"/>
              <w:left w:val="single" w:sz="8" w:space="0" w:color="auto"/>
              <w:bottom w:val="single" w:sz="8" w:space="0" w:color="auto"/>
              <w:right w:val="single" w:sz="8" w:space="0" w:color="auto"/>
            </w:tcBorders>
            <w:tcMar>
              <w:top w:w="0" w:type="dxa"/>
              <w:left w:w="70" w:type="dxa"/>
              <w:bottom w:w="0" w:type="dxa"/>
              <w:right w:w="70" w:type="dxa"/>
            </w:tcMar>
            <w:vAlign w:val="bottom"/>
            <w:hideMark/>
          </w:tcPr>
          <w:p w14:paraId="2DA9C266" w14:textId="77777777" w:rsidR="003E0F58" w:rsidRPr="00B644A3" w:rsidRDefault="003E0F58" w:rsidP="004D2249">
            <w:pPr>
              <w:jc w:val="left"/>
              <w:rPr>
                <w:rFonts w:eastAsia="Calibri" w:cs="Times New Roman"/>
                <w:color w:val="000000"/>
                <w:sz w:val="20"/>
                <w:szCs w:val="20"/>
                <w:lang w:val="cs-CZ"/>
              </w:rPr>
            </w:pPr>
            <w:r w:rsidRPr="00B644A3">
              <w:rPr>
                <w:rFonts w:eastAsia="Calibri" w:cs="Times New Roman"/>
                <w:color w:val="000000"/>
                <w:sz w:val="20"/>
                <w:szCs w:val="20"/>
                <w:lang w:val="cs-CZ"/>
              </w:rPr>
              <w:t>jiná trvalá kultura</w:t>
            </w:r>
          </w:p>
        </w:tc>
        <w:tc>
          <w:tcPr>
            <w:tcW w:w="1240" w:type="dxa"/>
            <w:tcBorders>
              <w:top w:val="nil"/>
              <w:left w:val="nil"/>
              <w:bottom w:val="single" w:sz="8" w:space="0" w:color="auto"/>
              <w:right w:val="single" w:sz="8" w:space="0" w:color="auto"/>
            </w:tcBorders>
            <w:tcMar>
              <w:top w:w="0" w:type="dxa"/>
              <w:left w:w="70" w:type="dxa"/>
              <w:bottom w:w="0" w:type="dxa"/>
              <w:right w:w="70" w:type="dxa"/>
            </w:tcMar>
            <w:vAlign w:val="bottom"/>
            <w:hideMark/>
          </w:tcPr>
          <w:p w14:paraId="64938DE8" w14:textId="77777777" w:rsidR="003E0F58" w:rsidRPr="00B644A3" w:rsidRDefault="003E0F58" w:rsidP="004D2249">
            <w:pPr>
              <w:jc w:val="right"/>
              <w:rPr>
                <w:rFonts w:eastAsia="Calibri" w:cs="Times New Roman"/>
                <w:color w:val="000000"/>
                <w:sz w:val="20"/>
                <w:szCs w:val="20"/>
                <w:lang w:val="cs-CZ"/>
              </w:rPr>
            </w:pPr>
            <w:r w:rsidRPr="00B644A3">
              <w:rPr>
                <w:rFonts w:eastAsia="Calibri" w:cs="Times New Roman"/>
                <w:color w:val="000000"/>
                <w:sz w:val="20"/>
                <w:szCs w:val="20"/>
                <w:lang w:val="cs-CZ"/>
              </w:rPr>
              <w:t>4 620</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BB7E8BB" w14:textId="77777777" w:rsidR="003E0F58" w:rsidRPr="00B644A3" w:rsidRDefault="003E0F58" w:rsidP="004D2249">
            <w:pPr>
              <w:jc w:val="right"/>
              <w:rPr>
                <w:rFonts w:eastAsia="Calibri" w:cs="Times New Roman"/>
                <w:color w:val="000000"/>
                <w:sz w:val="20"/>
                <w:szCs w:val="20"/>
                <w:lang w:val="cs-CZ"/>
              </w:rPr>
            </w:pPr>
            <w:r w:rsidRPr="00B644A3">
              <w:rPr>
                <w:rFonts w:eastAsia="Calibri" w:cs="Times New Roman"/>
                <w:color w:val="000000"/>
                <w:sz w:val="20"/>
                <w:szCs w:val="20"/>
                <w:lang w:val="cs-CZ"/>
              </w:rPr>
              <w:t>0,13</w:t>
            </w:r>
          </w:p>
        </w:tc>
      </w:tr>
      <w:tr w:rsidR="003E0F58" w:rsidRPr="00B644A3" w14:paraId="447A4BDE" w14:textId="77777777" w:rsidTr="004D2249">
        <w:trPr>
          <w:trHeight w:val="288"/>
        </w:trPr>
        <w:tc>
          <w:tcPr>
            <w:tcW w:w="2840" w:type="dxa"/>
            <w:tcBorders>
              <w:top w:val="nil"/>
              <w:left w:val="single" w:sz="8" w:space="0" w:color="auto"/>
              <w:bottom w:val="single" w:sz="8" w:space="0" w:color="auto"/>
              <w:right w:val="single" w:sz="8" w:space="0" w:color="auto"/>
            </w:tcBorders>
            <w:tcMar>
              <w:top w:w="0" w:type="dxa"/>
              <w:left w:w="70" w:type="dxa"/>
              <w:bottom w:w="0" w:type="dxa"/>
              <w:right w:w="70" w:type="dxa"/>
            </w:tcMar>
            <w:vAlign w:val="bottom"/>
            <w:hideMark/>
          </w:tcPr>
          <w:p w14:paraId="18C28B86" w14:textId="77777777" w:rsidR="003E0F58" w:rsidRPr="00B644A3" w:rsidRDefault="003E0F58" w:rsidP="004D2249">
            <w:pPr>
              <w:jc w:val="left"/>
              <w:rPr>
                <w:rFonts w:eastAsia="Calibri" w:cs="Times New Roman"/>
                <w:color w:val="000000"/>
                <w:sz w:val="20"/>
                <w:szCs w:val="20"/>
                <w:lang w:val="cs-CZ"/>
              </w:rPr>
            </w:pPr>
            <w:r w:rsidRPr="00B644A3">
              <w:rPr>
                <w:rFonts w:eastAsia="Calibri" w:cs="Times New Roman"/>
                <w:color w:val="000000"/>
                <w:sz w:val="20"/>
                <w:szCs w:val="20"/>
                <w:lang w:val="cs-CZ"/>
              </w:rPr>
              <w:t>zalesněná půda</w:t>
            </w:r>
          </w:p>
        </w:tc>
        <w:tc>
          <w:tcPr>
            <w:tcW w:w="1240" w:type="dxa"/>
            <w:tcBorders>
              <w:top w:val="nil"/>
              <w:left w:val="nil"/>
              <w:bottom w:val="single" w:sz="8" w:space="0" w:color="auto"/>
              <w:right w:val="single" w:sz="8" w:space="0" w:color="auto"/>
            </w:tcBorders>
            <w:tcMar>
              <w:top w:w="0" w:type="dxa"/>
              <w:left w:w="70" w:type="dxa"/>
              <w:bottom w:w="0" w:type="dxa"/>
              <w:right w:w="70" w:type="dxa"/>
            </w:tcMar>
            <w:vAlign w:val="bottom"/>
            <w:hideMark/>
          </w:tcPr>
          <w:p w14:paraId="7A6F46DA" w14:textId="77777777" w:rsidR="003E0F58" w:rsidRPr="00B644A3" w:rsidRDefault="003E0F58" w:rsidP="004D2249">
            <w:pPr>
              <w:jc w:val="right"/>
              <w:rPr>
                <w:rFonts w:eastAsia="Calibri" w:cs="Times New Roman"/>
                <w:color w:val="000000"/>
                <w:sz w:val="20"/>
                <w:szCs w:val="20"/>
                <w:lang w:val="cs-CZ"/>
              </w:rPr>
            </w:pPr>
            <w:r w:rsidRPr="00B644A3">
              <w:rPr>
                <w:rFonts w:eastAsia="Calibri" w:cs="Times New Roman"/>
                <w:color w:val="000000"/>
                <w:sz w:val="20"/>
                <w:szCs w:val="20"/>
                <w:lang w:val="cs-CZ"/>
              </w:rPr>
              <w:t>5 766</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9FE1BB9" w14:textId="77777777" w:rsidR="003E0F58" w:rsidRPr="00B644A3" w:rsidRDefault="003E0F58" w:rsidP="004D2249">
            <w:pPr>
              <w:jc w:val="right"/>
              <w:rPr>
                <w:rFonts w:eastAsia="Calibri" w:cs="Times New Roman"/>
                <w:color w:val="000000"/>
                <w:sz w:val="20"/>
                <w:szCs w:val="20"/>
                <w:lang w:val="cs-CZ"/>
              </w:rPr>
            </w:pPr>
            <w:r w:rsidRPr="00B644A3">
              <w:rPr>
                <w:rFonts w:eastAsia="Calibri" w:cs="Times New Roman"/>
                <w:color w:val="000000"/>
                <w:sz w:val="20"/>
                <w:szCs w:val="20"/>
                <w:lang w:val="cs-CZ"/>
              </w:rPr>
              <w:t>0,16</w:t>
            </w:r>
          </w:p>
        </w:tc>
      </w:tr>
      <w:tr w:rsidR="003E0F58" w:rsidRPr="00B644A3" w14:paraId="03382947" w14:textId="77777777" w:rsidTr="004D2249">
        <w:trPr>
          <w:trHeight w:val="288"/>
        </w:trPr>
        <w:tc>
          <w:tcPr>
            <w:tcW w:w="2840" w:type="dxa"/>
            <w:tcBorders>
              <w:top w:val="nil"/>
              <w:left w:val="single" w:sz="8" w:space="0" w:color="auto"/>
              <w:bottom w:val="single" w:sz="8" w:space="0" w:color="auto"/>
              <w:right w:val="single" w:sz="8" w:space="0" w:color="auto"/>
            </w:tcBorders>
            <w:tcMar>
              <w:top w:w="0" w:type="dxa"/>
              <w:left w:w="70" w:type="dxa"/>
              <w:bottom w:w="0" w:type="dxa"/>
              <w:right w:w="70" w:type="dxa"/>
            </w:tcMar>
            <w:vAlign w:val="bottom"/>
            <w:hideMark/>
          </w:tcPr>
          <w:p w14:paraId="22BD5E50" w14:textId="77777777" w:rsidR="003E0F58" w:rsidRPr="00B644A3" w:rsidRDefault="003E0F58" w:rsidP="004D2249">
            <w:pPr>
              <w:jc w:val="left"/>
              <w:rPr>
                <w:rFonts w:eastAsia="Calibri" w:cs="Times New Roman"/>
                <w:color w:val="000000"/>
                <w:sz w:val="20"/>
                <w:szCs w:val="20"/>
                <w:lang w:val="cs-CZ"/>
              </w:rPr>
            </w:pPr>
            <w:r w:rsidRPr="00B644A3">
              <w:rPr>
                <w:rFonts w:eastAsia="Calibri" w:cs="Times New Roman"/>
                <w:color w:val="000000"/>
                <w:sz w:val="20"/>
                <w:szCs w:val="20"/>
                <w:lang w:val="cs-CZ"/>
              </w:rPr>
              <w:t>rybník</w:t>
            </w:r>
          </w:p>
        </w:tc>
        <w:tc>
          <w:tcPr>
            <w:tcW w:w="1240" w:type="dxa"/>
            <w:tcBorders>
              <w:top w:val="nil"/>
              <w:left w:val="nil"/>
              <w:bottom w:val="single" w:sz="8" w:space="0" w:color="auto"/>
              <w:right w:val="single" w:sz="8" w:space="0" w:color="auto"/>
            </w:tcBorders>
            <w:tcMar>
              <w:top w:w="0" w:type="dxa"/>
              <w:left w:w="70" w:type="dxa"/>
              <w:bottom w:w="0" w:type="dxa"/>
              <w:right w:w="70" w:type="dxa"/>
            </w:tcMar>
            <w:vAlign w:val="bottom"/>
            <w:hideMark/>
          </w:tcPr>
          <w:p w14:paraId="55D7F4A9" w14:textId="77777777" w:rsidR="003E0F58" w:rsidRPr="00B644A3" w:rsidRDefault="003E0F58" w:rsidP="004D2249">
            <w:pPr>
              <w:jc w:val="right"/>
              <w:rPr>
                <w:rFonts w:eastAsia="Calibri" w:cs="Times New Roman"/>
                <w:color w:val="000000"/>
                <w:sz w:val="20"/>
                <w:szCs w:val="20"/>
                <w:lang w:val="cs-CZ"/>
              </w:rPr>
            </w:pPr>
            <w:r w:rsidRPr="00B644A3">
              <w:rPr>
                <w:rFonts w:eastAsia="Calibri" w:cs="Times New Roman"/>
                <w:color w:val="000000"/>
                <w:sz w:val="20"/>
                <w:szCs w:val="20"/>
                <w:lang w:val="cs-CZ"/>
              </w:rPr>
              <w:t>364</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8D1C9D1" w14:textId="77777777" w:rsidR="003E0F58" w:rsidRPr="00B644A3" w:rsidRDefault="003E0F58" w:rsidP="004D2249">
            <w:pPr>
              <w:jc w:val="right"/>
              <w:rPr>
                <w:rFonts w:eastAsia="Calibri" w:cs="Times New Roman"/>
                <w:color w:val="000000"/>
                <w:sz w:val="20"/>
                <w:szCs w:val="20"/>
                <w:lang w:val="cs-CZ"/>
              </w:rPr>
            </w:pPr>
            <w:r w:rsidRPr="00B644A3">
              <w:rPr>
                <w:rFonts w:eastAsia="Calibri" w:cs="Times New Roman"/>
                <w:color w:val="000000"/>
                <w:sz w:val="20"/>
                <w:szCs w:val="20"/>
                <w:lang w:val="cs-CZ"/>
              </w:rPr>
              <w:t>0,01</w:t>
            </w:r>
          </w:p>
        </w:tc>
      </w:tr>
      <w:tr w:rsidR="003E0F58" w:rsidRPr="00B644A3" w14:paraId="23F15230" w14:textId="77777777" w:rsidTr="004D2249">
        <w:trPr>
          <w:trHeight w:val="288"/>
        </w:trPr>
        <w:tc>
          <w:tcPr>
            <w:tcW w:w="2840" w:type="dxa"/>
            <w:tcBorders>
              <w:top w:val="nil"/>
              <w:left w:val="single" w:sz="8" w:space="0" w:color="auto"/>
              <w:bottom w:val="single" w:sz="8" w:space="0" w:color="auto"/>
              <w:right w:val="single" w:sz="8" w:space="0" w:color="auto"/>
            </w:tcBorders>
            <w:tcMar>
              <w:top w:w="0" w:type="dxa"/>
              <w:left w:w="70" w:type="dxa"/>
              <w:bottom w:w="0" w:type="dxa"/>
              <w:right w:w="70" w:type="dxa"/>
            </w:tcMar>
            <w:vAlign w:val="bottom"/>
            <w:hideMark/>
          </w:tcPr>
          <w:p w14:paraId="1C942DCF" w14:textId="77777777" w:rsidR="003E0F58" w:rsidRPr="00B644A3" w:rsidRDefault="003E0F58" w:rsidP="004D2249">
            <w:pPr>
              <w:jc w:val="left"/>
              <w:rPr>
                <w:rFonts w:eastAsia="Calibri" w:cs="Times New Roman"/>
                <w:color w:val="000000"/>
                <w:sz w:val="20"/>
                <w:szCs w:val="20"/>
                <w:lang w:val="cs-CZ"/>
              </w:rPr>
            </w:pPr>
            <w:r w:rsidRPr="00B644A3">
              <w:rPr>
                <w:rFonts w:eastAsia="Calibri" w:cs="Times New Roman"/>
                <w:color w:val="000000"/>
                <w:sz w:val="20"/>
                <w:szCs w:val="20"/>
                <w:lang w:val="cs-CZ"/>
              </w:rPr>
              <w:t>mimoprodukční plocha</w:t>
            </w:r>
          </w:p>
        </w:tc>
        <w:tc>
          <w:tcPr>
            <w:tcW w:w="1240" w:type="dxa"/>
            <w:tcBorders>
              <w:top w:val="nil"/>
              <w:left w:val="nil"/>
              <w:bottom w:val="single" w:sz="8" w:space="0" w:color="auto"/>
              <w:right w:val="single" w:sz="8" w:space="0" w:color="auto"/>
            </w:tcBorders>
            <w:tcMar>
              <w:top w:w="0" w:type="dxa"/>
              <w:left w:w="70" w:type="dxa"/>
              <w:bottom w:w="0" w:type="dxa"/>
              <w:right w:w="70" w:type="dxa"/>
            </w:tcMar>
            <w:vAlign w:val="bottom"/>
            <w:hideMark/>
          </w:tcPr>
          <w:p w14:paraId="7BAE2DB2" w14:textId="77777777" w:rsidR="003E0F58" w:rsidRPr="00B644A3" w:rsidRDefault="003E0F58" w:rsidP="004D2249">
            <w:pPr>
              <w:jc w:val="right"/>
              <w:rPr>
                <w:rFonts w:eastAsia="Calibri" w:cs="Times New Roman"/>
                <w:color w:val="000000"/>
                <w:sz w:val="20"/>
                <w:szCs w:val="20"/>
                <w:lang w:val="cs-CZ"/>
              </w:rPr>
            </w:pPr>
            <w:r w:rsidRPr="00B644A3">
              <w:rPr>
                <w:rFonts w:eastAsia="Calibri" w:cs="Times New Roman"/>
                <w:color w:val="000000"/>
                <w:sz w:val="20"/>
                <w:szCs w:val="20"/>
                <w:lang w:val="cs-CZ"/>
              </w:rPr>
              <w:t>191</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41C1227" w14:textId="77777777" w:rsidR="003E0F58" w:rsidRPr="00B644A3" w:rsidRDefault="003E0F58" w:rsidP="004D2249">
            <w:pPr>
              <w:jc w:val="right"/>
              <w:rPr>
                <w:rFonts w:eastAsia="Calibri" w:cs="Times New Roman"/>
                <w:color w:val="000000"/>
                <w:sz w:val="20"/>
                <w:szCs w:val="20"/>
                <w:lang w:val="cs-CZ"/>
              </w:rPr>
            </w:pPr>
            <w:r w:rsidRPr="00B644A3">
              <w:rPr>
                <w:rFonts w:eastAsia="Calibri" w:cs="Times New Roman"/>
                <w:color w:val="000000"/>
                <w:sz w:val="20"/>
                <w:szCs w:val="20"/>
                <w:lang w:val="cs-CZ"/>
              </w:rPr>
              <w:t>0,01</w:t>
            </w:r>
          </w:p>
        </w:tc>
      </w:tr>
      <w:tr w:rsidR="003E0F58" w:rsidRPr="00B644A3" w14:paraId="62A6FF7F" w14:textId="77777777" w:rsidTr="004D2249">
        <w:trPr>
          <w:trHeight w:val="288"/>
        </w:trPr>
        <w:tc>
          <w:tcPr>
            <w:tcW w:w="2840" w:type="dxa"/>
            <w:tcBorders>
              <w:top w:val="nil"/>
              <w:left w:val="single" w:sz="8" w:space="0" w:color="auto"/>
              <w:bottom w:val="single" w:sz="8" w:space="0" w:color="auto"/>
              <w:right w:val="single" w:sz="8" w:space="0" w:color="auto"/>
            </w:tcBorders>
            <w:tcMar>
              <w:top w:w="0" w:type="dxa"/>
              <w:left w:w="70" w:type="dxa"/>
              <w:bottom w:w="0" w:type="dxa"/>
              <w:right w:w="70" w:type="dxa"/>
            </w:tcMar>
            <w:vAlign w:val="bottom"/>
            <w:hideMark/>
          </w:tcPr>
          <w:p w14:paraId="7BEAC41D" w14:textId="77777777" w:rsidR="003E0F58" w:rsidRPr="00B644A3" w:rsidRDefault="003E0F58" w:rsidP="004D2249">
            <w:pPr>
              <w:jc w:val="left"/>
              <w:rPr>
                <w:rFonts w:eastAsia="Calibri" w:cs="Times New Roman"/>
                <w:color w:val="000000"/>
                <w:sz w:val="20"/>
                <w:szCs w:val="20"/>
                <w:lang w:val="cs-CZ"/>
              </w:rPr>
            </w:pPr>
            <w:r w:rsidRPr="00B644A3">
              <w:rPr>
                <w:rFonts w:eastAsia="Calibri" w:cs="Times New Roman"/>
                <w:color w:val="000000"/>
                <w:sz w:val="20"/>
                <w:szCs w:val="20"/>
                <w:lang w:val="cs-CZ"/>
              </w:rPr>
              <w:t>jiná kultura</w:t>
            </w:r>
          </w:p>
        </w:tc>
        <w:tc>
          <w:tcPr>
            <w:tcW w:w="1240" w:type="dxa"/>
            <w:tcBorders>
              <w:top w:val="nil"/>
              <w:left w:val="nil"/>
              <w:bottom w:val="single" w:sz="8" w:space="0" w:color="auto"/>
              <w:right w:val="single" w:sz="8" w:space="0" w:color="auto"/>
            </w:tcBorders>
            <w:tcMar>
              <w:top w:w="0" w:type="dxa"/>
              <w:left w:w="70" w:type="dxa"/>
              <w:bottom w:w="0" w:type="dxa"/>
              <w:right w:w="70" w:type="dxa"/>
            </w:tcMar>
            <w:vAlign w:val="bottom"/>
            <w:hideMark/>
          </w:tcPr>
          <w:p w14:paraId="78729414" w14:textId="77777777" w:rsidR="003E0F58" w:rsidRPr="00B644A3" w:rsidRDefault="003E0F58" w:rsidP="004D2249">
            <w:pPr>
              <w:jc w:val="right"/>
              <w:rPr>
                <w:rFonts w:eastAsia="Calibri" w:cs="Times New Roman"/>
                <w:color w:val="000000"/>
                <w:sz w:val="20"/>
                <w:szCs w:val="20"/>
                <w:lang w:val="cs-CZ"/>
              </w:rPr>
            </w:pPr>
            <w:r w:rsidRPr="00B644A3">
              <w:rPr>
                <w:rFonts w:eastAsia="Calibri" w:cs="Times New Roman"/>
                <w:color w:val="000000"/>
                <w:sz w:val="20"/>
                <w:szCs w:val="20"/>
                <w:lang w:val="cs-CZ"/>
              </w:rPr>
              <w:t>574</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EA7B3BB" w14:textId="77777777" w:rsidR="003E0F58" w:rsidRPr="00B644A3" w:rsidRDefault="003E0F58" w:rsidP="004D2249">
            <w:pPr>
              <w:jc w:val="right"/>
              <w:rPr>
                <w:rFonts w:eastAsia="Calibri" w:cs="Times New Roman"/>
                <w:color w:val="000000"/>
                <w:sz w:val="20"/>
                <w:szCs w:val="20"/>
                <w:lang w:val="cs-CZ"/>
              </w:rPr>
            </w:pPr>
            <w:r w:rsidRPr="00B644A3">
              <w:rPr>
                <w:rFonts w:eastAsia="Calibri" w:cs="Times New Roman"/>
                <w:color w:val="000000"/>
                <w:sz w:val="20"/>
                <w:szCs w:val="20"/>
                <w:lang w:val="cs-CZ"/>
              </w:rPr>
              <w:t>0,02</w:t>
            </w:r>
          </w:p>
        </w:tc>
      </w:tr>
      <w:tr w:rsidR="003E0F58" w:rsidRPr="00B644A3" w14:paraId="2886001E" w14:textId="77777777" w:rsidTr="004D2249">
        <w:trPr>
          <w:trHeight w:val="288"/>
        </w:trPr>
        <w:tc>
          <w:tcPr>
            <w:tcW w:w="2840" w:type="dxa"/>
            <w:tcBorders>
              <w:top w:val="nil"/>
              <w:left w:val="single" w:sz="8" w:space="0" w:color="auto"/>
              <w:bottom w:val="single" w:sz="8" w:space="0" w:color="auto"/>
              <w:right w:val="single" w:sz="8" w:space="0" w:color="auto"/>
            </w:tcBorders>
            <w:tcMar>
              <w:top w:w="0" w:type="dxa"/>
              <w:left w:w="70" w:type="dxa"/>
              <w:bottom w:w="0" w:type="dxa"/>
              <w:right w:w="70" w:type="dxa"/>
            </w:tcMar>
            <w:vAlign w:val="bottom"/>
            <w:hideMark/>
          </w:tcPr>
          <w:p w14:paraId="3BA4A0ED" w14:textId="77777777" w:rsidR="003E0F58" w:rsidRPr="00B644A3" w:rsidRDefault="003E0F58" w:rsidP="004D2249">
            <w:pPr>
              <w:jc w:val="left"/>
              <w:rPr>
                <w:rFonts w:eastAsia="Calibri" w:cs="Times New Roman"/>
                <w:b/>
                <w:bCs/>
                <w:color w:val="000000"/>
                <w:sz w:val="20"/>
                <w:szCs w:val="20"/>
                <w:lang w:val="cs-CZ"/>
              </w:rPr>
            </w:pPr>
            <w:r w:rsidRPr="00B644A3">
              <w:rPr>
                <w:rFonts w:eastAsia="Calibri" w:cs="Times New Roman"/>
                <w:b/>
                <w:bCs/>
                <w:color w:val="000000"/>
                <w:sz w:val="20"/>
                <w:szCs w:val="20"/>
                <w:lang w:val="cs-CZ"/>
              </w:rPr>
              <w:t>Celkem</w:t>
            </w:r>
          </w:p>
        </w:tc>
        <w:tc>
          <w:tcPr>
            <w:tcW w:w="124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5BE6C41" w14:textId="77777777" w:rsidR="003E0F58" w:rsidRPr="00B644A3" w:rsidRDefault="003E0F58" w:rsidP="004D2249">
            <w:pPr>
              <w:jc w:val="right"/>
              <w:rPr>
                <w:rFonts w:eastAsia="Calibri" w:cs="Times New Roman"/>
                <w:b/>
                <w:bCs/>
                <w:color w:val="000000"/>
                <w:sz w:val="20"/>
                <w:szCs w:val="20"/>
                <w:lang w:val="cs-CZ"/>
              </w:rPr>
            </w:pPr>
            <w:r w:rsidRPr="00B644A3">
              <w:rPr>
                <w:rFonts w:eastAsia="Calibri" w:cs="Times New Roman"/>
                <w:b/>
                <w:bCs/>
                <w:color w:val="000000"/>
                <w:sz w:val="20"/>
                <w:szCs w:val="20"/>
                <w:lang w:val="cs-CZ"/>
              </w:rPr>
              <w:t>3 557 576</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54BD061" w14:textId="77777777" w:rsidR="003E0F58" w:rsidRPr="00B644A3" w:rsidRDefault="003E0F58" w:rsidP="004D2249">
            <w:pPr>
              <w:jc w:val="right"/>
              <w:rPr>
                <w:rFonts w:eastAsia="Calibri" w:cs="Times New Roman"/>
                <w:b/>
                <w:bCs/>
                <w:color w:val="000000"/>
                <w:sz w:val="20"/>
                <w:szCs w:val="20"/>
                <w:lang w:val="cs-CZ"/>
              </w:rPr>
            </w:pPr>
            <w:r w:rsidRPr="00B644A3">
              <w:rPr>
                <w:rFonts w:eastAsia="Calibri" w:cs="Times New Roman"/>
                <w:b/>
                <w:bCs/>
                <w:color w:val="000000"/>
                <w:sz w:val="20"/>
                <w:szCs w:val="20"/>
                <w:lang w:val="cs-CZ"/>
              </w:rPr>
              <w:t>100,0</w:t>
            </w:r>
          </w:p>
        </w:tc>
      </w:tr>
    </w:tbl>
    <w:p w14:paraId="3F3E248D" w14:textId="6713B990" w:rsidR="003E0F58" w:rsidRDefault="003E0F58" w:rsidP="003E0F58">
      <w:pPr>
        <w:jc w:val="left"/>
        <w:rPr>
          <w:rFonts w:eastAsia="Calibri" w:cs="Times New Roman"/>
          <w:i/>
          <w:iCs/>
          <w:sz w:val="22"/>
          <w:lang w:val="cs-CZ"/>
        </w:rPr>
      </w:pPr>
      <w:r w:rsidRPr="007C705C">
        <w:rPr>
          <w:rFonts w:eastAsia="Calibri" w:cs="Times New Roman"/>
          <w:i/>
          <w:iCs/>
          <w:sz w:val="22"/>
          <w:lang w:val="cs-CZ"/>
        </w:rPr>
        <w:t>Zdroj: Export LPIS pro SZIF (MZe) k 30.6.2020, vlastní výpočty ÚZEI</w:t>
      </w:r>
    </w:p>
    <w:p w14:paraId="7AC2CA69" w14:textId="1DDC1D13" w:rsidR="00FB3D34" w:rsidRDefault="00FB3D34" w:rsidP="003E0F58">
      <w:pPr>
        <w:jc w:val="left"/>
        <w:rPr>
          <w:rFonts w:eastAsia="Calibri" w:cs="Times New Roman"/>
          <w:i/>
          <w:iCs/>
          <w:sz w:val="22"/>
          <w:lang w:val="cs-CZ"/>
        </w:rPr>
      </w:pPr>
    </w:p>
    <w:p w14:paraId="2054305B" w14:textId="58CFCD5A" w:rsidR="00FB3D34" w:rsidRDefault="00FB3D34" w:rsidP="003E0F58">
      <w:pPr>
        <w:jc w:val="left"/>
        <w:rPr>
          <w:rFonts w:eastAsia="Calibri" w:cs="Times New Roman"/>
          <w:i/>
          <w:iCs/>
          <w:sz w:val="22"/>
          <w:lang w:val="cs-CZ"/>
        </w:rPr>
      </w:pPr>
    </w:p>
    <w:p w14:paraId="3705DBAC" w14:textId="76C9377D" w:rsidR="00FB3D34" w:rsidRDefault="00FB3D34" w:rsidP="003E0F58">
      <w:pPr>
        <w:jc w:val="left"/>
        <w:rPr>
          <w:rFonts w:eastAsia="Calibri" w:cs="Times New Roman"/>
          <w:i/>
          <w:iCs/>
          <w:sz w:val="22"/>
          <w:lang w:val="cs-CZ"/>
        </w:rPr>
      </w:pPr>
    </w:p>
    <w:p w14:paraId="2062A6BB" w14:textId="03A31234" w:rsidR="00FB3D34" w:rsidRDefault="00FB3D34" w:rsidP="003E0F58">
      <w:pPr>
        <w:jc w:val="left"/>
        <w:rPr>
          <w:rFonts w:eastAsia="Calibri" w:cs="Times New Roman"/>
          <w:i/>
          <w:iCs/>
          <w:sz w:val="22"/>
          <w:lang w:val="cs-CZ"/>
        </w:rPr>
      </w:pPr>
    </w:p>
    <w:p w14:paraId="21FE0632" w14:textId="29407393" w:rsidR="00FB3D34" w:rsidRDefault="00FB3D34" w:rsidP="003E0F58">
      <w:pPr>
        <w:jc w:val="left"/>
        <w:rPr>
          <w:rFonts w:eastAsia="Calibri" w:cs="Times New Roman"/>
          <w:i/>
          <w:iCs/>
          <w:sz w:val="22"/>
          <w:lang w:val="cs-CZ"/>
        </w:rPr>
      </w:pPr>
    </w:p>
    <w:p w14:paraId="289E85DA" w14:textId="6481BF8E" w:rsidR="00FB3D34" w:rsidRDefault="00FB3D34" w:rsidP="003E0F58">
      <w:pPr>
        <w:jc w:val="left"/>
        <w:rPr>
          <w:rFonts w:eastAsia="Calibri" w:cs="Times New Roman"/>
          <w:i/>
          <w:iCs/>
          <w:sz w:val="22"/>
          <w:lang w:val="cs-CZ"/>
        </w:rPr>
      </w:pPr>
    </w:p>
    <w:p w14:paraId="609E8FBD" w14:textId="3DFD27BE" w:rsidR="00FB3D34" w:rsidRDefault="00FB3D34" w:rsidP="003E0F58">
      <w:pPr>
        <w:jc w:val="left"/>
        <w:rPr>
          <w:rFonts w:eastAsia="Calibri" w:cs="Times New Roman"/>
          <w:i/>
          <w:iCs/>
          <w:sz w:val="22"/>
          <w:lang w:val="cs-CZ"/>
        </w:rPr>
      </w:pPr>
    </w:p>
    <w:p w14:paraId="33EA74F2" w14:textId="44954859" w:rsidR="00FB3D34" w:rsidRDefault="00FB3D34" w:rsidP="003E0F58">
      <w:pPr>
        <w:jc w:val="left"/>
        <w:rPr>
          <w:rFonts w:eastAsia="Calibri" w:cs="Times New Roman"/>
          <w:i/>
          <w:iCs/>
          <w:sz w:val="22"/>
          <w:lang w:val="cs-CZ"/>
        </w:rPr>
      </w:pPr>
    </w:p>
    <w:p w14:paraId="2E054F68" w14:textId="1CC410CA" w:rsidR="00FB3D34" w:rsidRDefault="00FB3D34" w:rsidP="003E0F58">
      <w:pPr>
        <w:jc w:val="left"/>
        <w:rPr>
          <w:rFonts w:eastAsia="Calibri" w:cs="Times New Roman"/>
          <w:i/>
          <w:iCs/>
          <w:sz w:val="22"/>
          <w:lang w:val="cs-CZ"/>
        </w:rPr>
      </w:pPr>
    </w:p>
    <w:p w14:paraId="28C4DE37" w14:textId="238DACBD" w:rsidR="00FB3D34" w:rsidRDefault="00FB3D34" w:rsidP="003E0F58">
      <w:pPr>
        <w:jc w:val="left"/>
        <w:rPr>
          <w:rFonts w:eastAsia="Calibri" w:cs="Times New Roman"/>
          <w:i/>
          <w:iCs/>
          <w:sz w:val="22"/>
          <w:lang w:val="cs-CZ"/>
        </w:rPr>
      </w:pPr>
    </w:p>
    <w:p w14:paraId="0D289073" w14:textId="683A51AF" w:rsidR="00FB3D34" w:rsidRDefault="00FB3D34" w:rsidP="003E0F58">
      <w:pPr>
        <w:jc w:val="left"/>
        <w:rPr>
          <w:rFonts w:eastAsia="Calibri" w:cs="Times New Roman"/>
          <w:i/>
          <w:iCs/>
          <w:sz w:val="22"/>
          <w:lang w:val="cs-CZ"/>
        </w:rPr>
      </w:pPr>
    </w:p>
    <w:p w14:paraId="205C9279" w14:textId="1A6BF504" w:rsidR="00FB3D34" w:rsidRDefault="00FB3D34" w:rsidP="003E0F58">
      <w:pPr>
        <w:jc w:val="left"/>
        <w:rPr>
          <w:rFonts w:eastAsia="Calibri" w:cs="Times New Roman"/>
          <w:i/>
          <w:iCs/>
          <w:sz w:val="22"/>
          <w:lang w:val="cs-CZ"/>
        </w:rPr>
      </w:pPr>
    </w:p>
    <w:p w14:paraId="3AA351C0" w14:textId="26840E8A" w:rsidR="00FB3D34" w:rsidRDefault="00FB3D34" w:rsidP="003E0F58">
      <w:pPr>
        <w:jc w:val="left"/>
        <w:rPr>
          <w:rFonts w:eastAsia="Calibri" w:cs="Times New Roman"/>
          <w:i/>
          <w:iCs/>
          <w:sz w:val="22"/>
          <w:lang w:val="cs-CZ"/>
        </w:rPr>
      </w:pPr>
    </w:p>
    <w:p w14:paraId="332E8B2A" w14:textId="77777777" w:rsidR="00FB3D34" w:rsidRPr="007C705C" w:rsidRDefault="00FB3D34" w:rsidP="003E0F58">
      <w:pPr>
        <w:jc w:val="left"/>
        <w:rPr>
          <w:rFonts w:eastAsia="Calibri" w:cs="Times New Roman"/>
          <w:i/>
          <w:iCs/>
          <w:sz w:val="22"/>
          <w:lang w:val="cs-CZ"/>
        </w:rPr>
      </w:pPr>
    </w:p>
    <w:p w14:paraId="4E0D1E46" w14:textId="35778814" w:rsidR="003E0F58" w:rsidRPr="002E0181" w:rsidRDefault="003E0F58" w:rsidP="002E0181">
      <w:pPr>
        <w:pStyle w:val="UZEITaB"/>
      </w:pPr>
      <w:bookmarkStart w:id="170" w:name="_Ref81228156"/>
      <w:bookmarkStart w:id="171" w:name="_Toc94181563"/>
      <w:r w:rsidRPr="002E0181">
        <w:lastRenderedPageBreak/>
        <w:t>Vývoj ploch zemědělských kultur T, G vs. R (Výměra DPB [ha])</w:t>
      </w:r>
      <w:bookmarkEnd w:id="170"/>
      <w:bookmarkEnd w:id="171"/>
    </w:p>
    <w:tbl>
      <w:tblPr>
        <w:tblStyle w:val="Mkatabulky"/>
        <w:tblW w:w="10558" w:type="dxa"/>
        <w:tblInd w:w="-754" w:type="dxa"/>
        <w:tblLook w:val="04A0" w:firstRow="1" w:lastRow="0" w:firstColumn="1" w:lastColumn="0" w:noHBand="0" w:noVBand="1"/>
      </w:tblPr>
      <w:tblGrid>
        <w:gridCol w:w="1761"/>
        <w:gridCol w:w="1255"/>
        <w:gridCol w:w="1257"/>
        <w:gridCol w:w="1257"/>
        <w:gridCol w:w="1257"/>
        <w:gridCol w:w="1257"/>
        <w:gridCol w:w="1257"/>
        <w:gridCol w:w="1257"/>
      </w:tblGrid>
      <w:tr w:rsidR="003E0F58" w:rsidRPr="00B644A3" w14:paraId="3C823CA5" w14:textId="77777777" w:rsidTr="007C705C">
        <w:trPr>
          <w:trHeight w:val="532"/>
        </w:trPr>
        <w:tc>
          <w:tcPr>
            <w:tcW w:w="1761" w:type="dxa"/>
          </w:tcPr>
          <w:p w14:paraId="684F303B" w14:textId="77777777" w:rsidR="003E0F58" w:rsidRPr="00B644A3" w:rsidRDefault="003E0F58" w:rsidP="00FB3D34">
            <w:pPr>
              <w:jc w:val="center"/>
              <w:rPr>
                <w:sz w:val="20"/>
              </w:rPr>
            </w:pPr>
            <w:r w:rsidRPr="00B644A3">
              <w:rPr>
                <w:sz w:val="20"/>
              </w:rPr>
              <w:t>Kultura</w:t>
            </w:r>
          </w:p>
          <w:p w14:paraId="40FA283E" w14:textId="77777777" w:rsidR="003E0F58" w:rsidRPr="00B644A3" w:rsidRDefault="003E0F58" w:rsidP="00FB3D34">
            <w:pPr>
              <w:jc w:val="center"/>
              <w:rPr>
                <w:i/>
                <w:iCs/>
                <w:sz w:val="20"/>
                <w:lang w:eastAsia="en-US"/>
              </w:rPr>
            </w:pPr>
          </w:p>
        </w:tc>
        <w:tc>
          <w:tcPr>
            <w:tcW w:w="1255" w:type="dxa"/>
          </w:tcPr>
          <w:p w14:paraId="57E6A013" w14:textId="77777777" w:rsidR="003E0F58" w:rsidRPr="00B644A3" w:rsidRDefault="003E0F58" w:rsidP="00FB3D34">
            <w:pPr>
              <w:jc w:val="center"/>
              <w:rPr>
                <w:i/>
                <w:iCs/>
                <w:sz w:val="20"/>
                <w:lang w:eastAsia="en-US"/>
              </w:rPr>
            </w:pPr>
            <w:r w:rsidRPr="00B644A3">
              <w:rPr>
                <w:sz w:val="20"/>
              </w:rPr>
              <w:t>2014</w:t>
            </w:r>
          </w:p>
        </w:tc>
        <w:tc>
          <w:tcPr>
            <w:tcW w:w="1257" w:type="dxa"/>
          </w:tcPr>
          <w:p w14:paraId="4597D2AB" w14:textId="77777777" w:rsidR="003E0F58" w:rsidRPr="00B644A3" w:rsidRDefault="003E0F58" w:rsidP="00FB3D34">
            <w:pPr>
              <w:jc w:val="center"/>
              <w:rPr>
                <w:i/>
                <w:iCs/>
                <w:sz w:val="20"/>
                <w:lang w:eastAsia="en-US"/>
              </w:rPr>
            </w:pPr>
            <w:r w:rsidRPr="00B644A3">
              <w:rPr>
                <w:sz w:val="20"/>
              </w:rPr>
              <w:t>2015</w:t>
            </w:r>
          </w:p>
        </w:tc>
        <w:tc>
          <w:tcPr>
            <w:tcW w:w="1257" w:type="dxa"/>
          </w:tcPr>
          <w:p w14:paraId="6C79B4D2" w14:textId="77777777" w:rsidR="003E0F58" w:rsidRPr="00B644A3" w:rsidRDefault="003E0F58" w:rsidP="00FB3D34">
            <w:pPr>
              <w:jc w:val="center"/>
              <w:rPr>
                <w:i/>
                <w:iCs/>
                <w:sz w:val="20"/>
                <w:lang w:eastAsia="en-US"/>
              </w:rPr>
            </w:pPr>
            <w:r w:rsidRPr="00B644A3">
              <w:rPr>
                <w:sz w:val="20"/>
              </w:rPr>
              <w:t>2016</w:t>
            </w:r>
          </w:p>
        </w:tc>
        <w:tc>
          <w:tcPr>
            <w:tcW w:w="1257" w:type="dxa"/>
          </w:tcPr>
          <w:p w14:paraId="141AE02A" w14:textId="77777777" w:rsidR="003E0F58" w:rsidRPr="00B644A3" w:rsidRDefault="003E0F58" w:rsidP="00FB3D34">
            <w:pPr>
              <w:jc w:val="center"/>
              <w:rPr>
                <w:i/>
                <w:iCs/>
                <w:sz w:val="20"/>
                <w:lang w:eastAsia="en-US"/>
              </w:rPr>
            </w:pPr>
            <w:r w:rsidRPr="00B644A3">
              <w:rPr>
                <w:sz w:val="20"/>
              </w:rPr>
              <w:t>2017</w:t>
            </w:r>
          </w:p>
        </w:tc>
        <w:tc>
          <w:tcPr>
            <w:tcW w:w="1257" w:type="dxa"/>
          </w:tcPr>
          <w:p w14:paraId="6616791B" w14:textId="77777777" w:rsidR="003E0F58" w:rsidRPr="00B644A3" w:rsidRDefault="003E0F58" w:rsidP="00FB3D34">
            <w:pPr>
              <w:jc w:val="center"/>
              <w:rPr>
                <w:i/>
                <w:iCs/>
                <w:sz w:val="20"/>
                <w:lang w:eastAsia="en-US"/>
              </w:rPr>
            </w:pPr>
            <w:r w:rsidRPr="00B644A3">
              <w:rPr>
                <w:sz w:val="20"/>
              </w:rPr>
              <w:t>2018</w:t>
            </w:r>
          </w:p>
        </w:tc>
        <w:tc>
          <w:tcPr>
            <w:tcW w:w="1257" w:type="dxa"/>
          </w:tcPr>
          <w:p w14:paraId="0730F673" w14:textId="77777777" w:rsidR="003E0F58" w:rsidRPr="00B644A3" w:rsidRDefault="003E0F58" w:rsidP="00FB3D34">
            <w:pPr>
              <w:jc w:val="center"/>
              <w:rPr>
                <w:i/>
                <w:iCs/>
                <w:sz w:val="20"/>
                <w:lang w:eastAsia="en-US"/>
              </w:rPr>
            </w:pPr>
            <w:r w:rsidRPr="00B644A3">
              <w:rPr>
                <w:sz w:val="20"/>
              </w:rPr>
              <w:t>2019</w:t>
            </w:r>
          </w:p>
        </w:tc>
        <w:tc>
          <w:tcPr>
            <w:tcW w:w="1257" w:type="dxa"/>
          </w:tcPr>
          <w:p w14:paraId="7C6B53FE" w14:textId="77777777" w:rsidR="003E0F58" w:rsidRPr="00B644A3" w:rsidRDefault="003E0F58" w:rsidP="00FB3D34">
            <w:pPr>
              <w:jc w:val="center"/>
              <w:rPr>
                <w:i/>
                <w:iCs/>
                <w:sz w:val="20"/>
                <w:lang w:eastAsia="en-US"/>
              </w:rPr>
            </w:pPr>
            <w:r w:rsidRPr="00B644A3">
              <w:rPr>
                <w:sz w:val="20"/>
              </w:rPr>
              <w:t>2020</w:t>
            </w:r>
          </w:p>
        </w:tc>
      </w:tr>
      <w:tr w:rsidR="003E0F58" w:rsidRPr="00B644A3" w14:paraId="1B2FBB44" w14:textId="77777777" w:rsidTr="007C705C">
        <w:trPr>
          <w:trHeight w:val="71"/>
        </w:trPr>
        <w:tc>
          <w:tcPr>
            <w:tcW w:w="1761" w:type="dxa"/>
            <w:vAlign w:val="center"/>
          </w:tcPr>
          <w:p w14:paraId="6B5D6C11" w14:textId="77777777" w:rsidR="003E0F58" w:rsidRPr="00B644A3" w:rsidRDefault="003E0F58" w:rsidP="004D2249">
            <w:pPr>
              <w:jc w:val="center"/>
              <w:rPr>
                <w:i/>
                <w:iCs/>
                <w:sz w:val="20"/>
                <w:lang w:eastAsia="en-US"/>
              </w:rPr>
            </w:pPr>
            <w:r w:rsidRPr="00B644A3">
              <w:rPr>
                <w:sz w:val="20"/>
              </w:rPr>
              <w:t>T</w:t>
            </w:r>
          </w:p>
        </w:tc>
        <w:tc>
          <w:tcPr>
            <w:tcW w:w="1255" w:type="dxa"/>
            <w:vAlign w:val="bottom"/>
          </w:tcPr>
          <w:p w14:paraId="7A07B81E" w14:textId="77777777" w:rsidR="003E0F58" w:rsidRPr="00B644A3" w:rsidRDefault="003E0F58" w:rsidP="004D2249">
            <w:pPr>
              <w:jc w:val="right"/>
              <w:rPr>
                <w:i/>
                <w:iCs/>
                <w:sz w:val="20"/>
                <w:lang w:eastAsia="en-US"/>
              </w:rPr>
            </w:pPr>
            <w:r w:rsidRPr="00B644A3">
              <w:rPr>
                <w:sz w:val="20"/>
              </w:rPr>
              <w:t>925 436,34</w:t>
            </w:r>
          </w:p>
        </w:tc>
        <w:tc>
          <w:tcPr>
            <w:tcW w:w="1257" w:type="dxa"/>
            <w:vAlign w:val="bottom"/>
          </w:tcPr>
          <w:p w14:paraId="152F3F20" w14:textId="77777777" w:rsidR="003E0F58" w:rsidRPr="00B644A3" w:rsidRDefault="003E0F58" w:rsidP="004D2249">
            <w:pPr>
              <w:jc w:val="right"/>
              <w:rPr>
                <w:i/>
                <w:iCs/>
                <w:sz w:val="20"/>
                <w:lang w:eastAsia="en-US"/>
              </w:rPr>
            </w:pPr>
            <w:r w:rsidRPr="00B644A3">
              <w:rPr>
                <w:sz w:val="20"/>
              </w:rPr>
              <w:t>978 717,51</w:t>
            </w:r>
          </w:p>
        </w:tc>
        <w:tc>
          <w:tcPr>
            <w:tcW w:w="1257" w:type="dxa"/>
            <w:vAlign w:val="bottom"/>
          </w:tcPr>
          <w:p w14:paraId="50957B93" w14:textId="77777777" w:rsidR="003E0F58" w:rsidRPr="00B644A3" w:rsidRDefault="003E0F58" w:rsidP="004D2249">
            <w:pPr>
              <w:jc w:val="right"/>
              <w:rPr>
                <w:i/>
                <w:iCs/>
                <w:sz w:val="20"/>
                <w:lang w:eastAsia="en-US"/>
              </w:rPr>
            </w:pPr>
            <w:r w:rsidRPr="00B644A3">
              <w:rPr>
                <w:sz w:val="20"/>
              </w:rPr>
              <w:t>989 967,35</w:t>
            </w:r>
          </w:p>
        </w:tc>
        <w:tc>
          <w:tcPr>
            <w:tcW w:w="1257" w:type="dxa"/>
            <w:vAlign w:val="bottom"/>
          </w:tcPr>
          <w:p w14:paraId="11B2A526" w14:textId="77777777" w:rsidR="003E0F58" w:rsidRPr="00B644A3" w:rsidRDefault="003E0F58" w:rsidP="004D2249">
            <w:pPr>
              <w:jc w:val="right"/>
              <w:rPr>
                <w:i/>
                <w:iCs/>
                <w:sz w:val="20"/>
                <w:lang w:eastAsia="en-US"/>
              </w:rPr>
            </w:pPr>
            <w:r w:rsidRPr="00B644A3">
              <w:rPr>
                <w:sz w:val="20"/>
              </w:rPr>
              <w:t>997 511,81</w:t>
            </w:r>
          </w:p>
        </w:tc>
        <w:tc>
          <w:tcPr>
            <w:tcW w:w="1257" w:type="dxa"/>
            <w:vAlign w:val="bottom"/>
          </w:tcPr>
          <w:p w14:paraId="0D76681E" w14:textId="77777777" w:rsidR="003E0F58" w:rsidRPr="00B644A3" w:rsidRDefault="003E0F58" w:rsidP="004D2249">
            <w:pPr>
              <w:jc w:val="right"/>
              <w:rPr>
                <w:i/>
                <w:iCs/>
                <w:sz w:val="20"/>
                <w:lang w:eastAsia="en-US"/>
              </w:rPr>
            </w:pPr>
            <w:r w:rsidRPr="00B644A3">
              <w:rPr>
                <w:sz w:val="20"/>
              </w:rPr>
              <w:t>1 001 203,04</w:t>
            </w:r>
          </w:p>
        </w:tc>
        <w:tc>
          <w:tcPr>
            <w:tcW w:w="1257" w:type="dxa"/>
            <w:vAlign w:val="bottom"/>
          </w:tcPr>
          <w:p w14:paraId="1284FB0D" w14:textId="77777777" w:rsidR="003E0F58" w:rsidRPr="00B644A3" w:rsidRDefault="003E0F58" w:rsidP="004D2249">
            <w:pPr>
              <w:jc w:val="right"/>
              <w:rPr>
                <w:i/>
                <w:iCs/>
                <w:sz w:val="20"/>
                <w:lang w:eastAsia="en-US"/>
              </w:rPr>
            </w:pPr>
            <w:r w:rsidRPr="00B644A3">
              <w:rPr>
                <w:sz w:val="20"/>
              </w:rPr>
              <w:t>1 004 524,52</w:t>
            </w:r>
          </w:p>
        </w:tc>
        <w:tc>
          <w:tcPr>
            <w:tcW w:w="1257" w:type="dxa"/>
            <w:vAlign w:val="bottom"/>
          </w:tcPr>
          <w:p w14:paraId="129FE563" w14:textId="77777777" w:rsidR="003E0F58" w:rsidRPr="00B644A3" w:rsidRDefault="003E0F58" w:rsidP="004D2249">
            <w:pPr>
              <w:jc w:val="right"/>
              <w:rPr>
                <w:i/>
                <w:iCs/>
                <w:sz w:val="20"/>
                <w:lang w:eastAsia="en-US"/>
              </w:rPr>
            </w:pPr>
            <w:r w:rsidRPr="00B644A3">
              <w:rPr>
                <w:sz w:val="20"/>
              </w:rPr>
              <w:t>1 005 783,47</w:t>
            </w:r>
          </w:p>
        </w:tc>
      </w:tr>
      <w:tr w:rsidR="003E0F58" w:rsidRPr="00B644A3" w14:paraId="252B2265" w14:textId="77777777" w:rsidTr="007C705C">
        <w:trPr>
          <w:trHeight w:val="98"/>
        </w:trPr>
        <w:tc>
          <w:tcPr>
            <w:tcW w:w="1761" w:type="dxa"/>
            <w:vAlign w:val="center"/>
          </w:tcPr>
          <w:p w14:paraId="112FF14E" w14:textId="77777777" w:rsidR="003E0F58" w:rsidRPr="00B644A3" w:rsidRDefault="003E0F58" w:rsidP="004D2249">
            <w:pPr>
              <w:jc w:val="center"/>
              <w:rPr>
                <w:i/>
                <w:iCs/>
                <w:sz w:val="20"/>
                <w:lang w:eastAsia="en-US"/>
              </w:rPr>
            </w:pPr>
            <w:r w:rsidRPr="00B644A3">
              <w:rPr>
                <w:sz w:val="20"/>
              </w:rPr>
              <w:t>G</w:t>
            </w:r>
          </w:p>
        </w:tc>
        <w:tc>
          <w:tcPr>
            <w:tcW w:w="1255" w:type="dxa"/>
            <w:vAlign w:val="bottom"/>
          </w:tcPr>
          <w:p w14:paraId="7748E964" w14:textId="77777777" w:rsidR="003E0F58" w:rsidRPr="00B644A3" w:rsidRDefault="003E0F58" w:rsidP="004D2249">
            <w:pPr>
              <w:jc w:val="right"/>
              <w:rPr>
                <w:i/>
                <w:iCs/>
                <w:sz w:val="20"/>
                <w:lang w:eastAsia="en-US"/>
              </w:rPr>
            </w:pPr>
            <w:r w:rsidRPr="00B644A3">
              <w:rPr>
                <w:sz w:val="20"/>
              </w:rPr>
              <w:t>69 905,27</w:t>
            </w:r>
          </w:p>
        </w:tc>
        <w:tc>
          <w:tcPr>
            <w:tcW w:w="1257" w:type="dxa"/>
            <w:vAlign w:val="bottom"/>
          </w:tcPr>
          <w:p w14:paraId="432E9A0A" w14:textId="77777777" w:rsidR="003E0F58" w:rsidRPr="00B644A3" w:rsidRDefault="003E0F58" w:rsidP="004D2249">
            <w:pPr>
              <w:jc w:val="right"/>
              <w:rPr>
                <w:i/>
                <w:iCs/>
                <w:sz w:val="20"/>
                <w:lang w:eastAsia="en-US"/>
              </w:rPr>
            </w:pPr>
            <w:r w:rsidRPr="00B644A3">
              <w:rPr>
                <w:sz w:val="20"/>
              </w:rPr>
              <w:t>24 994,26</w:t>
            </w:r>
          </w:p>
        </w:tc>
        <w:tc>
          <w:tcPr>
            <w:tcW w:w="1257" w:type="dxa"/>
            <w:vAlign w:val="bottom"/>
          </w:tcPr>
          <w:p w14:paraId="6DD83D15" w14:textId="77777777" w:rsidR="003E0F58" w:rsidRPr="00B644A3" w:rsidRDefault="003E0F58" w:rsidP="004D2249">
            <w:pPr>
              <w:jc w:val="right"/>
              <w:rPr>
                <w:i/>
                <w:iCs/>
                <w:sz w:val="20"/>
                <w:lang w:eastAsia="en-US"/>
              </w:rPr>
            </w:pPr>
            <w:r w:rsidRPr="00B644A3">
              <w:rPr>
                <w:sz w:val="20"/>
              </w:rPr>
              <w:t>24 761,11</w:t>
            </w:r>
          </w:p>
        </w:tc>
        <w:tc>
          <w:tcPr>
            <w:tcW w:w="1257" w:type="dxa"/>
            <w:vAlign w:val="bottom"/>
          </w:tcPr>
          <w:p w14:paraId="1BAC4B76" w14:textId="77777777" w:rsidR="003E0F58" w:rsidRPr="00B644A3" w:rsidRDefault="003E0F58" w:rsidP="004D2249">
            <w:pPr>
              <w:jc w:val="right"/>
              <w:rPr>
                <w:i/>
                <w:iCs/>
                <w:sz w:val="20"/>
                <w:lang w:eastAsia="en-US"/>
              </w:rPr>
            </w:pPr>
            <w:r w:rsidRPr="00B644A3">
              <w:rPr>
                <w:sz w:val="20"/>
              </w:rPr>
              <w:t>29 262,17</w:t>
            </w:r>
          </w:p>
        </w:tc>
        <w:tc>
          <w:tcPr>
            <w:tcW w:w="1257" w:type="dxa"/>
            <w:vAlign w:val="bottom"/>
          </w:tcPr>
          <w:p w14:paraId="3BD7B905" w14:textId="77777777" w:rsidR="003E0F58" w:rsidRPr="00B644A3" w:rsidRDefault="003E0F58" w:rsidP="004D2249">
            <w:pPr>
              <w:jc w:val="right"/>
              <w:rPr>
                <w:i/>
                <w:iCs/>
                <w:sz w:val="20"/>
                <w:lang w:eastAsia="en-US"/>
              </w:rPr>
            </w:pPr>
            <w:r w:rsidRPr="00B644A3">
              <w:rPr>
                <w:sz w:val="20"/>
              </w:rPr>
              <w:t>31 811,71</w:t>
            </w:r>
          </w:p>
        </w:tc>
        <w:tc>
          <w:tcPr>
            <w:tcW w:w="1257" w:type="dxa"/>
            <w:vAlign w:val="bottom"/>
          </w:tcPr>
          <w:p w14:paraId="5DE1D5C6" w14:textId="77777777" w:rsidR="003E0F58" w:rsidRPr="00B644A3" w:rsidRDefault="003E0F58" w:rsidP="004D2249">
            <w:pPr>
              <w:jc w:val="right"/>
              <w:rPr>
                <w:i/>
                <w:iCs/>
                <w:sz w:val="20"/>
                <w:lang w:eastAsia="en-US"/>
              </w:rPr>
            </w:pPr>
            <w:r w:rsidRPr="00B644A3">
              <w:rPr>
                <w:sz w:val="20"/>
              </w:rPr>
              <w:t>35 945,43</w:t>
            </w:r>
          </w:p>
        </w:tc>
        <w:tc>
          <w:tcPr>
            <w:tcW w:w="1257" w:type="dxa"/>
            <w:vAlign w:val="bottom"/>
          </w:tcPr>
          <w:p w14:paraId="3BD2E86B" w14:textId="77777777" w:rsidR="003E0F58" w:rsidRPr="00B644A3" w:rsidRDefault="003E0F58" w:rsidP="004D2249">
            <w:pPr>
              <w:jc w:val="right"/>
              <w:rPr>
                <w:i/>
                <w:iCs/>
                <w:sz w:val="20"/>
                <w:lang w:eastAsia="en-US"/>
              </w:rPr>
            </w:pPr>
            <w:r w:rsidRPr="00B644A3">
              <w:rPr>
                <w:sz w:val="20"/>
              </w:rPr>
              <w:t>39 078,06</w:t>
            </w:r>
          </w:p>
        </w:tc>
      </w:tr>
      <w:tr w:rsidR="003E0F58" w:rsidRPr="00B644A3" w14:paraId="2034D30D" w14:textId="77777777" w:rsidTr="007C705C">
        <w:trPr>
          <w:trHeight w:val="372"/>
        </w:trPr>
        <w:tc>
          <w:tcPr>
            <w:tcW w:w="1761" w:type="dxa"/>
            <w:vAlign w:val="center"/>
          </w:tcPr>
          <w:p w14:paraId="02D34826" w14:textId="77777777" w:rsidR="003E0F58" w:rsidRPr="00B644A3" w:rsidRDefault="003E0F58" w:rsidP="004D2249">
            <w:pPr>
              <w:jc w:val="center"/>
              <w:rPr>
                <w:i/>
                <w:iCs/>
                <w:sz w:val="20"/>
                <w:lang w:eastAsia="en-US"/>
              </w:rPr>
            </w:pPr>
            <w:r w:rsidRPr="00B644A3">
              <w:rPr>
                <w:sz w:val="20"/>
              </w:rPr>
              <w:t>R</w:t>
            </w:r>
          </w:p>
        </w:tc>
        <w:tc>
          <w:tcPr>
            <w:tcW w:w="1255" w:type="dxa"/>
            <w:vAlign w:val="bottom"/>
          </w:tcPr>
          <w:p w14:paraId="7E8389E8" w14:textId="77777777" w:rsidR="003E0F58" w:rsidRPr="00B644A3" w:rsidRDefault="003E0F58" w:rsidP="004D2249">
            <w:pPr>
              <w:jc w:val="right"/>
              <w:rPr>
                <w:i/>
                <w:iCs/>
                <w:sz w:val="20"/>
                <w:lang w:eastAsia="en-US"/>
              </w:rPr>
            </w:pPr>
            <w:r w:rsidRPr="00B644A3">
              <w:rPr>
                <w:sz w:val="20"/>
              </w:rPr>
              <w:t>2 502 943,85</w:t>
            </w:r>
          </w:p>
        </w:tc>
        <w:tc>
          <w:tcPr>
            <w:tcW w:w="1257" w:type="dxa"/>
            <w:vAlign w:val="bottom"/>
          </w:tcPr>
          <w:p w14:paraId="174E7AA7" w14:textId="77777777" w:rsidR="003E0F58" w:rsidRPr="00B644A3" w:rsidRDefault="003E0F58" w:rsidP="004D2249">
            <w:pPr>
              <w:jc w:val="right"/>
              <w:rPr>
                <w:i/>
                <w:iCs/>
                <w:sz w:val="20"/>
                <w:lang w:eastAsia="en-US"/>
              </w:rPr>
            </w:pPr>
            <w:r w:rsidRPr="00B644A3">
              <w:rPr>
                <w:sz w:val="20"/>
              </w:rPr>
              <w:t>2 486 675,32</w:t>
            </w:r>
          </w:p>
        </w:tc>
        <w:tc>
          <w:tcPr>
            <w:tcW w:w="1257" w:type="dxa"/>
            <w:vAlign w:val="bottom"/>
          </w:tcPr>
          <w:p w14:paraId="38C41C54" w14:textId="77777777" w:rsidR="003E0F58" w:rsidRPr="00B644A3" w:rsidRDefault="003E0F58" w:rsidP="004D2249">
            <w:pPr>
              <w:jc w:val="right"/>
              <w:rPr>
                <w:i/>
                <w:iCs/>
                <w:sz w:val="20"/>
                <w:lang w:eastAsia="en-US"/>
              </w:rPr>
            </w:pPr>
            <w:r w:rsidRPr="00B644A3">
              <w:rPr>
                <w:sz w:val="20"/>
              </w:rPr>
              <w:t>2 483 018,27</w:t>
            </w:r>
          </w:p>
        </w:tc>
        <w:tc>
          <w:tcPr>
            <w:tcW w:w="1257" w:type="dxa"/>
            <w:vAlign w:val="bottom"/>
          </w:tcPr>
          <w:p w14:paraId="567F9D2E" w14:textId="77777777" w:rsidR="003E0F58" w:rsidRPr="00B644A3" w:rsidRDefault="003E0F58" w:rsidP="004D2249">
            <w:pPr>
              <w:jc w:val="right"/>
              <w:rPr>
                <w:i/>
                <w:iCs/>
                <w:sz w:val="20"/>
                <w:lang w:eastAsia="en-US"/>
              </w:rPr>
            </w:pPr>
            <w:r w:rsidRPr="00B644A3">
              <w:rPr>
                <w:sz w:val="20"/>
              </w:rPr>
              <w:t>2 467 516,44</w:t>
            </w:r>
          </w:p>
        </w:tc>
        <w:tc>
          <w:tcPr>
            <w:tcW w:w="1257" w:type="dxa"/>
            <w:vAlign w:val="bottom"/>
          </w:tcPr>
          <w:p w14:paraId="78BDBF4E" w14:textId="77777777" w:rsidR="003E0F58" w:rsidRPr="00B644A3" w:rsidRDefault="003E0F58" w:rsidP="004D2249">
            <w:pPr>
              <w:jc w:val="right"/>
              <w:rPr>
                <w:i/>
                <w:iCs/>
                <w:sz w:val="20"/>
                <w:lang w:eastAsia="en-US"/>
              </w:rPr>
            </w:pPr>
            <w:r w:rsidRPr="00B644A3">
              <w:rPr>
                <w:sz w:val="20"/>
              </w:rPr>
              <w:t>2 459 621,14</w:t>
            </w:r>
          </w:p>
        </w:tc>
        <w:tc>
          <w:tcPr>
            <w:tcW w:w="1257" w:type="dxa"/>
            <w:vAlign w:val="bottom"/>
          </w:tcPr>
          <w:p w14:paraId="22610C1F" w14:textId="77777777" w:rsidR="003E0F58" w:rsidRPr="00B644A3" w:rsidRDefault="003E0F58" w:rsidP="004D2249">
            <w:pPr>
              <w:jc w:val="right"/>
              <w:rPr>
                <w:i/>
                <w:iCs/>
                <w:sz w:val="20"/>
                <w:lang w:eastAsia="en-US"/>
              </w:rPr>
            </w:pPr>
            <w:r w:rsidRPr="00B644A3">
              <w:rPr>
                <w:sz w:val="20"/>
              </w:rPr>
              <w:t>2 451 141,94</w:t>
            </w:r>
          </w:p>
        </w:tc>
        <w:tc>
          <w:tcPr>
            <w:tcW w:w="1257" w:type="dxa"/>
            <w:vAlign w:val="bottom"/>
          </w:tcPr>
          <w:p w14:paraId="001AD39D" w14:textId="77777777" w:rsidR="003E0F58" w:rsidRPr="00B644A3" w:rsidRDefault="003E0F58" w:rsidP="004D2249">
            <w:pPr>
              <w:jc w:val="right"/>
              <w:rPr>
                <w:i/>
                <w:iCs/>
                <w:sz w:val="20"/>
                <w:lang w:eastAsia="en-US"/>
              </w:rPr>
            </w:pPr>
            <w:r w:rsidRPr="00B644A3">
              <w:rPr>
                <w:sz w:val="20"/>
              </w:rPr>
              <w:t>2 446 792,19</w:t>
            </w:r>
          </w:p>
        </w:tc>
      </w:tr>
      <w:tr w:rsidR="003E0F58" w:rsidRPr="00B644A3" w14:paraId="0EC3DA21" w14:textId="77777777" w:rsidTr="007C705C">
        <w:trPr>
          <w:trHeight w:val="266"/>
        </w:trPr>
        <w:tc>
          <w:tcPr>
            <w:tcW w:w="1761" w:type="dxa"/>
            <w:vAlign w:val="center"/>
          </w:tcPr>
          <w:p w14:paraId="2591693A" w14:textId="77777777" w:rsidR="003E0F58" w:rsidRPr="00B644A3" w:rsidRDefault="003E0F58" w:rsidP="004D2249">
            <w:pPr>
              <w:jc w:val="center"/>
              <w:rPr>
                <w:i/>
                <w:iCs/>
                <w:sz w:val="20"/>
                <w:lang w:eastAsia="en-US"/>
              </w:rPr>
            </w:pPr>
            <w:r w:rsidRPr="00B644A3">
              <w:rPr>
                <w:i/>
                <w:iCs/>
                <w:sz w:val="20"/>
                <w:lang w:eastAsia="en-US"/>
              </w:rPr>
              <w:t>T/(T+R) [%]</w:t>
            </w:r>
          </w:p>
        </w:tc>
        <w:tc>
          <w:tcPr>
            <w:tcW w:w="1255" w:type="dxa"/>
          </w:tcPr>
          <w:p w14:paraId="567E8D37" w14:textId="77777777" w:rsidR="003E0F58" w:rsidRPr="00B644A3" w:rsidRDefault="003E0F58" w:rsidP="004D2249">
            <w:pPr>
              <w:jc w:val="right"/>
              <w:rPr>
                <w:i/>
                <w:iCs/>
                <w:sz w:val="20"/>
                <w:lang w:eastAsia="en-US"/>
              </w:rPr>
            </w:pPr>
            <w:r w:rsidRPr="00B644A3">
              <w:rPr>
                <w:sz w:val="20"/>
              </w:rPr>
              <w:t>27%</w:t>
            </w:r>
          </w:p>
        </w:tc>
        <w:tc>
          <w:tcPr>
            <w:tcW w:w="1257" w:type="dxa"/>
          </w:tcPr>
          <w:p w14:paraId="4FFC6B32" w14:textId="77777777" w:rsidR="003E0F58" w:rsidRPr="00B644A3" w:rsidRDefault="003E0F58" w:rsidP="004D2249">
            <w:pPr>
              <w:jc w:val="right"/>
              <w:rPr>
                <w:i/>
                <w:iCs/>
                <w:sz w:val="20"/>
                <w:lang w:eastAsia="en-US"/>
              </w:rPr>
            </w:pPr>
            <w:r w:rsidRPr="00B644A3">
              <w:rPr>
                <w:sz w:val="20"/>
              </w:rPr>
              <w:t>28%</w:t>
            </w:r>
          </w:p>
        </w:tc>
        <w:tc>
          <w:tcPr>
            <w:tcW w:w="1257" w:type="dxa"/>
          </w:tcPr>
          <w:p w14:paraId="21A92C71" w14:textId="77777777" w:rsidR="003E0F58" w:rsidRPr="00B644A3" w:rsidRDefault="003E0F58" w:rsidP="004D2249">
            <w:pPr>
              <w:jc w:val="right"/>
              <w:rPr>
                <w:i/>
                <w:iCs/>
                <w:sz w:val="20"/>
                <w:lang w:eastAsia="en-US"/>
              </w:rPr>
            </w:pPr>
            <w:r w:rsidRPr="00B644A3">
              <w:rPr>
                <w:sz w:val="20"/>
              </w:rPr>
              <w:t>29%</w:t>
            </w:r>
          </w:p>
        </w:tc>
        <w:tc>
          <w:tcPr>
            <w:tcW w:w="1257" w:type="dxa"/>
          </w:tcPr>
          <w:p w14:paraId="721AA544" w14:textId="77777777" w:rsidR="003E0F58" w:rsidRPr="00B644A3" w:rsidRDefault="003E0F58" w:rsidP="004D2249">
            <w:pPr>
              <w:jc w:val="right"/>
              <w:rPr>
                <w:i/>
                <w:iCs/>
                <w:sz w:val="20"/>
                <w:lang w:eastAsia="en-US"/>
              </w:rPr>
            </w:pPr>
            <w:r w:rsidRPr="00B644A3">
              <w:rPr>
                <w:sz w:val="20"/>
              </w:rPr>
              <w:t>29%</w:t>
            </w:r>
          </w:p>
        </w:tc>
        <w:tc>
          <w:tcPr>
            <w:tcW w:w="1257" w:type="dxa"/>
          </w:tcPr>
          <w:p w14:paraId="03432714" w14:textId="77777777" w:rsidR="003E0F58" w:rsidRPr="00B644A3" w:rsidRDefault="003E0F58" w:rsidP="004D2249">
            <w:pPr>
              <w:jc w:val="right"/>
              <w:rPr>
                <w:i/>
                <w:iCs/>
                <w:sz w:val="20"/>
                <w:lang w:eastAsia="en-US"/>
              </w:rPr>
            </w:pPr>
            <w:r w:rsidRPr="00B644A3">
              <w:rPr>
                <w:sz w:val="20"/>
              </w:rPr>
              <w:t>29%</w:t>
            </w:r>
          </w:p>
        </w:tc>
        <w:tc>
          <w:tcPr>
            <w:tcW w:w="1257" w:type="dxa"/>
          </w:tcPr>
          <w:p w14:paraId="423EEA08" w14:textId="77777777" w:rsidR="003E0F58" w:rsidRPr="00B644A3" w:rsidRDefault="003E0F58" w:rsidP="004D2249">
            <w:pPr>
              <w:jc w:val="right"/>
              <w:rPr>
                <w:i/>
                <w:iCs/>
                <w:sz w:val="20"/>
                <w:lang w:eastAsia="en-US"/>
              </w:rPr>
            </w:pPr>
            <w:r w:rsidRPr="00B644A3">
              <w:rPr>
                <w:sz w:val="20"/>
              </w:rPr>
              <w:t>29%</w:t>
            </w:r>
          </w:p>
        </w:tc>
        <w:tc>
          <w:tcPr>
            <w:tcW w:w="1257" w:type="dxa"/>
          </w:tcPr>
          <w:p w14:paraId="02A4FE7E" w14:textId="77777777" w:rsidR="003E0F58" w:rsidRPr="00B644A3" w:rsidRDefault="003E0F58" w:rsidP="004D2249">
            <w:pPr>
              <w:jc w:val="right"/>
              <w:rPr>
                <w:i/>
                <w:iCs/>
                <w:sz w:val="20"/>
                <w:lang w:eastAsia="en-US"/>
              </w:rPr>
            </w:pPr>
            <w:r w:rsidRPr="00B644A3">
              <w:rPr>
                <w:sz w:val="20"/>
              </w:rPr>
              <w:t>29%</w:t>
            </w:r>
          </w:p>
        </w:tc>
      </w:tr>
      <w:tr w:rsidR="003E0F58" w:rsidRPr="00B644A3" w14:paraId="3399C730" w14:textId="77777777" w:rsidTr="007C705C">
        <w:trPr>
          <w:trHeight w:val="266"/>
        </w:trPr>
        <w:tc>
          <w:tcPr>
            <w:tcW w:w="1761" w:type="dxa"/>
            <w:vAlign w:val="center"/>
          </w:tcPr>
          <w:p w14:paraId="0A93D9DE" w14:textId="77777777" w:rsidR="003E0F58" w:rsidRPr="00B644A3" w:rsidRDefault="003E0F58" w:rsidP="004D2249">
            <w:pPr>
              <w:jc w:val="center"/>
              <w:rPr>
                <w:i/>
                <w:iCs/>
                <w:sz w:val="20"/>
                <w:lang w:eastAsia="en-US"/>
              </w:rPr>
            </w:pPr>
            <w:r w:rsidRPr="00B644A3">
              <w:rPr>
                <w:i/>
                <w:iCs/>
                <w:sz w:val="20"/>
                <w:lang w:eastAsia="en-US"/>
              </w:rPr>
              <w:t>G/R[%]</w:t>
            </w:r>
          </w:p>
        </w:tc>
        <w:tc>
          <w:tcPr>
            <w:tcW w:w="1255" w:type="dxa"/>
          </w:tcPr>
          <w:p w14:paraId="6519D4C4" w14:textId="77777777" w:rsidR="003E0F58" w:rsidRPr="00B644A3" w:rsidRDefault="003E0F58" w:rsidP="004D2249">
            <w:pPr>
              <w:jc w:val="right"/>
              <w:rPr>
                <w:i/>
                <w:iCs/>
                <w:sz w:val="20"/>
                <w:lang w:eastAsia="en-US"/>
              </w:rPr>
            </w:pPr>
            <w:r w:rsidRPr="00B644A3">
              <w:rPr>
                <w:sz w:val="20"/>
              </w:rPr>
              <w:t>3%</w:t>
            </w:r>
          </w:p>
        </w:tc>
        <w:tc>
          <w:tcPr>
            <w:tcW w:w="1257" w:type="dxa"/>
          </w:tcPr>
          <w:p w14:paraId="2B04491B" w14:textId="77777777" w:rsidR="003E0F58" w:rsidRPr="00B644A3" w:rsidRDefault="003E0F58" w:rsidP="004D2249">
            <w:pPr>
              <w:jc w:val="right"/>
              <w:rPr>
                <w:i/>
                <w:iCs/>
                <w:sz w:val="20"/>
                <w:lang w:eastAsia="en-US"/>
              </w:rPr>
            </w:pPr>
            <w:r w:rsidRPr="00B644A3">
              <w:rPr>
                <w:sz w:val="20"/>
              </w:rPr>
              <w:t>1%</w:t>
            </w:r>
          </w:p>
        </w:tc>
        <w:tc>
          <w:tcPr>
            <w:tcW w:w="1257" w:type="dxa"/>
          </w:tcPr>
          <w:p w14:paraId="5E756BD8" w14:textId="77777777" w:rsidR="003E0F58" w:rsidRPr="00B644A3" w:rsidRDefault="003E0F58" w:rsidP="004D2249">
            <w:pPr>
              <w:jc w:val="right"/>
              <w:rPr>
                <w:i/>
                <w:iCs/>
                <w:sz w:val="20"/>
                <w:lang w:eastAsia="en-US"/>
              </w:rPr>
            </w:pPr>
            <w:r w:rsidRPr="00B644A3">
              <w:rPr>
                <w:sz w:val="20"/>
              </w:rPr>
              <w:t>1%</w:t>
            </w:r>
          </w:p>
        </w:tc>
        <w:tc>
          <w:tcPr>
            <w:tcW w:w="1257" w:type="dxa"/>
          </w:tcPr>
          <w:p w14:paraId="59B731E8" w14:textId="77777777" w:rsidR="003E0F58" w:rsidRPr="00B644A3" w:rsidRDefault="003E0F58" w:rsidP="004D2249">
            <w:pPr>
              <w:jc w:val="right"/>
              <w:rPr>
                <w:i/>
                <w:iCs/>
                <w:sz w:val="20"/>
                <w:lang w:eastAsia="en-US"/>
              </w:rPr>
            </w:pPr>
            <w:r w:rsidRPr="00B644A3">
              <w:rPr>
                <w:sz w:val="20"/>
              </w:rPr>
              <w:t>1%</w:t>
            </w:r>
          </w:p>
        </w:tc>
        <w:tc>
          <w:tcPr>
            <w:tcW w:w="1257" w:type="dxa"/>
          </w:tcPr>
          <w:p w14:paraId="64027575" w14:textId="77777777" w:rsidR="003E0F58" w:rsidRPr="00B644A3" w:rsidRDefault="003E0F58" w:rsidP="004D2249">
            <w:pPr>
              <w:jc w:val="right"/>
              <w:rPr>
                <w:i/>
                <w:iCs/>
                <w:sz w:val="20"/>
                <w:lang w:eastAsia="en-US"/>
              </w:rPr>
            </w:pPr>
            <w:r w:rsidRPr="00B644A3">
              <w:rPr>
                <w:sz w:val="20"/>
              </w:rPr>
              <w:t>1%</w:t>
            </w:r>
          </w:p>
        </w:tc>
        <w:tc>
          <w:tcPr>
            <w:tcW w:w="1257" w:type="dxa"/>
          </w:tcPr>
          <w:p w14:paraId="4D610416" w14:textId="77777777" w:rsidR="003E0F58" w:rsidRPr="00B644A3" w:rsidRDefault="003E0F58" w:rsidP="004D2249">
            <w:pPr>
              <w:jc w:val="right"/>
              <w:rPr>
                <w:i/>
                <w:iCs/>
                <w:sz w:val="20"/>
                <w:lang w:eastAsia="en-US"/>
              </w:rPr>
            </w:pPr>
            <w:r w:rsidRPr="00B644A3">
              <w:rPr>
                <w:sz w:val="20"/>
              </w:rPr>
              <w:t>2%</w:t>
            </w:r>
          </w:p>
        </w:tc>
        <w:tc>
          <w:tcPr>
            <w:tcW w:w="1257" w:type="dxa"/>
          </w:tcPr>
          <w:p w14:paraId="1DE6A021" w14:textId="77777777" w:rsidR="003E0F58" w:rsidRPr="00B644A3" w:rsidRDefault="003E0F58" w:rsidP="004D2249">
            <w:pPr>
              <w:jc w:val="right"/>
              <w:rPr>
                <w:i/>
                <w:iCs/>
                <w:sz w:val="20"/>
                <w:lang w:eastAsia="en-US"/>
              </w:rPr>
            </w:pPr>
            <w:r w:rsidRPr="00B644A3">
              <w:rPr>
                <w:sz w:val="20"/>
              </w:rPr>
              <w:t>2%</w:t>
            </w:r>
          </w:p>
        </w:tc>
      </w:tr>
      <w:tr w:rsidR="003E0F58" w:rsidRPr="00B644A3" w14:paraId="313B7384" w14:textId="77777777" w:rsidTr="007C705C">
        <w:trPr>
          <w:trHeight w:val="266"/>
        </w:trPr>
        <w:tc>
          <w:tcPr>
            <w:tcW w:w="1761" w:type="dxa"/>
            <w:vAlign w:val="center"/>
          </w:tcPr>
          <w:p w14:paraId="2D7B54EE" w14:textId="77777777" w:rsidR="003E0F58" w:rsidRPr="00B644A3" w:rsidRDefault="003E0F58" w:rsidP="004D2249">
            <w:pPr>
              <w:jc w:val="center"/>
              <w:rPr>
                <w:i/>
                <w:iCs/>
                <w:sz w:val="20"/>
                <w:lang w:eastAsia="en-US"/>
              </w:rPr>
            </w:pPr>
            <w:r w:rsidRPr="00B644A3">
              <w:rPr>
                <w:i/>
                <w:iCs/>
                <w:sz w:val="20"/>
                <w:lang w:eastAsia="en-US"/>
              </w:rPr>
              <w:t>(T+G)/(T+R)[%]</w:t>
            </w:r>
          </w:p>
        </w:tc>
        <w:tc>
          <w:tcPr>
            <w:tcW w:w="1255" w:type="dxa"/>
          </w:tcPr>
          <w:p w14:paraId="6F75F5CA" w14:textId="77777777" w:rsidR="003E0F58" w:rsidRPr="00B644A3" w:rsidRDefault="003E0F58" w:rsidP="004D2249">
            <w:pPr>
              <w:jc w:val="right"/>
              <w:rPr>
                <w:i/>
                <w:iCs/>
                <w:sz w:val="20"/>
                <w:lang w:eastAsia="en-US"/>
              </w:rPr>
            </w:pPr>
            <w:r w:rsidRPr="00B644A3">
              <w:rPr>
                <w:sz w:val="20"/>
              </w:rPr>
              <w:t>29%</w:t>
            </w:r>
          </w:p>
        </w:tc>
        <w:tc>
          <w:tcPr>
            <w:tcW w:w="1257" w:type="dxa"/>
          </w:tcPr>
          <w:p w14:paraId="1B634397" w14:textId="77777777" w:rsidR="003E0F58" w:rsidRPr="00B644A3" w:rsidRDefault="003E0F58" w:rsidP="004D2249">
            <w:pPr>
              <w:jc w:val="right"/>
              <w:rPr>
                <w:i/>
                <w:iCs/>
                <w:sz w:val="20"/>
                <w:lang w:eastAsia="en-US"/>
              </w:rPr>
            </w:pPr>
            <w:r w:rsidRPr="00B644A3">
              <w:rPr>
                <w:sz w:val="20"/>
              </w:rPr>
              <w:t>29%</w:t>
            </w:r>
          </w:p>
        </w:tc>
        <w:tc>
          <w:tcPr>
            <w:tcW w:w="1257" w:type="dxa"/>
          </w:tcPr>
          <w:p w14:paraId="4A24BF69" w14:textId="77777777" w:rsidR="003E0F58" w:rsidRPr="00B644A3" w:rsidRDefault="003E0F58" w:rsidP="004D2249">
            <w:pPr>
              <w:jc w:val="right"/>
              <w:rPr>
                <w:i/>
                <w:iCs/>
                <w:sz w:val="20"/>
                <w:lang w:eastAsia="en-US"/>
              </w:rPr>
            </w:pPr>
            <w:r w:rsidRPr="00B644A3">
              <w:rPr>
                <w:sz w:val="20"/>
              </w:rPr>
              <w:t>29%</w:t>
            </w:r>
          </w:p>
        </w:tc>
        <w:tc>
          <w:tcPr>
            <w:tcW w:w="1257" w:type="dxa"/>
          </w:tcPr>
          <w:p w14:paraId="7ED00AE3" w14:textId="77777777" w:rsidR="003E0F58" w:rsidRPr="00B644A3" w:rsidRDefault="003E0F58" w:rsidP="004D2249">
            <w:pPr>
              <w:jc w:val="right"/>
              <w:rPr>
                <w:i/>
                <w:iCs/>
                <w:sz w:val="20"/>
                <w:lang w:eastAsia="en-US"/>
              </w:rPr>
            </w:pPr>
            <w:r w:rsidRPr="00B644A3">
              <w:rPr>
                <w:sz w:val="20"/>
              </w:rPr>
              <w:t>30%</w:t>
            </w:r>
          </w:p>
        </w:tc>
        <w:tc>
          <w:tcPr>
            <w:tcW w:w="1257" w:type="dxa"/>
          </w:tcPr>
          <w:p w14:paraId="0E3EAE50" w14:textId="77777777" w:rsidR="003E0F58" w:rsidRPr="00B644A3" w:rsidRDefault="003E0F58" w:rsidP="004D2249">
            <w:pPr>
              <w:jc w:val="right"/>
              <w:rPr>
                <w:i/>
                <w:iCs/>
                <w:sz w:val="20"/>
                <w:lang w:eastAsia="en-US"/>
              </w:rPr>
            </w:pPr>
            <w:r w:rsidRPr="00B644A3">
              <w:rPr>
                <w:sz w:val="20"/>
              </w:rPr>
              <w:t>30%</w:t>
            </w:r>
          </w:p>
        </w:tc>
        <w:tc>
          <w:tcPr>
            <w:tcW w:w="1257" w:type="dxa"/>
          </w:tcPr>
          <w:p w14:paraId="15B1F2AE" w14:textId="77777777" w:rsidR="003E0F58" w:rsidRPr="00B644A3" w:rsidRDefault="003E0F58" w:rsidP="004D2249">
            <w:pPr>
              <w:jc w:val="right"/>
              <w:rPr>
                <w:i/>
                <w:iCs/>
                <w:sz w:val="20"/>
                <w:lang w:eastAsia="en-US"/>
              </w:rPr>
            </w:pPr>
            <w:r w:rsidRPr="00B644A3">
              <w:rPr>
                <w:sz w:val="20"/>
              </w:rPr>
              <w:t>30%</w:t>
            </w:r>
          </w:p>
        </w:tc>
        <w:tc>
          <w:tcPr>
            <w:tcW w:w="1257" w:type="dxa"/>
          </w:tcPr>
          <w:p w14:paraId="66B7B8DA" w14:textId="77777777" w:rsidR="003E0F58" w:rsidRPr="00B644A3" w:rsidRDefault="003E0F58" w:rsidP="004D2249">
            <w:pPr>
              <w:jc w:val="right"/>
              <w:rPr>
                <w:i/>
                <w:iCs/>
                <w:sz w:val="20"/>
                <w:lang w:eastAsia="en-US"/>
              </w:rPr>
            </w:pPr>
            <w:r w:rsidRPr="00B644A3">
              <w:rPr>
                <w:sz w:val="20"/>
              </w:rPr>
              <w:t>30%</w:t>
            </w:r>
          </w:p>
        </w:tc>
      </w:tr>
      <w:tr w:rsidR="003E0F58" w:rsidRPr="00B644A3" w14:paraId="4AAD18D7" w14:textId="77777777" w:rsidTr="007C705C">
        <w:trPr>
          <w:trHeight w:val="266"/>
        </w:trPr>
        <w:tc>
          <w:tcPr>
            <w:tcW w:w="1761" w:type="dxa"/>
            <w:vAlign w:val="center"/>
          </w:tcPr>
          <w:p w14:paraId="50CB4D25" w14:textId="77777777" w:rsidR="003E0F58" w:rsidRPr="00B644A3" w:rsidRDefault="003E0F58" w:rsidP="004D2249">
            <w:pPr>
              <w:jc w:val="center"/>
              <w:rPr>
                <w:i/>
                <w:iCs/>
                <w:sz w:val="20"/>
                <w:vertAlign w:val="superscript"/>
                <w:lang w:eastAsia="en-US"/>
              </w:rPr>
            </w:pPr>
            <w:r w:rsidRPr="00B644A3">
              <w:rPr>
                <w:i/>
                <w:iCs/>
                <w:sz w:val="20"/>
                <w:lang w:eastAsia="en-US"/>
              </w:rPr>
              <w:t>UAA</w:t>
            </w:r>
            <w:r w:rsidRPr="00B644A3">
              <w:rPr>
                <w:i/>
                <w:iCs/>
                <w:sz w:val="20"/>
                <w:vertAlign w:val="superscript"/>
                <w:lang w:eastAsia="en-US"/>
              </w:rPr>
              <w:t>1</w:t>
            </w:r>
            <w:r w:rsidRPr="00B644A3">
              <w:rPr>
                <w:sz w:val="20"/>
              </w:rPr>
              <w:t>[ha]</w:t>
            </w:r>
          </w:p>
        </w:tc>
        <w:tc>
          <w:tcPr>
            <w:tcW w:w="1255" w:type="dxa"/>
          </w:tcPr>
          <w:p w14:paraId="225B5524" w14:textId="77777777" w:rsidR="003E0F58" w:rsidRPr="00B644A3" w:rsidRDefault="003E0F58" w:rsidP="004D2249">
            <w:pPr>
              <w:jc w:val="right"/>
              <w:rPr>
                <w:sz w:val="20"/>
              </w:rPr>
            </w:pPr>
            <w:r w:rsidRPr="00B644A3">
              <w:rPr>
                <w:sz w:val="20"/>
              </w:rPr>
              <w:t>3491470</w:t>
            </w:r>
          </w:p>
        </w:tc>
        <w:tc>
          <w:tcPr>
            <w:tcW w:w="1257" w:type="dxa"/>
          </w:tcPr>
          <w:p w14:paraId="24DE119C" w14:textId="77777777" w:rsidR="003E0F58" w:rsidRPr="00B644A3" w:rsidRDefault="003E0F58" w:rsidP="004D2249">
            <w:pPr>
              <w:jc w:val="right"/>
              <w:rPr>
                <w:sz w:val="20"/>
              </w:rPr>
            </w:pPr>
            <w:r w:rsidRPr="00B644A3">
              <w:rPr>
                <w:sz w:val="20"/>
              </w:rPr>
              <w:t>3491470</w:t>
            </w:r>
          </w:p>
        </w:tc>
        <w:tc>
          <w:tcPr>
            <w:tcW w:w="1257" w:type="dxa"/>
          </w:tcPr>
          <w:p w14:paraId="765644BE" w14:textId="77777777" w:rsidR="003E0F58" w:rsidRPr="00B644A3" w:rsidRDefault="003E0F58" w:rsidP="004D2249">
            <w:pPr>
              <w:jc w:val="right"/>
              <w:rPr>
                <w:sz w:val="20"/>
              </w:rPr>
            </w:pPr>
            <w:r w:rsidRPr="00B644A3">
              <w:rPr>
                <w:sz w:val="20"/>
              </w:rPr>
              <w:t>3455410</w:t>
            </w:r>
          </w:p>
        </w:tc>
        <w:tc>
          <w:tcPr>
            <w:tcW w:w="1257" w:type="dxa"/>
          </w:tcPr>
          <w:p w14:paraId="66981A44" w14:textId="77777777" w:rsidR="003E0F58" w:rsidRPr="00B644A3" w:rsidRDefault="003E0F58" w:rsidP="004D2249">
            <w:pPr>
              <w:jc w:val="right"/>
              <w:rPr>
                <w:sz w:val="20"/>
              </w:rPr>
            </w:pPr>
            <w:r w:rsidRPr="00B644A3">
              <w:rPr>
                <w:sz w:val="20"/>
              </w:rPr>
              <w:t>3455410</w:t>
            </w:r>
          </w:p>
        </w:tc>
        <w:tc>
          <w:tcPr>
            <w:tcW w:w="1257" w:type="dxa"/>
          </w:tcPr>
          <w:p w14:paraId="74349C9C" w14:textId="77777777" w:rsidR="003E0F58" w:rsidRPr="00B644A3" w:rsidRDefault="003E0F58" w:rsidP="004D2249">
            <w:pPr>
              <w:jc w:val="right"/>
              <w:rPr>
                <w:sz w:val="20"/>
              </w:rPr>
            </w:pPr>
            <w:r w:rsidRPr="00B644A3">
              <w:rPr>
                <w:sz w:val="20"/>
              </w:rPr>
              <w:t>3455410</w:t>
            </w:r>
          </w:p>
        </w:tc>
        <w:tc>
          <w:tcPr>
            <w:tcW w:w="1257" w:type="dxa"/>
          </w:tcPr>
          <w:p w14:paraId="2168FAD2" w14:textId="77777777" w:rsidR="003E0F58" w:rsidRPr="00B644A3" w:rsidRDefault="003E0F58" w:rsidP="004D2249">
            <w:pPr>
              <w:jc w:val="right"/>
              <w:rPr>
                <w:sz w:val="20"/>
              </w:rPr>
            </w:pPr>
            <w:r w:rsidRPr="00B644A3">
              <w:rPr>
                <w:sz w:val="20"/>
              </w:rPr>
              <w:t>3455410</w:t>
            </w:r>
          </w:p>
        </w:tc>
        <w:tc>
          <w:tcPr>
            <w:tcW w:w="1257" w:type="dxa"/>
          </w:tcPr>
          <w:p w14:paraId="536AFE5D" w14:textId="77777777" w:rsidR="003E0F58" w:rsidRPr="00B644A3" w:rsidRDefault="003E0F58" w:rsidP="004D2249">
            <w:pPr>
              <w:jc w:val="right"/>
              <w:rPr>
                <w:sz w:val="20"/>
              </w:rPr>
            </w:pPr>
            <w:r w:rsidRPr="00B644A3">
              <w:rPr>
                <w:sz w:val="20"/>
              </w:rPr>
              <w:t>3455410</w:t>
            </w:r>
          </w:p>
        </w:tc>
      </w:tr>
      <w:tr w:rsidR="003E0F58" w:rsidRPr="00B644A3" w14:paraId="2122C31B" w14:textId="77777777" w:rsidTr="007C705C">
        <w:trPr>
          <w:trHeight w:val="266"/>
        </w:trPr>
        <w:tc>
          <w:tcPr>
            <w:tcW w:w="1761" w:type="dxa"/>
            <w:vAlign w:val="center"/>
          </w:tcPr>
          <w:p w14:paraId="6D9ECEE3" w14:textId="77777777" w:rsidR="003E0F58" w:rsidRPr="00B644A3" w:rsidRDefault="003E0F58" w:rsidP="004D2249">
            <w:pPr>
              <w:jc w:val="center"/>
              <w:rPr>
                <w:i/>
                <w:iCs/>
                <w:sz w:val="20"/>
                <w:lang w:eastAsia="en-US"/>
              </w:rPr>
            </w:pPr>
            <w:r w:rsidRPr="00B644A3">
              <w:rPr>
                <w:i/>
                <w:iCs/>
                <w:sz w:val="20"/>
                <w:lang w:eastAsia="en-US"/>
              </w:rPr>
              <w:t>PG</w:t>
            </w:r>
            <w:r w:rsidRPr="00B644A3">
              <w:rPr>
                <w:i/>
                <w:iCs/>
                <w:sz w:val="20"/>
                <w:vertAlign w:val="superscript"/>
                <w:lang w:eastAsia="en-US"/>
              </w:rPr>
              <w:t>2</w:t>
            </w:r>
            <w:r w:rsidRPr="00B644A3">
              <w:rPr>
                <w:i/>
                <w:iCs/>
                <w:sz w:val="20"/>
                <w:lang w:eastAsia="en-US"/>
              </w:rPr>
              <w:t>/UAA [%]</w:t>
            </w:r>
          </w:p>
        </w:tc>
        <w:tc>
          <w:tcPr>
            <w:tcW w:w="1255" w:type="dxa"/>
          </w:tcPr>
          <w:p w14:paraId="0073D20E" w14:textId="77777777" w:rsidR="003E0F58" w:rsidRPr="00B644A3" w:rsidRDefault="003E0F58" w:rsidP="004D2249">
            <w:pPr>
              <w:jc w:val="right"/>
              <w:rPr>
                <w:sz w:val="20"/>
              </w:rPr>
            </w:pPr>
            <w:r w:rsidRPr="00B644A3">
              <w:rPr>
                <w:sz w:val="20"/>
              </w:rPr>
              <w:t>27%</w:t>
            </w:r>
          </w:p>
        </w:tc>
        <w:tc>
          <w:tcPr>
            <w:tcW w:w="1257" w:type="dxa"/>
          </w:tcPr>
          <w:p w14:paraId="764E12AA" w14:textId="77777777" w:rsidR="003E0F58" w:rsidRPr="00B644A3" w:rsidRDefault="003E0F58" w:rsidP="004D2249">
            <w:pPr>
              <w:jc w:val="right"/>
              <w:rPr>
                <w:sz w:val="20"/>
              </w:rPr>
            </w:pPr>
            <w:r w:rsidRPr="00B644A3">
              <w:rPr>
                <w:sz w:val="20"/>
              </w:rPr>
              <w:t>28%</w:t>
            </w:r>
          </w:p>
        </w:tc>
        <w:tc>
          <w:tcPr>
            <w:tcW w:w="1257" w:type="dxa"/>
          </w:tcPr>
          <w:p w14:paraId="2C2EEAB6" w14:textId="77777777" w:rsidR="003E0F58" w:rsidRPr="00B644A3" w:rsidRDefault="003E0F58" w:rsidP="004D2249">
            <w:pPr>
              <w:jc w:val="right"/>
              <w:rPr>
                <w:sz w:val="20"/>
              </w:rPr>
            </w:pPr>
            <w:r w:rsidRPr="00B644A3">
              <w:rPr>
                <w:sz w:val="20"/>
              </w:rPr>
              <w:t>29%</w:t>
            </w:r>
          </w:p>
        </w:tc>
        <w:tc>
          <w:tcPr>
            <w:tcW w:w="1257" w:type="dxa"/>
          </w:tcPr>
          <w:p w14:paraId="1EEF1D2A" w14:textId="77777777" w:rsidR="003E0F58" w:rsidRPr="00B644A3" w:rsidRDefault="003E0F58" w:rsidP="004D2249">
            <w:pPr>
              <w:jc w:val="right"/>
              <w:rPr>
                <w:sz w:val="20"/>
              </w:rPr>
            </w:pPr>
            <w:r w:rsidRPr="00B644A3">
              <w:rPr>
                <w:sz w:val="20"/>
              </w:rPr>
              <w:t>29%</w:t>
            </w:r>
          </w:p>
        </w:tc>
        <w:tc>
          <w:tcPr>
            <w:tcW w:w="1257" w:type="dxa"/>
          </w:tcPr>
          <w:p w14:paraId="563E8DF4" w14:textId="77777777" w:rsidR="003E0F58" w:rsidRPr="00B644A3" w:rsidRDefault="003E0F58" w:rsidP="004D2249">
            <w:pPr>
              <w:jc w:val="right"/>
              <w:rPr>
                <w:sz w:val="20"/>
              </w:rPr>
            </w:pPr>
            <w:r w:rsidRPr="00B644A3">
              <w:rPr>
                <w:sz w:val="20"/>
              </w:rPr>
              <w:t>29%</w:t>
            </w:r>
          </w:p>
        </w:tc>
        <w:tc>
          <w:tcPr>
            <w:tcW w:w="1257" w:type="dxa"/>
          </w:tcPr>
          <w:p w14:paraId="38D89E3C" w14:textId="77777777" w:rsidR="003E0F58" w:rsidRPr="00B644A3" w:rsidRDefault="003E0F58" w:rsidP="004D2249">
            <w:pPr>
              <w:jc w:val="right"/>
              <w:rPr>
                <w:sz w:val="20"/>
              </w:rPr>
            </w:pPr>
            <w:r w:rsidRPr="00B644A3">
              <w:rPr>
                <w:sz w:val="20"/>
              </w:rPr>
              <w:t>29%</w:t>
            </w:r>
          </w:p>
        </w:tc>
        <w:tc>
          <w:tcPr>
            <w:tcW w:w="1257" w:type="dxa"/>
          </w:tcPr>
          <w:p w14:paraId="693B4068" w14:textId="77777777" w:rsidR="003E0F58" w:rsidRPr="00B644A3" w:rsidRDefault="003E0F58" w:rsidP="004D2249">
            <w:pPr>
              <w:jc w:val="right"/>
              <w:rPr>
                <w:sz w:val="20"/>
              </w:rPr>
            </w:pPr>
            <w:r w:rsidRPr="00B644A3">
              <w:rPr>
                <w:sz w:val="20"/>
              </w:rPr>
              <w:t>29%</w:t>
            </w:r>
          </w:p>
        </w:tc>
      </w:tr>
    </w:tbl>
    <w:p w14:paraId="4DA396CF" w14:textId="77777777" w:rsidR="003E0F58" w:rsidRPr="007C705C" w:rsidRDefault="003E0F58" w:rsidP="003E0F58">
      <w:pPr>
        <w:jc w:val="left"/>
        <w:rPr>
          <w:rFonts w:eastAsia="Calibri" w:cs="Times New Roman"/>
          <w:i/>
          <w:iCs/>
          <w:sz w:val="22"/>
          <w:lang w:val="cs-CZ"/>
        </w:rPr>
      </w:pPr>
      <w:r w:rsidRPr="007C705C">
        <w:rPr>
          <w:rFonts w:eastAsia="Calibri" w:cs="Times New Roman"/>
          <w:i/>
          <w:iCs/>
          <w:sz w:val="22"/>
          <w:lang w:val="cs-CZ"/>
        </w:rPr>
        <w:t>Zdroj: LPIS odd. registrů MZe (Ing. Dobíhal, 2021), dopočty ÚZEI (Nesňal, 2021),</w:t>
      </w:r>
    </w:p>
    <w:p w14:paraId="17DD5F4A" w14:textId="77777777" w:rsidR="003E0F58" w:rsidRPr="007C705C" w:rsidRDefault="003E0F58" w:rsidP="003E0F58">
      <w:pPr>
        <w:jc w:val="left"/>
        <w:rPr>
          <w:rFonts w:eastAsia="Calibri" w:cs="Times New Roman"/>
          <w:i/>
          <w:iCs/>
          <w:sz w:val="22"/>
          <w:lang w:val="cs-CZ"/>
        </w:rPr>
      </w:pPr>
      <w:r w:rsidRPr="007C705C">
        <w:rPr>
          <w:rFonts w:eastAsia="Calibri" w:cs="Times New Roman"/>
          <w:i/>
          <w:iCs/>
          <w:sz w:val="22"/>
          <w:lang w:val="cs-CZ"/>
        </w:rPr>
        <w:t xml:space="preserve"> </w:t>
      </w:r>
      <w:r w:rsidRPr="007C705C">
        <w:rPr>
          <w:rFonts w:eastAsia="Calibri" w:cs="Times New Roman"/>
          <w:i/>
          <w:iCs/>
          <w:sz w:val="22"/>
          <w:vertAlign w:val="superscript"/>
          <w:lang w:val="cs-CZ"/>
        </w:rPr>
        <w:t>1</w:t>
      </w:r>
      <w:r w:rsidRPr="007C705C">
        <w:rPr>
          <w:rFonts w:eastAsia="Calibri" w:cs="Times New Roman"/>
          <w:i/>
          <w:iCs/>
          <w:sz w:val="22"/>
          <w:lang w:val="cs-CZ"/>
        </w:rPr>
        <w:t>UAA – Zdroj: Eurostat</w:t>
      </w:r>
    </w:p>
    <w:p w14:paraId="0ACC97D3" w14:textId="653DB49C" w:rsidR="00FB3D34" w:rsidRDefault="003E0F58" w:rsidP="003E0F58">
      <w:pPr>
        <w:jc w:val="left"/>
        <w:rPr>
          <w:rFonts w:eastAsia="Calibri" w:cs="Times New Roman"/>
          <w:i/>
          <w:iCs/>
          <w:sz w:val="22"/>
          <w:lang w:val="cs-CZ"/>
        </w:rPr>
      </w:pPr>
      <w:r w:rsidRPr="007C705C">
        <w:rPr>
          <w:rFonts w:eastAsia="Calibri" w:cs="Times New Roman"/>
          <w:i/>
          <w:iCs/>
          <w:sz w:val="22"/>
          <w:vertAlign w:val="superscript"/>
          <w:lang w:val="cs-CZ"/>
        </w:rPr>
        <w:t>2</w:t>
      </w:r>
      <w:r w:rsidRPr="007C705C">
        <w:rPr>
          <w:rFonts w:eastAsia="Calibri" w:cs="Times New Roman"/>
          <w:i/>
          <w:iCs/>
          <w:sz w:val="22"/>
          <w:lang w:val="cs-CZ"/>
        </w:rPr>
        <w:t>PG = T</w:t>
      </w:r>
    </w:p>
    <w:p w14:paraId="0B46B092" w14:textId="77777777" w:rsidR="00C64A5C" w:rsidRPr="007C705C" w:rsidRDefault="00C64A5C" w:rsidP="003E0F58">
      <w:pPr>
        <w:jc w:val="left"/>
        <w:rPr>
          <w:rFonts w:eastAsia="Calibri" w:cs="Times New Roman"/>
          <w:i/>
          <w:iCs/>
          <w:sz w:val="22"/>
          <w:lang w:val="cs-CZ"/>
        </w:rPr>
      </w:pPr>
    </w:p>
    <w:p w14:paraId="09096473" w14:textId="669ED3EE" w:rsidR="003E0F58" w:rsidRPr="007C705C" w:rsidRDefault="003E0F58" w:rsidP="00FB3D34">
      <w:pPr>
        <w:pStyle w:val="UZEIGraf"/>
      </w:pPr>
      <w:bookmarkStart w:id="172" w:name="_Toc81342889"/>
      <w:bookmarkStart w:id="173" w:name="_Toc93583611"/>
      <w:r w:rsidRPr="007C705C">
        <w:t>Vývoj ploch zemědělských kultur T, G vs. R (Výměra DPB [ha])</w:t>
      </w:r>
      <w:bookmarkEnd w:id="172"/>
      <w:bookmarkEnd w:id="173"/>
    </w:p>
    <w:p w14:paraId="485F42E1" w14:textId="77777777" w:rsidR="003E0F58" w:rsidRPr="007C705C" w:rsidRDefault="003E0F58" w:rsidP="003E0F58">
      <w:pPr>
        <w:jc w:val="left"/>
        <w:rPr>
          <w:rFonts w:eastAsia="Calibri" w:cs="Times New Roman"/>
          <w:i/>
          <w:iCs/>
          <w:sz w:val="22"/>
          <w:lang w:val="cs-CZ"/>
        </w:rPr>
      </w:pPr>
      <w:r w:rsidRPr="007C705C">
        <w:rPr>
          <w:rFonts w:cs="Times New Roman"/>
          <w:noProof/>
          <w:lang w:val="cs-CZ" w:eastAsia="cs-CZ"/>
        </w:rPr>
        <w:drawing>
          <wp:inline distT="0" distB="0" distL="0" distR="0" wp14:anchorId="376497B7" wp14:editId="291D296A">
            <wp:extent cx="4572000" cy="2743200"/>
            <wp:effectExtent l="0" t="0" r="0" b="0"/>
            <wp:docPr id="1" name="Graf 1">
              <a:extLst xmlns:a="http://schemas.openxmlformats.org/drawingml/2006/main">
                <a:ext uri="{FF2B5EF4-FFF2-40B4-BE49-F238E27FC236}">
                  <a16:creationId xmlns:a16="http://schemas.microsoft.com/office/drawing/2014/main" id="{AF0943F1-B828-4EFD-AE17-B72D22074DB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16A9C2DC" w14:textId="3043195D" w:rsidR="003E0F58" w:rsidRDefault="003E0F58" w:rsidP="00FB3D34">
      <w:pPr>
        <w:jc w:val="left"/>
        <w:rPr>
          <w:rFonts w:eastAsia="Calibri" w:cs="Times New Roman"/>
          <w:i/>
          <w:iCs/>
          <w:sz w:val="22"/>
          <w:lang w:val="cs-CZ"/>
        </w:rPr>
      </w:pPr>
      <w:r w:rsidRPr="007C705C">
        <w:rPr>
          <w:rFonts w:eastAsia="Calibri" w:cs="Times New Roman"/>
          <w:i/>
          <w:iCs/>
          <w:sz w:val="22"/>
          <w:lang w:val="cs-CZ"/>
        </w:rPr>
        <w:t>Zdroj: vlastní zpracování UZEI</w:t>
      </w:r>
    </w:p>
    <w:p w14:paraId="1930E2E6" w14:textId="60949780" w:rsidR="00C64A5C" w:rsidRDefault="00C64A5C" w:rsidP="00FB3D34">
      <w:pPr>
        <w:jc w:val="left"/>
        <w:rPr>
          <w:rFonts w:eastAsia="Calibri" w:cs="Times New Roman"/>
          <w:i/>
          <w:iCs/>
          <w:sz w:val="22"/>
          <w:lang w:val="cs-CZ"/>
        </w:rPr>
      </w:pPr>
    </w:p>
    <w:p w14:paraId="3F84FFBD" w14:textId="77777777" w:rsidR="00C64A5C" w:rsidRPr="00FB3D34" w:rsidRDefault="00C64A5C" w:rsidP="00FB3D34">
      <w:pPr>
        <w:jc w:val="left"/>
        <w:rPr>
          <w:rFonts w:eastAsia="Calibri" w:cs="Times New Roman"/>
          <w:i/>
          <w:iCs/>
          <w:sz w:val="22"/>
          <w:lang w:val="cs-CZ"/>
        </w:rPr>
      </w:pPr>
    </w:p>
    <w:p w14:paraId="09A528EC" w14:textId="0696EC28" w:rsidR="003E0F58" w:rsidRPr="007C705C" w:rsidRDefault="00FB3D34" w:rsidP="00FB3D34">
      <w:pPr>
        <w:pStyle w:val="UZEITaB"/>
      </w:pPr>
      <w:bookmarkStart w:id="174" w:name="_Toc77245806"/>
      <w:r>
        <w:t xml:space="preserve"> </w:t>
      </w:r>
      <w:bookmarkStart w:id="175" w:name="_Toc94181564"/>
      <w:r w:rsidR="003E0F58" w:rsidRPr="007C705C">
        <w:t>Doplňující informace k obhospodařování trvalých travních porostů</w:t>
      </w:r>
      <w:bookmarkEnd w:id="174"/>
      <w:bookmarkEnd w:id="175"/>
    </w:p>
    <w:tbl>
      <w:tblPr>
        <w:tblW w:w="8774" w:type="dxa"/>
        <w:tblInd w:w="-1" w:type="dxa"/>
        <w:tblCellMar>
          <w:left w:w="0" w:type="dxa"/>
          <w:right w:w="0" w:type="dxa"/>
        </w:tblCellMar>
        <w:tblLook w:val="04A0" w:firstRow="1" w:lastRow="0" w:firstColumn="1" w:lastColumn="0" w:noHBand="0" w:noVBand="1"/>
      </w:tblPr>
      <w:tblGrid>
        <w:gridCol w:w="6512"/>
        <w:gridCol w:w="2262"/>
      </w:tblGrid>
      <w:tr w:rsidR="003E0F58" w:rsidRPr="007C705C" w14:paraId="41B3601F" w14:textId="77777777" w:rsidTr="00FB3D34">
        <w:trPr>
          <w:trHeight w:val="270"/>
        </w:trPr>
        <w:tc>
          <w:tcPr>
            <w:tcW w:w="6512" w:type="dxa"/>
            <w:tcBorders>
              <w:top w:val="single" w:sz="8" w:space="0" w:color="auto"/>
              <w:left w:val="single" w:sz="8" w:space="0" w:color="auto"/>
              <w:bottom w:val="single" w:sz="8" w:space="0" w:color="auto"/>
              <w:right w:val="single" w:sz="8" w:space="0" w:color="auto"/>
            </w:tcBorders>
            <w:shd w:val="clear" w:color="auto" w:fill="C0C0C0"/>
            <w:tcMar>
              <w:top w:w="0" w:type="dxa"/>
              <w:left w:w="70" w:type="dxa"/>
              <w:bottom w:w="0" w:type="dxa"/>
              <w:right w:w="70" w:type="dxa"/>
            </w:tcMar>
            <w:vAlign w:val="center"/>
            <w:hideMark/>
          </w:tcPr>
          <w:p w14:paraId="201FA5A7" w14:textId="77777777" w:rsidR="003E0F58" w:rsidRPr="007C705C" w:rsidRDefault="003E0F58" w:rsidP="00FB3D34">
            <w:pPr>
              <w:jc w:val="left"/>
              <w:rPr>
                <w:rFonts w:eastAsia="Calibri" w:cs="Times New Roman"/>
                <w:color w:val="000000"/>
                <w:sz w:val="22"/>
                <w:vertAlign w:val="superscript"/>
                <w:lang w:val="cs-CZ"/>
              </w:rPr>
            </w:pPr>
            <w:r w:rsidRPr="007C705C">
              <w:rPr>
                <w:rFonts w:eastAsia="Calibri" w:cs="Times New Roman"/>
                <w:color w:val="000000"/>
                <w:sz w:val="22"/>
                <w:lang w:val="cs-CZ"/>
              </w:rPr>
              <w:t>Výměra zemědělské půdy</w:t>
            </w:r>
            <w:r w:rsidRPr="007C705C">
              <w:rPr>
                <w:rFonts w:eastAsia="Calibri" w:cs="Times New Roman"/>
                <w:color w:val="000000"/>
                <w:sz w:val="22"/>
                <w:vertAlign w:val="superscript"/>
                <w:lang w:val="cs-CZ"/>
              </w:rPr>
              <w:t>1)</w:t>
            </w:r>
          </w:p>
        </w:tc>
        <w:tc>
          <w:tcPr>
            <w:tcW w:w="2262" w:type="dxa"/>
            <w:tcBorders>
              <w:top w:val="single" w:sz="8" w:space="0" w:color="auto"/>
              <w:left w:val="nil"/>
              <w:bottom w:val="single" w:sz="8" w:space="0" w:color="auto"/>
              <w:right w:val="single" w:sz="8" w:space="0" w:color="auto"/>
            </w:tcBorders>
            <w:noWrap/>
            <w:tcMar>
              <w:top w:w="0" w:type="dxa"/>
              <w:left w:w="70" w:type="dxa"/>
              <w:bottom w:w="0" w:type="dxa"/>
              <w:right w:w="70" w:type="dxa"/>
            </w:tcMar>
            <w:vAlign w:val="bottom"/>
            <w:hideMark/>
          </w:tcPr>
          <w:p w14:paraId="7922A8D1" w14:textId="77777777" w:rsidR="003E0F58" w:rsidRPr="007C705C" w:rsidRDefault="003E0F58" w:rsidP="00FB3D34">
            <w:pPr>
              <w:jc w:val="center"/>
              <w:rPr>
                <w:rFonts w:eastAsia="Calibri" w:cs="Times New Roman"/>
                <w:color w:val="000000"/>
                <w:sz w:val="22"/>
                <w:lang w:val="cs-CZ"/>
              </w:rPr>
            </w:pPr>
            <w:r w:rsidRPr="007C705C">
              <w:rPr>
                <w:rFonts w:eastAsia="Calibri" w:cs="Times New Roman"/>
                <w:color w:val="000000"/>
                <w:sz w:val="22"/>
                <w:lang w:val="cs-CZ"/>
              </w:rPr>
              <w:t>3 550 681 ha</w:t>
            </w:r>
          </w:p>
        </w:tc>
      </w:tr>
      <w:tr w:rsidR="003E0F58" w:rsidRPr="007C705C" w14:paraId="086A405C" w14:textId="77777777" w:rsidTr="00FB3D34">
        <w:trPr>
          <w:trHeight w:val="61"/>
        </w:trPr>
        <w:tc>
          <w:tcPr>
            <w:tcW w:w="6512" w:type="dxa"/>
            <w:tcBorders>
              <w:top w:val="nil"/>
              <w:left w:val="single" w:sz="8" w:space="0" w:color="auto"/>
              <w:bottom w:val="single" w:sz="8" w:space="0" w:color="auto"/>
              <w:right w:val="single" w:sz="8" w:space="0" w:color="auto"/>
            </w:tcBorders>
            <w:shd w:val="clear" w:color="auto" w:fill="C0C0C0"/>
            <w:tcMar>
              <w:top w:w="0" w:type="dxa"/>
              <w:left w:w="70" w:type="dxa"/>
              <w:bottom w:w="0" w:type="dxa"/>
              <w:right w:w="70" w:type="dxa"/>
            </w:tcMar>
            <w:vAlign w:val="center"/>
            <w:hideMark/>
          </w:tcPr>
          <w:p w14:paraId="197B6B64" w14:textId="77777777" w:rsidR="003E0F58" w:rsidRPr="007C705C" w:rsidRDefault="003E0F58" w:rsidP="00FB3D34">
            <w:pPr>
              <w:jc w:val="left"/>
              <w:rPr>
                <w:rFonts w:eastAsia="Calibri" w:cs="Times New Roman"/>
                <w:color w:val="000000"/>
                <w:sz w:val="22"/>
                <w:lang w:val="cs-CZ"/>
              </w:rPr>
            </w:pPr>
            <w:r w:rsidRPr="007C705C">
              <w:rPr>
                <w:rFonts w:eastAsia="Calibri" w:cs="Times New Roman"/>
                <w:color w:val="000000"/>
                <w:sz w:val="22"/>
                <w:lang w:val="cs-CZ"/>
              </w:rPr>
              <w:t>Výměra trvalých travních porostů</w:t>
            </w:r>
          </w:p>
        </w:tc>
        <w:tc>
          <w:tcPr>
            <w:tcW w:w="2262" w:type="dxa"/>
            <w:tcBorders>
              <w:top w:val="nil"/>
              <w:left w:val="nil"/>
              <w:bottom w:val="single" w:sz="8" w:space="0" w:color="auto"/>
              <w:right w:val="single" w:sz="8" w:space="0" w:color="auto"/>
            </w:tcBorders>
            <w:tcMar>
              <w:top w:w="0" w:type="dxa"/>
              <w:left w:w="70" w:type="dxa"/>
              <w:bottom w:w="0" w:type="dxa"/>
              <w:right w:w="70" w:type="dxa"/>
            </w:tcMar>
            <w:vAlign w:val="bottom"/>
            <w:hideMark/>
          </w:tcPr>
          <w:p w14:paraId="2ED3A4E9" w14:textId="77777777" w:rsidR="003E0F58" w:rsidRPr="007C705C" w:rsidRDefault="003E0F58" w:rsidP="00FB3D34">
            <w:pPr>
              <w:jc w:val="center"/>
              <w:rPr>
                <w:rFonts w:eastAsia="Calibri" w:cs="Times New Roman"/>
                <w:color w:val="000000"/>
                <w:sz w:val="22"/>
                <w:lang w:val="cs-CZ"/>
              </w:rPr>
            </w:pPr>
            <w:r w:rsidRPr="007C705C">
              <w:rPr>
                <w:rFonts w:eastAsia="Calibri" w:cs="Times New Roman"/>
                <w:color w:val="000000"/>
                <w:sz w:val="22"/>
                <w:lang w:val="cs-CZ"/>
              </w:rPr>
              <w:t>1 006 255 ha</w:t>
            </w:r>
          </w:p>
        </w:tc>
      </w:tr>
      <w:tr w:rsidR="003E0F58" w:rsidRPr="007C705C" w14:paraId="2D98F4CF" w14:textId="77777777" w:rsidTr="00FB3D34">
        <w:trPr>
          <w:trHeight w:val="270"/>
        </w:trPr>
        <w:tc>
          <w:tcPr>
            <w:tcW w:w="6512" w:type="dxa"/>
            <w:tcBorders>
              <w:top w:val="nil"/>
              <w:left w:val="single" w:sz="8" w:space="0" w:color="auto"/>
              <w:bottom w:val="single" w:sz="8" w:space="0" w:color="auto"/>
              <w:right w:val="single" w:sz="8" w:space="0" w:color="auto"/>
            </w:tcBorders>
            <w:shd w:val="clear" w:color="auto" w:fill="C0C0C0"/>
            <w:tcMar>
              <w:top w:w="0" w:type="dxa"/>
              <w:left w:w="70" w:type="dxa"/>
              <w:bottom w:w="0" w:type="dxa"/>
              <w:right w:w="70" w:type="dxa"/>
            </w:tcMar>
            <w:vAlign w:val="center"/>
            <w:hideMark/>
          </w:tcPr>
          <w:p w14:paraId="6F33C85C" w14:textId="77777777" w:rsidR="003E0F58" w:rsidRPr="007C705C" w:rsidRDefault="003E0F58" w:rsidP="00FB3D34">
            <w:pPr>
              <w:jc w:val="left"/>
              <w:rPr>
                <w:rFonts w:eastAsia="Calibri" w:cs="Times New Roman"/>
                <w:color w:val="000000"/>
                <w:sz w:val="22"/>
                <w:lang w:val="cs-CZ"/>
              </w:rPr>
            </w:pPr>
            <w:r w:rsidRPr="007C705C">
              <w:rPr>
                <w:rFonts w:eastAsia="Calibri" w:cs="Times New Roman"/>
                <w:color w:val="000000"/>
                <w:sz w:val="22"/>
                <w:lang w:val="cs-CZ"/>
              </w:rPr>
              <w:t>Počet VDJ (přežvýkavci)</w:t>
            </w:r>
          </w:p>
        </w:tc>
        <w:tc>
          <w:tcPr>
            <w:tcW w:w="2262"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09A6171" w14:textId="77777777" w:rsidR="003E0F58" w:rsidRPr="007C705C" w:rsidRDefault="003E0F58" w:rsidP="00FB3D34">
            <w:pPr>
              <w:jc w:val="center"/>
              <w:rPr>
                <w:rFonts w:eastAsia="Calibri" w:cs="Times New Roman"/>
                <w:color w:val="000000"/>
                <w:sz w:val="22"/>
                <w:lang w:val="cs-CZ"/>
              </w:rPr>
            </w:pPr>
            <w:r w:rsidRPr="007C705C">
              <w:rPr>
                <w:rFonts w:eastAsia="Calibri" w:cs="Times New Roman"/>
                <w:color w:val="000000"/>
                <w:sz w:val="22"/>
                <w:lang w:val="cs-CZ"/>
              </w:rPr>
              <w:t>1 096 387</w:t>
            </w:r>
          </w:p>
        </w:tc>
      </w:tr>
      <w:tr w:rsidR="003E0F58" w:rsidRPr="007C705C" w14:paraId="61B90AD2" w14:textId="77777777" w:rsidTr="00FB3D34">
        <w:trPr>
          <w:trHeight w:val="188"/>
        </w:trPr>
        <w:tc>
          <w:tcPr>
            <w:tcW w:w="6512" w:type="dxa"/>
            <w:tcBorders>
              <w:top w:val="nil"/>
              <w:left w:val="single" w:sz="8" w:space="0" w:color="auto"/>
              <w:bottom w:val="single" w:sz="8" w:space="0" w:color="auto"/>
              <w:right w:val="single" w:sz="8" w:space="0" w:color="auto"/>
            </w:tcBorders>
            <w:shd w:val="clear" w:color="auto" w:fill="C0C0C0"/>
            <w:tcMar>
              <w:top w:w="0" w:type="dxa"/>
              <w:left w:w="70" w:type="dxa"/>
              <w:bottom w:w="0" w:type="dxa"/>
              <w:right w:w="70" w:type="dxa"/>
            </w:tcMar>
            <w:vAlign w:val="center"/>
            <w:hideMark/>
          </w:tcPr>
          <w:p w14:paraId="5FF46AFC" w14:textId="77777777" w:rsidR="003E0F58" w:rsidRPr="007C705C" w:rsidRDefault="003E0F58" w:rsidP="00FB3D34">
            <w:pPr>
              <w:jc w:val="left"/>
              <w:rPr>
                <w:rFonts w:eastAsia="Calibri" w:cs="Times New Roman"/>
                <w:color w:val="000000"/>
                <w:sz w:val="22"/>
                <w:lang w:val="cs-CZ"/>
              </w:rPr>
            </w:pPr>
            <w:r w:rsidRPr="007C705C">
              <w:rPr>
                <w:rFonts w:eastAsia="Calibri" w:cs="Times New Roman"/>
                <w:color w:val="000000"/>
                <w:sz w:val="22"/>
                <w:lang w:val="cs-CZ"/>
              </w:rPr>
              <w:t>Průměrná intenzita hospodářských zvířat na zem. půdě</w:t>
            </w:r>
          </w:p>
        </w:tc>
        <w:tc>
          <w:tcPr>
            <w:tcW w:w="2262"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EB931D2" w14:textId="77777777" w:rsidR="003E0F58" w:rsidRPr="007C705C" w:rsidRDefault="003E0F58" w:rsidP="00FB3D34">
            <w:pPr>
              <w:jc w:val="center"/>
              <w:rPr>
                <w:rFonts w:eastAsia="Calibri" w:cs="Times New Roman"/>
                <w:color w:val="000000"/>
                <w:sz w:val="22"/>
                <w:lang w:val="cs-CZ"/>
              </w:rPr>
            </w:pPr>
            <w:r w:rsidRPr="007C705C">
              <w:rPr>
                <w:rFonts w:eastAsia="Calibri" w:cs="Times New Roman"/>
                <w:color w:val="000000"/>
                <w:sz w:val="22"/>
                <w:lang w:val="cs-CZ"/>
              </w:rPr>
              <w:t>0,3 VDJ/ha</w:t>
            </w:r>
          </w:p>
        </w:tc>
      </w:tr>
      <w:tr w:rsidR="003E0F58" w:rsidRPr="007C705C" w14:paraId="1586B84C" w14:textId="77777777" w:rsidTr="00FB3D34">
        <w:trPr>
          <w:trHeight w:val="348"/>
        </w:trPr>
        <w:tc>
          <w:tcPr>
            <w:tcW w:w="6512" w:type="dxa"/>
            <w:tcBorders>
              <w:top w:val="nil"/>
              <w:left w:val="single" w:sz="8" w:space="0" w:color="auto"/>
              <w:bottom w:val="single" w:sz="8" w:space="0" w:color="auto"/>
              <w:right w:val="single" w:sz="8" w:space="0" w:color="auto"/>
            </w:tcBorders>
            <w:shd w:val="clear" w:color="auto" w:fill="C0C0C0"/>
            <w:tcMar>
              <w:top w:w="0" w:type="dxa"/>
              <w:left w:w="70" w:type="dxa"/>
              <w:bottom w:w="0" w:type="dxa"/>
              <w:right w:w="70" w:type="dxa"/>
            </w:tcMar>
            <w:vAlign w:val="center"/>
            <w:hideMark/>
          </w:tcPr>
          <w:p w14:paraId="12E109B6" w14:textId="77777777" w:rsidR="003E0F58" w:rsidRPr="007C705C" w:rsidRDefault="003E0F58" w:rsidP="00FB3D34">
            <w:pPr>
              <w:jc w:val="left"/>
              <w:rPr>
                <w:rFonts w:eastAsia="Calibri" w:cs="Times New Roman"/>
                <w:color w:val="000000"/>
                <w:sz w:val="22"/>
                <w:lang w:val="cs-CZ"/>
              </w:rPr>
            </w:pPr>
            <w:r w:rsidRPr="007C705C">
              <w:rPr>
                <w:rFonts w:eastAsia="Calibri" w:cs="Times New Roman"/>
                <w:color w:val="000000"/>
                <w:sz w:val="22"/>
                <w:lang w:val="cs-CZ"/>
              </w:rPr>
              <w:t>Průměrná intenzita hospodářských zvířat na trvalých travních porostech</w:t>
            </w:r>
          </w:p>
        </w:tc>
        <w:tc>
          <w:tcPr>
            <w:tcW w:w="2262"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E3E426A" w14:textId="651031D3" w:rsidR="003E0F58" w:rsidRPr="007C705C" w:rsidRDefault="003E0F58" w:rsidP="00FB3D34">
            <w:pPr>
              <w:jc w:val="center"/>
              <w:rPr>
                <w:rFonts w:eastAsia="Calibri" w:cs="Times New Roman"/>
                <w:color w:val="000000"/>
                <w:sz w:val="22"/>
                <w:lang w:val="cs-CZ"/>
              </w:rPr>
            </w:pPr>
            <w:r w:rsidRPr="007C705C">
              <w:rPr>
                <w:rFonts w:eastAsia="Calibri" w:cs="Times New Roman"/>
                <w:color w:val="000000"/>
                <w:sz w:val="22"/>
                <w:lang w:val="cs-CZ"/>
              </w:rPr>
              <w:t>1,1 VDJ/ha</w:t>
            </w:r>
          </w:p>
        </w:tc>
      </w:tr>
      <w:tr w:rsidR="003E0F58" w:rsidRPr="007C705C" w14:paraId="4D5F78AF" w14:textId="77777777" w:rsidTr="00FB3D34">
        <w:trPr>
          <w:trHeight w:val="242"/>
        </w:trPr>
        <w:tc>
          <w:tcPr>
            <w:tcW w:w="6512" w:type="dxa"/>
            <w:tcBorders>
              <w:top w:val="nil"/>
              <w:left w:val="single" w:sz="8" w:space="0" w:color="auto"/>
              <w:bottom w:val="single" w:sz="8" w:space="0" w:color="auto"/>
              <w:right w:val="single" w:sz="8" w:space="0" w:color="auto"/>
            </w:tcBorders>
            <w:shd w:val="clear" w:color="auto" w:fill="C0C0C0"/>
            <w:tcMar>
              <w:top w:w="0" w:type="dxa"/>
              <w:left w:w="70" w:type="dxa"/>
              <w:bottom w:w="0" w:type="dxa"/>
              <w:right w:w="70" w:type="dxa"/>
            </w:tcMar>
            <w:vAlign w:val="center"/>
            <w:hideMark/>
          </w:tcPr>
          <w:p w14:paraId="6C5902A4" w14:textId="77777777" w:rsidR="003E0F58" w:rsidRPr="007C705C" w:rsidRDefault="003E0F58" w:rsidP="00FB3D34">
            <w:pPr>
              <w:jc w:val="left"/>
              <w:rPr>
                <w:rFonts w:eastAsia="Calibri" w:cs="Times New Roman"/>
                <w:color w:val="000000"/>
                <w:sz w:val="22"/>
                <w:vertAlign w:val="superscript"/>
                <w:lang w:val="cs-CZ"/>
              </w:rPr>
            </w:pPr>
            <w:r w:rsidRPr="007C705C">
              <w:rPr>
                <w:rFonts w:eastAsia="Calibri" w:cs="Times New Roman"/>
                <w:color w:val="000000"/>
                <w:sz w:val="22"/>
                <w:lang w:val="cs-CZ"/>
              </w:rPr>
              <w:t>Průměrné množství dusíku dodaného na trvalé travní porosty</w:t>
            </w:r>
            <w:r w:rsidRPr="007C705C">
              <w:rPr>
                <w:rFonts w:eastAsia="Calibri" w:cs="Times New Roman"/>
                <w:color w:val="000000"/>
                <w:sz w:val="22"/>
                <w:vertAlign w:val="superscript"/>
                <w:lang w:val="cs-CZ"/>
              </w:rPr>
              <w:t>2)</w:t>
            </w:r>
          </w:p>
        </w:tc>
        <w:tc>
          <w:tcPr>
            <w:tcW w:w="2262"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DC72EE9" w14:textId="395462B7" w:rsidR="003E0F58" w:rsidRPr="007C705C" w:rsidRDefault="003E0F58" w:rsidP="00FB3D34">
            <w:pPr>
              <w:jc w:val="center"/>
              <w:rPr>
                <w:rFonts w:eastAsia="Calibri" w:cs="Times New Roman"/>
                <w:color w:val="000000"/>
                <w:sz w:val="22"/>
                <w:lang w:val="cs-CZ"/>
              </w:rPr>
            </w:pPr>
            <w:r w:rsidRPr="007C705C">
              <w:rPr>
                <w:rFonts w:eastAsia="Calibri" w:cs="Times New Roman"/>
                <w:color w:val="000000"/>
                <w:sz w:val="22"/>
                <w:lang w:val="cs-CZ"/>
              </w:rPr>
              <w:t>51 kg N/ha</w:t>
            </w:r>
          </w:p>
        </w:tc>
      </w:tr>
    </w:tbl>
    <w:p w14:paraId="62A5BBD2" w14:textId="77777777" w:rsidR="003E0F58" w:rsidRPr="007C705C" w:rsidRDefault="003E0F58" w:rsidP="003E0F58">
      <w:pPr>
        <w:jc w:val="left"/>
        <w:rPr>
          <w:rFonts w:eastAsia="Calibri" w:cs="Times New Roman"/>
          <w:i/>
          <w:iCs/>
          <w:sz w:val="22"/>
          <w:lang w:val="cs-CZ"/>
        </w:rPr>
      </w:pPr>
      <w:r w:rsidRPr="007C705C">
        <w:rPr>
          <w:rFonts w:eastAsia="Calibri" w:cs="Times New Roman"/>
          <w:i/>
          <w:iCs/>
          <w:sz w:val="22"/>
          <w:lang w:val="cs-CZ"/>
        </w:rPr>
        <w:t>Zdroj Integrovaný registr zvířat (leden 2020); výměra půdy dle LPIS k 30. 6. 2020; vlastní výpočty ÚZEI</w:t>
      </w:r>
    </w:p>
    <w:p w14:paraId="0B2356DC" w14:textId="77777777" w:rsidR="003E0F58" w:rsidRPr="007C705C" w:rsidRDefault="003E0F58" w:rsidP="003E0F58">
      <w:pPr>
        <w:jc w:val="left"/>
        <w:rPr>
          <w:rFonts w:eastAsia="Calibri" w:cs="Times New Roman"/>
          <w:i/>
          <w:iCs/>
          <w:sz w:val="22"/>
          <w:lang w:val="cs-CZ"/>
        </w:rPr>
      </w:pPr>
      <w:r w:rsidRPr="007C705C">
        <w:rPr>
          <w:rFonts w:eastAsia="Calibri" w:cs="Times New Roman"/>
          <w:i/>
          <w:iCs/>
          <w:sz w:val="22"/>
          <w:lang w:val="cs-CZ"/>
        </w:rPr>
        <w:t>1)Do zemědělské půdy není započítána zalesněná půda, rybníky, mimoprodukční plochy a jiná kultura.</w:t>
      </w:r>
    </w:p>
    <w:p w14:paraId="65C7FB27" w14:textId="18D6D2CF" w:rsidR="003E0F58" w:rsidRDefault="003E0F58" w:rsidP="003E0F58">
      <w:pPr>
        <w:jc w:val="left"/>
        <w:rPr>
          <w:rFonts w:eastAsia="Calibri" w:cs="Times New Roman"/>
          <w:i/>
          <w:iCs/>
          <w:sz w:val="22"/>
          <w:lang w:val="cs-CZ"/>
        </w:rPr>
      </w:pPr>
      <w:r w:rsidRPr="007C705C">
        <w:rPr>
          <w:rFonts w:eastAsia="Calibri" w:cs="Times New Roman"/>
          <w:i/>
          <w:iCs/>
          <w:sz w:val="22"/>
          <w:lang w:val="cs-CZ"/>
        </w:rPr>
        <w:t>2)Online dotazníkové šetření ÚZEI mezi zemědělci na téma Ošetřování trvalých travních porostů, 2019</w:t>
      </w:r>
    </w:p>
    <w:p w14:paraId="43FB0114" w14:textId="2D4F506B" w:rsidR="003E0F58" w:rsidRDefault="003E0F58" w:rsidP="003E0F58">
      <w:pPr>
        <w:pStyle w:val="Titulek"/>
      </w:pPr>
    </w:p>
    <w:p w14:paraId="56CCF46F" w14:textId="3213D4E2" w:rsidR="00FB3D34" w:rsidRDefault="00FB3D34" w:rsidP="00FB3D34">
      <w:pPr>
        <w:rPr>
          <w:lang w:val="cs-CZ"/>
        </w:rPr>
      </w:pPr>
    </w:p>
    <w:p w14:paraId="0F65240D" w14:textId="39531238" w:rsidR="003E0F58" w:rsidRPr="007C705C" w:rsidRDefault="00FB3D34" w:rsidP="00FB3D34">
      <w:pPr>
        <w:pStyle w:val="UZEITaB"/>
      </w:pPr>
      <w:bookmarkStart w:id="176" w:name="_Toc77245807"/>
      <w:bookmarkEnd w:id="166"/>
      <w:r>
        <w:lastRenderedPageBreak/>
        <w:t xml:space="preserve"> </w:t>
      </w:r>
      <w:bookmarkStart w:id="177" w:name="_Toc94181565"/>
      <w:r w:rsidR="003E0F58" w:rsidRPr="007C705C">
        <w:t>Detailní rozbor emisí GHG z lesnictví v ČR v letech 2009 - 2018</w:t>
      </w:r>
      <w:bookmarkEnd w:id="176"/>
      <w:bookmarkEnd w:id="177"/>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5"/>
        <w:gridCol w:w="2395"/>
        <w:gridCol w:w="2395"/>
      </w:tblGrid>
      <w:tr w:rsidR="003E0F58" w:rsidRPr="007C705C" w14:paraId="2A2F1B67" w14:textId="77777777" w:rsidTr="004D2249">
        <w:trPr>
          <w:trHeight w:val="208"/>
        </w:trPr>
        <w:tc>
          <w:tcPr>
            <w:tcW w:w="2395" w:type="dxa"/>
            <w:vAlign w:val="center"/>
          </w:tcPr>
          <w:p w14:paraId="3624BAA6"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Sector/category</w:t>
            </w:r>
          </w:p>
        </w:tc>
        <w:tc>
          <w:tcPr>
            <w:tcW w:w="2395" w:type="dxa"/>
            <w:vAlign w:val="center"/>
          </w:tcPr>
          <w:p w14:paraId="3A19476D"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Emissions 1990</w:t>
            </w:r>
          </w:p>
          <w:p w14:paraId="76D5E142"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kt CO</w:t>
            </w:r>
            <w:r w:rsidRPr="007C705C">
              <w:rPr>
                <w:rFonts w:cs="Times New Roman"/>
                <w:b/>
                <w:bCs/>
                <w:color w:val="000000"/>
                <w:sz w:val="12"/>
                <w:szCs w:val="12"/>
                <w:lang w:val="cs-CZ"/>
              </w:rPr>
              <w:t xml:space="preserve">2 </w:t>
            </w:r>
            <w:r w:rsidRPr="007C705C">
              <w:rPr>
                <w:rFonts w:cs="Times New Roman"/>
                <w:b/>
                <w:bCs/>
                <w:color w:val="000000"/>
                <w:sz w:val="18"/>
                <w:szCs w:val="18"/>
                <w:lang w:val="cs-CZ"/>
              </w:rPr>
              <w:t>eq.</w:t>
            </w:r>
          </w:p>
        </w:tc>
        <w:tc>
          <w:tcPr>
            <w:tcW w:w="2395" w:type="dxa"/>
            <w:vAlign w:val="center"/>
          </w:tcPr>
          <w:p w14:paraId="062F97D1"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Emissions 2018</w:t>
            </w:r>
          </w:p>
          <w:p w14:paraId="6ADFE3B2"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kt CO</w:t>
            </w:r>
            <w:r w:rsidRPr="007C705C">
              <w:rPr>
                <w:rFonts w:cs="Times New Roman"/>
                <w:b/>
                <w:bCs/>
                <w:color w:val="000000"/>
                <w:sz w:val="12"/>
                <w:szCs w:val="12"/>
                <w:lang w:val="cs-CZ"/>
              </w:rPr>
              <w:t xml:space="preserve">2 </w:t>
            </w:r>
            <w:r w:rsidRPr="007C705C">
              <w:rPr>
                <w:rFonts w:cs="Times New Roman"/>
                <w:b/>
                <w:bCs/>
                <w:color w:val="000000"/>
                <w:sz w:val="18"/>
                <w:szCs w:val="18"/>
                <w:lang w:val="cs-CZ"/>
              </w:rPr>
              <w:t>eq.</w:t>
            </w:r>
          </w:p>
        </w:tc>
      </w:tr>
      <w:tr w:rsidR="003E0F58" w:rsidRPr="007C705C" w14:paraId="5C9E3864" w14:textId="77777777" w:rsidTr="004D2249">
        <w:trPr>
          <w:trHeight w:val="90"/>
        </w:trPr>
        <w:tc>
          <w:tcPr>
            <w:tcW w:w="2395" w:type="dxa"/>
          </w:tcPr>
          <w:p w14:paraId="6C3AFC15"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4 Total LULUCF </w:t>
            </w:r>
          </w:p>
        </w:tc>
        <w:tc>
          <w:tcPr>
            <w:tcW w:w="2395" w:type="dxa"/>
            <w:vAlign w:val="center"/>
          </w:tcPr>
          <w:p w14:paraId="2DE59E47" w14:textId="4A7C8D26" w:rsidR="003E0F58" w:rsidRPr="007C705C" w:rsidRDefault="003E0F58" w:rsidP="00FB3D34">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-5 687</w:t>
            </w:r>
          </w:p>
        </w:tc>
        <w:tc>
          <w:tcPr>
            <w:tcW w:w="2395" w:type="dxa"/>
            <w:vAlign w:val="center"/>
          </w:tcPr>
          <w:p w14:paraId="5CF5CBF4" w14:textId="273FC6EE" w:rsidR="003E0F58" w:rsidRPr="007C705C" w:rsidRDefault="003E0F58" w:rsidP="00FB3D34">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5 794</w:t>
            </w:r>
          </w:p>
        </w:tc>
      </w:tr>
      <w:tr w:rsidR="003E0F58" w:rsidRPr="007C705C" w14:paraId="7C0C138B" w14:textId="77777777" w:rsidTr="004D2249">
        <w:trPr>
          <w:trHeight w:val="90"/>
        </w:trPr>
        <w:tc>
          <w:tcPr>
            <w:tcW w:w="2395" w:type="dxa"/>
          </w:tcPr>
          <w:p w14:paraId="3CE62B9F"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4.A Forest Land </w:t>
            </w:r>
          </w:p>
        </w:tc>
        <w:tc>
          <w:tcPr>
            <w:tcW w:w="2395" w:type="dxa"/>
            <w:vAlign w:val="center"/>
          </w:tcPr>
          <w:p w14:paraId="65243DB0" w14:textId="54BF6BA1" w:rsidR="003E0F58" w:rsidRPr="007C705C" w:rsidRDefault="003E0F58" w:rsidP="00FB3D34">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-4 373</w:t>
            </w:r>
          </w:p>
        </w:tc>
        <w:tc>
          <w:tcPr>
            <w:tcW w:w="2395" w:type="dxa"/>
            <w:vAlign w:val="center"/>
          </w:tcPr>
          <w:p w14:paraId="3A5F7B5B" w14:textId="4E90F127" w:rsidR="003E0F58" w:rsidRPr="007C705C" w:rsidRDefault="003E0F58" w:rsidP="00FB3D34">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7 320</w:t>
            </w:r>
          </w:p>
        </w:tc>
      </w:tr>
      <w:tr w:rsidR="003E0F58" w:rsidRPr="007C705C" w14:paraId="4FC58E62" w14:textId="77777777" w:rsidTr="004D2249">
        <w:trPr>
          <w:trHeight w:val="90"/>
        </w:trPr>
        <w:tc>
          <w:tcPr>
            <w:tcW w:w="2395" w:type="dxa"/>
          </w:tcPr>
          <w:p w14:paraId="7656B241"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4.A.1 Forest Land remaining Forest Land </w:t>
            </w:r>
          </w:p>
        </w:tc>
        <w:tc>
          <w:tcPr>
            <w:tcW w:w="2395" w:type="dxa"/>
            <w:vAlign w:val="center"/>
          </w:tcPr>
          <w:p w14:paraId="77016411" w14:textId="29805410" w:rsidR="003E0F58" w:rsidRPr="007C705C" w:rsidRDefault="003E0F58" w:rsidP="00FB3D34">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-4 208</w:t>
            </w:r>
          </w:p>
        </w:tc>
        <w:tc>
          <w:tcPr>
            <w:tcW w:w="2395" w:type="dxa"/>
            <w:vAlign w:val="center"/>
          </w:tcPr>
          <w:p w14:paraId="0B68D524" w14:textId="3B25BD0F" w:rsidR="003E0F58" w:rsidRPr="007C705C" w:rsidRDefault="003E0F58" w:rsidP="00FB3D34">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7 858</w:t>
            </w:r>
          </w:p>
        </w:tc>
      </w:tr>
      <w:tr w:rsidR="003E0F58" w:rsidRPr="007C705C" w14:paraId="2FDE8E5C" w14:textId="77777777" w:rsidTr="004D2249">
        <w:trPr>
          <w:trHeight w:val="90"/>
        </w:trPr>
        <w:tc>
          <w:tcPr>
            <w:tcW w:w="2395" w:type="dxa"/>
          </w:tcPr>
          <w:p w14:paraId="68F42A4E"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4.A.2 Land converted to Forest Land </w:t>
            </w:r>
          </w:p>
        </w:tc>
        <w:tc>
          <w:tcPr>
            <w:tcW w:w="2395" w:type="dxa"/>
            <w:vAlign w:val="center"/>
          </w:tcPr>
          <w:p w14:paraId="7A07D0F8" w14:textId="31D2BAB9" w:rsidR="003E0F58" w:rsidRPr="007C705C" w:rsidRDefault="003E0F58" w:rsidP="00FB3D34">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-409</w:t>
            </w:r>
          </w:p>
        </w:tc>
        <w:tc>
          <w:tcPr>
            <w:tcW w:w="2395" w:type="dxa"/>
            <w:vAlign w:val="center"/>
          </w:tcPr>
          <w:p w14:paraId="18E8A3BF" w14:textId="7C520F9D" w:rsidR="003E0F58" w:rsidRPr="007C705C" w:rsidRDefault="003E0F58" w:rsidP="00FB3D34">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-553</w:t>
            </w:r>
          </w:p>
        </w:tc>
      </w:tr>
      <w:tr w:rsidR="003E0F58" w:rsidRPr="007C705C" w14:paraId="2E4D4144" w14:textId="77777777" w:rsidTr="004D2249">
        <w:trPr>
          <w:trHeight w:val="90"/>
        </w:trPr>
        <w:tc>
          <w:tcPr>
            <w:tcW w:w="2395" w:type="dxa"/>
          </w:tcPr>
          <w:p w14:paraId="08082D34"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4.B Cropland </w:t>
            </w:r>
          </w:p>
        </w:tc>
        <w:tc>
          <w:tcPr>
            <w:tcW w:w="2395" w:type="dxa"/>
            <w:vAlign w:val="center"/>
          </w:tcPr>
          <w:p w14:paraId="3CBAC5D5" w14:textId="732DF404" w:rsidR="003E0F58" w:rsidRPr="007C705C" w:rsidRDefault="003E0F58" w:rsidP="00FB3D34">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215</w:t>
            </w:r>
          </w:p>
        </w:tc>
        <w:tc>
          <w:tcPr>
            <w:tcW w:w="2395" w:type="dxa"/>
            <w:vAlign w:val="center"/>
          </w:tcPr>
          <w:p w14:paraId="64446115" w14:textId="44F73291" w:rsidR="003E0F58" w:rsidRPr="007C705C" w:rsidRDefault="003E0F58" w:rsidP="00FB3D34">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100</w:t>
            </w:r>
          </w:p>
        </w:tc>
      </w:tr>
      <w:tr w:rsidR="003E0F58" w:rsidRPr="007C705C" w14:paraId="33ECCC49" w14:textId="77777777" w:rsidTr="004D2249">
        <w:trPr>
          <w:trHeight w:val="90"/>
        </w:trPr>
        <w:tc>
          <w:tcPr>
            <w:tcW w:w="2395" w:type="dxa"/>
          </w:tcPr>
          <w:p w14:paraId="64CD90FD"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4.B.1 Cropland remaining Cropland </w:t>
            </w:r>
          </w:p>
        </w:tc>
        <w:tc>
          <w:tcPr>
            <w:tcW w:w="2395" w:type="dxa"/>
            <w:vAlign w:val="center"/>
          </w:tcPr>
          <w:p w14:paraId="3D401818" w14:textId="5A5BBAEB" w:rsidR="003E0F58" w:rsidRPr="007C705C" w:rsidRDefault="003E0F58" w:rsidP="00FB3D34">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90</w:t>
            </w:r>
          </w:p>
        </w:tc>
        <w:tc>
          <w:tcPr>
            <w:tcW w:w="2395" w:type="dxa"/>
            <w:vAlign w:val="center"/>
          </w:tcPr>
          <w:p w14:paraId="5EE936EB" w14:textId="0C1EA5D6" w:rsidR="003E0F58" w:rsidRPr="007C705C" w:rsidRDefault="003E0F58" w:rsidP="00FB3D34">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54</w:t>
            </w:r>
          </w:p>
        </w:tc>
      </w:tr>
      <w:tr w:rsidR="003E0F58" w:rsidRPr="007C705C" w14:paraId="5C947EF4" w14:textId="77777777" w:rsidTr="004D2249">
        <w:trPr>
          <w:trHeight w:val="90"/>
        </w:trPr>
        <w:tc>
          <w:tcPr>
            <w:tcW w:w="2395" w:type="dxa"/>
          </w:tcPr>
          <w:p w14:paraId="1E65CA1D"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4.B.2 Land converted to Cropland </w:t>
            </w:r>
          </w:p>
        </w:tc>
        <w:tc>
          <w:tcPr>
            <w:tcW w:w="2395" w:type="dxa"/>
            <w:vAlign w:val="center"/>
          </w:tcPr>
          <w:p w14:paraId="420779DA" w14:textId="0ECCBBC4" w:rsidR="003E0F58" w:rsidRPr="007C705C" w:rsidRDefault="003E0F58" w:rsidP="00FB3D34">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124</w:t>
            </w:r>
          </w:p>
        </w:tc>
        <w:tc>
          <w:tcPr>
            <w:tcW w:w="2395" w:type="dxa"/>
            <w:vAlign w:val="center"/>
          </w:tcPr>
          <w:p w14:paraId="33DA6654" w14:textId="5F4C0A72" w:rsidR="003E0F58" w:rsidRPr="007C705C" w:rsidRDefault="003E0F58" w:rsidP="00FB3D34">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46</w:t>
            </w:r>
          </w:p>
        </w:tc>
      </w:tr>
      <w:tr w:rsidR="003E0F58" w:rsidRPr="007C705C" w14:paraId="2A4CCEF2" w14:textId="77777777" w:rsidTr="004D2249">
        <w:trPr>
          <w:trHeight w:val="90"/>
        </w:trPr>
        <w:tc>
          <w:tcPr>
            <w:tcW w:w="2395" w:type="dxa"/>
          </w:tcPr>
          <w:p w14:paraId="47D739B2"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4.C Grassland </w:t>
            </w:r>
          </w:p>
        </w:tc>
        <w:tc>
          <w:tcPr>
            <w:tcW w:w="2395" w:type="dxa"/>
            <w:vAlign w:val="center"/>
          </w:tcPr>
          <w:p w14:paraId="26CD4073" w14:textId="033992C1" w:rsidR="003E0F58" w:rsidRPr="007C705C" w:rsidRDefault="003E0F58" w:rsidP="00FB3D34">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-110</w:t>
            </w:r>
          </w:p>
        </w:tc>
        <w:tc>
          <w:tcPr>
            <w:tcW w:w="2395" w:type="dxa"/>
            <w:vAlign w:val="center"/>
          </w:tcPr>
          <w:p w14:paraId="2B2E4D00" w14:textId="52BFB9B3" w:rsidR="003E0F58" w:rsidRPr="007C705C" w:rsidRDefault="003E0F58" w:rsidP="00FB3D34">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-282</w:t>
            </w:r>
          </w:p>
        </w:tc>
      </w:tr>
      <w:tr w:rsidR="003E0F58" w:rsidRPr="007C705C" w14:paraId="2795320A" w14:textId="77777777" w:rsidTr="004D2249">
        <w:trPr>
          <w:trHeight w:val="90"/>
        </w:trPr>
        <w:tc>
          <w:tcPr>
            <w:tcW w:w="2395" w:type="dxa"/>
          </w:tcPr>
          <w:p w14:paraId="5FABDA80"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4.C.1 Grassland remaining Grassland </w:t>
            </w:r>
          </w:p>
        </w:tc>
        <w:tc>
          <w:tcPr>
            <w:tcW w:w="2395" w:type="dxa"/>
            <w:vAlign w:val="center"/>
          </w:tcPr>
          <w:p w14:paraId="5EEA505E" w14:textId="2043DBBA" w:rsidR="003E0F58" w:rsidRPr="007C705C" w:rsidRDefault="003E0F58" w:rsidP="00FB3D34">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48</w:t>
            </w:r>
          </w:p>
        </w:tc>
        <w:tc>
          <w:tcPr>
            <w:tcW w:w="2395" w:type="dxa"/>
            <w:vAlign w:val="center"/>
          </w:tcPr>
          <w:p w14:paraId="5E1A0741" w14:textId="665134ED" w:rsidR="003E0F58" w:rsidRPr="007C705C" w:rsidRDefault="003E0F58" w:rsidP="00FB3D34">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-79</w:t>
            </w:r>
          </w:p>
        </w:tc>
      </w:tr>
      <w:tr w:rsidR="003E0F58" w:rsidRPr="007C705C" w14:paraId="3D211827" w14:textId="77777777" w:rsidTr="004D2249">
        <w:trPr>
          <w:trHeight w:val="90"/>
        </w:trPr>
        <w:tc>
          <w:tcPr>
            <w:tcW w:w="2395" w:type="dxa"/>
          </w:tcPr>
          <w:p w14:paraId="21AD72EA"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4.C.2 Land converted to Grassland </w:t>
            </w:r>
          </w:p>
        </w:tc>
        <w:tc>
          <w:tcPr>
            <w:tcW w:w="2395" w:type="dxa"/>
            <w:vAlign w:val="center"/>
          </w:tcPr>
          <w:p w14:paraId="161E4736" w14:textId="54685771" w:rsidR="003E0F58" w:rsidRPr="007C705C" w:rsidRDefault="003E0F58" w:rsidP="00FB3D34">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-158</w:t>
            </w:r>
          </w:p>
        </w:tc>
        <w:tc>
          <w:tcPr>
            <w:tcW w:w="2395" w:type="dxa"/>
            <w:vAlign w:val="center"/>
          </w:tcPr>
          <w:p w14:paraId="229EB20B" w14:textId="41EF60BE" w:rsidR="003E0F58" w:rsidRPr="007C705C" w:rsidRDefault="003E0F58" w:rsidP="00FB3D34">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-203</w:t>
            </w:r>
          </w:p>
        </w:tc>
      </w:tr>
      <w:tr w:rsidR="003E0F58" w:rsidRPr="007C705C" w14:paraId="79B60553" w14:textId="77777777" w:rsidTr="004D2249">
        <w:trPr>
          <w:trHeight w:val="90"/>
        </w:trPr>
        <w:tc>
          <w:tcPr>
            <w:tcW w:w="2395" w:type="dxa"/>
          </w:tcPr>
          <w:p w14:paraId="39A866F0"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4.D Wetlands </w:t>
            </w:r>
          </w:p>
        </w:tc>
        <w:tc>
          <w:tcPr>
            <w:tcW w:w="2395" w:type="dxa"/>
            <w:vAlign w:val="center"/>
          </w:tcPr>
          <w:p w14:paraId="0C81C5B4" w14:textId="175F38EF" w:rsidR="003E0F58" w:rsidRPr="007C705C" w:rsidRDefault="003E0F58" w:rsidP="00FB3D34">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22</w:t>
            </w:r>
          </w:p>
        </w:tc>
        <w:tc>
          <w:tcPr>
            <w:tcW w:w="2395" w:type="dxa"/>
            <w:vAlign w:val="center"/>
          </w:tcPr>
          <w:p w14:paraId="698A4CED" w14:textId="3B17EF7B" w:rsidR="003E0F58" w:rsidRPr="007C705C" w:rsidRDefault="003E0F58" w:rsidP="00FB3D34">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20</w:t>
            </w:r>
          </w:p>
        </w:tc>
      </w:tr>
      <w:tr w:rsidR="003E0F58" w:rsidRPr="007C705C" w14:paraId="37819F81" w14:textId="77777777" w:rsidTr="004D2249">
        <w:trPr>
          <w:trHeight w:val="90"/>
        </w:trPr>
        <w:tc>
          <w:tcPr>
            <w:tcW w:w="2395" w:type="dxa"/>
          </w:tcPr>
          <w:p w14:paraId="56F72A33"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4.D.1 Wetlands remaining Wetlands </w:t>
            </w:r>
          </w:p>
        </w:tc>
        <w:tc>
          <w:tcPr>
            <w:tcW w:w="2395" w:type="dxa"/>
            <w:vAlign w:val="center"/>
          </w:tcPr>
          <w:p w14:paraId="631AD9D7" w14:textId="204B268A" w:rsidR="003E0F58" w:rsidRPr="007C705C" w:rsidRDefault="003E0F58" w:rsidP="00FB3D34">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(0)</w:t>
            </w:r>
          </w:p>
        </w:tc>
        <w:tc>
          <w:tcPr>
            <w:tcW w:w="2395" w:type="dxa"/>
            <w:vAlign w:val="center"/>
          </w:tcPr>
          <w:p w14:paraId="1823FBDA" w14:textId="7E124256" w:rsidR="003E0F58" w:rsidRPr="007C705C" w:rsidRDefault="003E0F58" w:rsidP="00FB3D34">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(0)</w:t>
            </w:r>
          </w:p>
        </w:tc>
      </w:tr>
      <w:tr w:rsidR="003E0F58" w:rsidRPr="007C705C" w14:paraId="66217CF1" w14:textId="77777777" w:rsidTr="004D2249">
        <w:trPr>
          <w:trHeight w:val="90"/>
        </w:trPr>
        <w:tc>
          <w:tcPr>
            <w:tcW w:w="2395" w:type="dxa"/>
          </w:tcPr>
          <w:p w14:paraId="02D0F261"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4.D.2 Land converted to Wetlands </w:t>
            </w:r>
          </w:p>
        </w:tc>
        <w:tc>
          <w:tcPr>
            <w:tcW w:w="2395" w:type="dxa"/>
            <w:vAlign w:val="center"/>
          </w:tcPr>
          <w:p w14:paraId="24EF36E7" w14:textId="1D87E504" w:rsidR="003E0F58" w:rsidRPr="007C705C" w:rsidRDefault="003E0F58" w:rsidP="00FB3D34">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22</w:t>
            </w:r>
          </w:p>
        </w:tc>
        <w:tc>
          <w:tcPr>
            <w:tcW w:w="2395" w:type="dxa"/>
            <w:vAlign w:val="center"/>
          </w:tcPr>
          <w:p w14:paraId="0819F039" w14:textId="01698307" w:rsidR="003E0F58" w:rsidRPr="007C705C" w:rsidRDefault="003E0F58" w:rsidP="00FB3D34">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20</w:t>
            </w:r>
          </w:p>
        </w:tc>
      </w:tr>
      <w:tr w:rsidR="003E0F58" w:rsidRPr="007C705C" w14:paraId="5419E7C3" w14:textId="77777777" w:rsidTr="004D2249">
        <w:trPr>
          <w:trHeight w:val="90"/>
        </w:trPr>
        <w:tc>
          <w:tcPr>
            <w:tcW w:w="2395" w:type="dxa"/>
          </w:tcPr>
          <w:p w14:paraId="2DC31945"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4.E Settlements </w:t>
            </w:r>
          </w:p>
        </w:tc>
        <w:tc>
          <w:tcPr>
            <w:tcW w:w="2395" w:type="dxa"/>
            <w:vAlign w:val="center"/>
          </w:tcPr>
          <w:p w14:paraId="30AD3F3D" w14:textId="47D45C57" w:rsidR="003E0F58" w:rsidRPr="007C705C" w:rsidRDefault="003E0F58" w:rsidP="00FB3D34">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271</w:t>
            </w:r>
          </w:p>
        </w:tc>
        <w:tc>
          <w:tcPr>
            <w:tcW w:w="2395" w:type="dxa"/>
            <w:vAlign w:val="center"/>
          </w:tcPr>
          <w:p w14:paraId="015FD278" w14:textId="38E7434F" w:rsidR="003E0F58" w:rsidRPr="007C705C" w:rsidRDefault="003E0F58" w:rsidP="00FB3D34">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124</w:t>
            </w:r>
          </w:p>
        </w:tc>
      </w:tr>
      <w:tr w:rsidR="003E0F58" w:rsidRPr="007C705C" w14:paraId="04F1E2E5" w14:textId="77777777" w:rsidTr="004D2249">
        <w:trPr>
          <w:trHeight w:val="90"/>
        </w:trPr>
        <w:tc>
          <w:tcPr>
            <w:tcW w:w="2395" w:type="dxa"/>
          </w:tcPr>
          <w:p w14:paraId="00DCF717"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4.E.1 Settlements remaining Settlements </w:t>
            </w:r>
          </w:p>
        </w:tc>
        <w:tc>
          <w:tcPr>
            <w:tcW w:w="2395" w:type="dxa"/>
            <w:vAlign w:val="center"/>
          </w:tcPr>
          <w:p w14:paraId="37FFE4BA" w14:textId="1B0DFA81" w:rsidR="003E0F58" w:rsidRPr="007C705C" w:rsidRDefault="003E0F58" w:rsidP="00FB3D34">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(0)</w:t>
            </w:r>
          </w:p>
        </w:tc>
        <w:tc>
          <w:tcPr>
            <w:tcW w:w="2395" w:type="dxa"/>
            <w:vAlign w:val="center"/>
          </w:tcPr>
          <w:p w14:paraId="6EF69653" w14:textId="024FE150" w:rsidR="003E0F58" w:rsidRPr="007C705C" w:rsidRDefault="003E0F58" w:rsidP="00FB3D34">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(0)</w:t>
            </w:r>
          </w:p>
        </w:tc>
      </w:tr>
      <w:tr w:rsidR="003E0F58" w:rsidRPr="007C705C" w14:paraId="12166CF1" w14:textId="77777777" w:rsidTr="004D2249">
        <w:trPr>
          <w:trHeight w:val="90"/>
        </w:trPr>
        <w:tc>
          <w:tcPr>
            <w:tcW w:w="2395" w:type="dxa"/>
          </w:tcPr>
          <w:p w14:paraId="4E9A1EAB"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4.E.2 Land converted to Settlements </w:t>
            </w:r>
          </w:p>
        </w:tc>
        <w:tc>
          <w:tcPr>
            <w:tcW w:w="2395" w:type="dxa"/>
            <w:vAlign w:val="center"/>
          </w:tcPr>
          <w:p w14:paraId="099757CC" w14:textId="4D836140" w:rsidR="003E0F58" w:rsidRPr="007C705C" w:rsidRDefault="003E0F58" w:rsidP="00FB3D34">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271</w:t>
            </w:r>
          </w:p>
        </w:tc>
        <w:tc>
          <w:tcPr>
            <w:tcW w:w="2395" w:type="dxa"/>
            <w:vAlign w:val="center"/>
          </w:tcPr>
          <w:p w14:paraId="0E0FE024" w14:textId="4436AE04" w:rsidR="003E0F58" w:rsidRPr="007C705C" w:rsidRDefault="003E0F58" w:rsidP="00FB3D34">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124</w:t>
            </w:r>
          </w:p>
        </w:tc>
      </w:tr>
      <w:tr w:rsidR="003E0F58" w:rsidRPr="007C705C" w14:paraId="148B81F0" w14:textId="77777777" w:rsidTr="004D2249">
        <w:trPr>
          <w:trHeight w:val="90"/>
        </w:trPr>
        <w:tc>
          <w:tcPr>
            <w:tcW w:w="2395" w:type="dxa"/>
          </w:tcPr>
          <w:p w14:paraId="015E254F"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4.F Other Land </w:t>
            </w:r>
          </w:p>
        </w:tc>
        <w:tc>
          <w:tcPr>
            <w:tcW w:w="2395" w:type="dxa"/>
            <w:vAlign w:val="center"/>
          </w:tcPr>
          <w:p w14:paraId="13C9ED51" w14:textId="00BEB12A" w:rsidR="003E0F58" w:rsidRPr="007C705C" w:rsidRDefault="003E0F58" w:rsidP="00FB3D34">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(0)</w:t>
            </w:r>
          </w:p>
        </w:tc>
        <w:tc>
          <w:tcPr>
            <w:tcW w:w="2395" w:type="dxa"/>
            <w:vAlign w:val="center"/>
          </w:tcPr>
          <w:p w14:paraId="44A1F6F2" w14:textId="2E9F4657" w:rsidR="003E0F58" w:rsidRPr="007C705C" w:rsidRDefault="003E0F58" w:rsidP="00FB3D34">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(0)</w:t>
            </w:r>
          </w:p>
        </w:tc>
      </w:tr>
      <w:tr w:rsidR="003E0F58" w:rsidRPr="007C705C" w14:paraId="56CE3E1B" w14:textId="77777777" w:rsidTr="004D2249">
        <w:trPr>
          <w:trHeight w:val="90"/>
        </w:trPr>
        <w:tc>
          <w:tcPr>
            <w:tcW w:w="2395" w:type="dxa"/>
          </w:tcPr>
          <w:p w14:paraId="47049214"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4.G Harvested Wood Products </w:t>
            </w:r>
          </w:p>
        </w:tc>
        <w:tc>
          <w:tcPr>
            <w:tcW w:w="2395" w:type="dxa"/>
            <w:vAlign w:val="center"/>
          </w:tcPr>
          <w:p w14:paraId="1564E475" w14:textId="2F5A4648" w:rsidR="003E0F58" w:rsidRPr="007C705C" w:rsidRDefault="003E0F58" w:rsidP="00FB3D34">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-1 713</w:t>
            </w:r>
          </w:p>
        </w:tc>
        <w:tc>
          <w:tcPr>
            <w:tcW w:w="2395" w:type="dxa"/>
            <w:vAlign w:val="center"/>
          </w:tcPr>
          <w:p w14:paraId="5A9D1227" w14:textId="354712DC" w:rsidR="003E0F58" w:rsidRPr="007C705C" w:rsidRDefault="003E0F58" w:rsidP="00FB3D34">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-1 488</w:t>
            </w:r>
          </w:p>
        </w:tc>
      </w:tr>
    </w:tbl>
    <w:p w14:paraId="413166C7" w14:textId="77777777" w:rsidR="003E0F58" w:rsidRPr="007C705C" w:rsidRDefault="003E0F58" w:rsidP="00FB3D34">
      <w:pPr>
        <w:pStyle w:val="UZEIZdroj"/>
      </w:pPr>
      <w:r w:rsidRPr="007C705C">
        <w:t>Note: Emissions of non-CO2 gases (CH4 and N2O) are also included.Zdroj: NIR ČR 2020 (ČHMÚ)</w:t>
      </w:r>
    </w:p>
    <w:p w14:paraId="1F40B963" w14:textId="77777777" w:rsidR="003E0F58" w:rsidRPr="007C705C" w:rsidRDefault="003E0F58" w:rsidP="003E0F58">
      <w:pPr>
        <w:pStyle w:val="Odstavecseseznamem"/>
        <w:ind w:left="0"/>
        <w:rPr>
          <w:rFonts w:eastAsiaTheme="minorEastAsia"/>
        </w:rPr>
      </w:pPr>
    </w:p>
    <w:p w14:paraId="1114BD52" w14:textId="459C5422" w:rsidR="003E0F58" w:rsidRPr="007C705C" w:rsidRDefault="00FB3D34" w:rsidP="00FB3D34">
      <w:pPr>
        <w:pStyle w:val="UZEITaB"/>
      </w:pPr>
      <w:bookmarkStart w:id="178" w:name="_Toc77245808"/>
      <w:r>
        <w:t xml:space="preserve"> </w:t>
      </w:r>
      <w:bookmarkStart w:id="179" w:name="_Toc94181566"/>
      <w:r w:rsidR="003E0F58" w:rsidRPr="007C705C">
        <w:t>Annual initial and final areas of particular land-use categories and the identified annual land-use conversions among these categories, shown for 1990 and 2018.</w:t>
      </w:r>
      <w:bookmarkEnd w:id="178"/>
      <w:bookmarkEnd w:id="179"/>
    </w:p>
    <w:tbl>
      <w:tblPr>
        <w:tblW w:w="102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7"/>
        <w:gridCol w:w="1018"/>
        <w:gridCol w:w="34"/>
        <w:gridCol w:w="7"/>
        <w:gridCol w:w="1052"/>
        <w:gridCol w:w="9"/>
        <w:gridCol w:w="1204"/>
        <w:gridCol w:w="7"/>
        <w:gridCol w:w="1204"/>
        <w:gridCol w:w="7"/>
        <w:gridCol w:w="1348"/>
        <w:gridCol w:w="12"/>
        <w:gridCol w:w="1363"/>
        <w:gridCol w:w="8"/>
        <w:gridCol w:w="759"/>
        <w:gridCol w:w="1067"/>
      </w:tblGrid>
      <w:tr w:rsidR="003E0F58" w:rsidRPr="007C705C" w14:paraId="2616A16B" w14:textId="77777777" w:rsidTr="00FB3D34">
        <w:trPr>
          <w:trHeight w:val="230"/>
        </w:trPr>
        <w:tc>
          <w:tcPr>
            <w:tcW w:w="3287" w:type="dxa"/>
            <w:gridSpan w:val="6"/>
            <w:vAlign w:val="center"/>
          </w:tcPr>
          <w:p w14:paraId="63AFA8A9" w14:textId="77777777" w:rsidR="003E0F58" w:rsidRPr="007C705C" w:rsidRDefault="003E0F58" w:rsidP="004D2249">
            <w:pPr>
              <w:autoSpaceDE w:val="0"/>
              <w:autoSpaceDN w:val="0"/>
              <w:adjustRightInd w:val="0"/>
              <w:jc w:val="center"/>
              <w:rPr>
                <w:rFonts w:cs="Times New Roman"/>
                <w:color w:val="000000"/>
                <w:sz w:val="22"/>
                <w:lang w:val="cs-CZ"/>
              </w:rPr>
            </w:pPr>
            <w:r w:rsidRPr="007C705C">
              <w:rPr>
                <w:rFonts w:cs="Times New Roman"/>
                <w:b/>
                <w:bCs/>
                <w:color w:val="000000"/>
                <w:sz w:val="22"/>
                <w:lang w:val="cs-CZ"/>
              </w:rPr>
              <w:t>1990</w:t>
            </w:r>
          </w:p>
        </w:tc>
        <w:tc>
          <w:tcPr>
            <w:tcW w:w="5912" w:type="dxa"/>
            <w:gridSpan w:val="9"/>
            <w:vAlign w:val="center"/>
          </w:tcPr>
          <w:p w14:paraId="64E64C3C"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Initial (1989)</w:t>
            </w:r>
          </w:p>
        </w:tc>
        <w:tc>
          <w:tcPr>
            <w:tcW w:w="1067" w:type="dxa"/>
            <w:vAlign w:val="center"/>
          </w:tcPr>
          <w:p w14:paraId="720788C3"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i/>
                <w:iCs/>
                <w:color w:val="000000"/>
                <w:sz w:val="18"/>
                <w:szCs w:val="18"/>
                <w:lang w:val="cs-CZ"/>
              </w:rPr>
              <w:t>Area (kha)</w:t>
            </w:r>
          </w:p>
        </w:tc>
      </w:tr>
      <w:tr w:rsidR="003E0F58" w:rsidRPr="007C705C" w14:paraId="31664689" w14:textId="77777777" w:rsidTr="00FB3D34">
        <w:trPr>
          <w:trHeight w:val="103"/>
        </w:trPr>
        <w:tc>
          <w:tcPr>
            <w:tcW w:w="1167" w:type="dxa"/>
          </w:tcPr>
          <w:p w14:paraId="4D3B5405" w14:textId="77777777" w:rsidR="003E0F58" w:rsidRPr="007C705C" w:rsidRDefault="003E0F58" w:rsidP="004D2249">
            <w:pPr>
              <w:autoSpaceDE w:val="0"/>
              <w:autoSpaceDN w:val="0"/>
              <w:adjustRightInd w:val="0"/>
              <w:jc w:val="left"/>
              <w:rPr>
                <w:rFonts w:cs="Times New Roman"/>
                <w:color w:val="000000"/>
                <w:sz w:val="18"/>
                <w:szCs w:val="18"/>
                <w:lang w:val="cs-CZ"/>
              </w:rPr>
            </w:pPr>
          </w:p>
        </w:tc>
        <w:tc>
          <w:tcPr>
            <w:tcW w:w="1059" w:type="dxa"/>
            <w:gridSpan w:val="3"/>
            <w:vAlign w:val="center"/>
          </w:tcPr>
          <w:p w14:paraId="78132EF6"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Category</w:t>
            </w:r>
          </w:p>
        </w:tc>
        <w:tc>
          <w:tcPr>
            <w:tcW w:w="1059" w:type="dxa"/>
            <w:gridSpan w:val="2"/>
            <w:vAlign w:val="center"/>
          </w:tcPr>
          <w:p w14:paraId="12FD89D5"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Forest land</w:t>
            </w:r>
          </w:p>
        </w:tc>
        <w:tc>
          <w:tcPr>
            <w:tcW w:w="1204" w:type="dxa"/>
            <w:vAlign w:val="center"/>
          </w:tcPr>
          <w:p w14:paraId="239D6A9A"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Cropland</w:t>
            </w:r>
          </w:p>
        </w:tc>
        <w:tc>
          <w:tcPr>
            <w:tcW w:w="1211" w:type="dxa"/>
            <w:gridSpan w:val="2"/>
            <w:vAlign w:val="center"/>
          </w:tcPr>
          <w:p w14:paraId="690F4E97"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Grassland</w:t>
            </w:r>
          </w:p>
        </w:tc>
        <w:tc>
          <w:tcPr>
            <w:tcW w:w="1355" w:type="dxa"/>
            <w:gridSpan w:val="2"/>
            <w:vAlign w:val="center"/>
          </w:tcPr>
          <w:p w14:paraId="0B46DCFC"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Wetlands</w:t>
            </w:r>
          </w:p>
        </w:tc>
        <w:tc>
          <w:tcPr>
            <w:tcW w:w="1374" w:type="dxa"/>
            <w:gridSpan w:val="2"/>
            <w:vAlign w:val="center"/>
          </w:tcPr>
          <w:p w14:paraId="38987921"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Settlements</w:t>
            </w:r>
          </w:p>
        </w:tc>
        <w:tc>
          <w:tcPr>
            <w:tcW w:w="765" w:type="dxa"/>
            <w:gridSpan w:val="2"/>
            <w:vAlign w:val="center"/>
          </w:tcPr>
          <w:p w14:paraId="4C6BA8B3"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Other land</w:t>
            </w:r>
          </w:p>
        </w:tc>
        <w:tc>
          <w:tcPr>
            <w:tcW w:w="1067" w:type="dxa"/>
          </w:tcPr>
          <w:p w14:paraId="5933C054" w14:textId="77777777" w:rsidR="003E0F58" w:rsidRPr="007C705C" w:rsidRDefault="003E0F58" w:rsidP="004D2249">
            <w:pPr>
              <w:autoSpaceDE w:val="0"/>
              <w:autoSpaceDN w:val="0"/>
              <w:adjustRightInd w:val="0"/>
              <w:jc w:val="left"/>
              <w:rPr>
                <w:rFonts w:cs="Times New Roman"/>
                <w:color w:val="000000"/>
                <w:sz w:val="18"/>
                <w:szCs w:val="18"/>
                <w:lang w:val="cs-CZ"/>
              </w:rPr>
            </w:pPr>
          </w:p>
        </w:tc>
      </w:tr>
      <w:tr w:rsidR="003E0F58" w:rsidRPr="007C705C" w14:paraId="1FABCD5F" w14:textId="77777777" w:rsidTr="00FB3D34">
        <w:trPr>
          <w:cantSplit/>
          <w:trHeight w:val="447"/>
        </w:trPr>
        <w:tc>
          <w:tcPr>
            <w:tcW w:w="1167" w:type="dxa"/>
            <w:vMerge w:val="restart"/>
            <w:textDirection w:val="btLr"/>
            <w:vAlign w:val="center"/>
          </w:tcPr>
          <w:p w14:paraId="3BACBE73" w14:textId="77777777" w:rsidR="003E0F58" w:rsidRPr="007C705C" w:rsidRDefault="003E0F58" w:rsidP="004D2249">
            <w:pPr>
              <w:autoSpaceDE w:val="0"/>
              <w:autoSpaceDN w:val="0"/>
              <w:adjustRightInd w:val="0"/>
              <w:ind w:left="113" w:right="113"/>
              <w:jc w:val="center"/>
              <w:rPr>
                <w:rFonts w:cs="Times New Roman"/>
                <w:color w:val="000000"/>
                <w:sz w:val="18"/>
                <w:szCs w:val="18"/>
                <w:lang w:val="cs-CZ"/>
              </w:rPr>
            </w:pPr>
            <w:r w:rsidRPr="007C705C">
              <w:rPr>
                <w:rFonts w:cs="Times New Roman"/>
                <w:b/>
                <w:bCs/>
                <w:color w:val="000000"/>
                <w:sz w:val="18"/>
                <w:szCs w:val="18"/>
                <w:lang w:val="cs-CZ"/>
              </w:rPr>
              <w:t>Final (1990)</w:t>
            </w:r>
          </w:p>
        </w:tc>
        <w:tc>
          <w:tcPr>
            <w:tcW w:w="1018" w:type="dxa"/>
          </w:tcPr>
          <w:p w14:paraId="6D1322F5"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Forest Land </w:t>
            </w:r>
          </w:p>
        </w:tc>
        <w:tc>
          <w:tcPr>
            <w:tcW w:w="1101" w:type="dxa"/>
            <w:gridSpan w:val="4"/>
          </w:tcPr>
          <w:p w14:paraId="12310166"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2628.6 </w:t>
            </w:r>
          </w:p>
        </w:tc>
        <w:tc>
          <w:tcPr>
            <w:tcW w:w="1204" w:type="dxa"/>
          </w:tcPr>
          <w:p w14:paraId="7D0F6B36"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0.5 </w:t>
            </w:r>
          </w:p>
        </w:tc>
        <w:tc>
          <w:tcPr>
            <w:tcW w:w="1211" w:type="dxa"/>
            <w:gridSpan w:val="2"/>
          </w:tcPr>
          <w:p w14:paraId="5390E98E"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0.4 </w:t>
            </w:r>
          </w:p>
        </w:tc>
        <w:tc>
          <w:tcPr>
            <w:tcW w:w="1367" w:type="dxa"/>
            <w:gridSpan w:val="3"/>
          </w:tcPr>
          <w:p w14:paraId="795CDF00"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0.0 </w:t>
            </w:r>
          </w:p>
        </w:tc>
        <w:tc>
          <w:tcPr>
            <w:tcW w:w="1363" w:type="dxa"/>
          </w:tcPr>
          <w:p w14:paraId="7AE3EAD9"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0.0 </w:t>
            </w:r>
          </w:p>
        </w:tc>
        <w:tc>
          <w:tcPr>
            <w:tcW w:w="765" w:type="dxa"/>
            <w:gridSpan w:val="2"/>
          </w:tcPr>
          <w:p w14:paraId="14B57DBF"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0.0 </w:t>
            </w:r>
          </w:p>
        </w:tc>
        <w:tc>
          <w:tcPr>
            <w:tcW w:w="1067" w:type="dxa"/>
          </w:tcPr>
          <w:p w14:paraId="11A5C60E" w14:textId="77777777" w:rsidR="003E0F58" w:rsidRPr="007C705C" w:rsidRDefault="003E0F58" w:rsidP="004D2249">
            <w:pPr>
              <w:autoSpaceDE w:val="0"/>
              <w:autoSpaceDN w:val="0"/>
              <w:adjustRightInd w:val="0"/>
              <w:ind w:right="-392"/>
              <w:jc w:val="left"/>
              <w:rPr>
                <w:rFonts w:cs="Times New Roman"/>
                <w:color w:val="000000"/>
                <w:sz w:val="18"/>
                <w:szCs w:val="18"/>
                <w:lang w:val="cs-CZ"/>
              </w:rPr>
            </w:pPr>
            <w:r w:rsidRPr="007C705C">
              <w:rPr>
                <w:rFonts w:cs="Times New Roman"/>
                <w:b/>
                <w:bCs/>
                <w:color w:val="000000"/>
                <w:sz w:val="18"/>
                <w:szCs w:val="18"/>
                <w:lang w:val="cs-CZ"/>
              </w:rPr>
              <w:t xml:space="preserve">2629.5 </w:t>
            </w:r>
          </w:p>
        </w:tc>
      </w:tr>
      <w:tr w:rsidR="003E0F58" w:rsidRPr="007C705C" w14:paraId="0101C485" w14:textId="77777777" w:rsidTr="00FB3D34">
        <w:trPr>
          <w:trHeight w:val="103"/>
        </w:trPr>
        <w:tc>
          <w:tcPr>
            <w:tcW w:w="1167" w:type="dxa"/>
            <w:vMerge/>
          </w:tcPr>
          <w:p w14:paraId="1CF27787" w14:textId="77777777" w:rsidR="003E0F58" w:rsidRPr="007C705C" w:rsidRDefault="003E0F58" w:rsidP="004D2249">
            <w:pPr>
              <w:autoSpaceDE w:val="0"/>
              <w:autoSpaceDN w:val="0"/>
              <w:adjustRightInd w:val="0"/>
              <w:jc w:val="left"/>
              <w:rPr>
                <w:rFonts w:cs="Times New Roman"/>
                <w:color w:val="000000"/>
                <w:sz w:val="18"/>
                <w:szCs w:val="18"/>
                <w:lang w:val="cs-CZ"/>
              </w:rPr>
            </w:pPr>
          </w:p>
        </w:tc>
        <w:tc>
          <w:tcPr>
            <w:tcW w:w="1052" w:type="dxa"/>
            <w:gridSpan w:val="2"/>
          </w:tcPr>
          <w:p w14:paraId="1CE02A7F"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Cropland </w:t>
            </w:r>
          </w:p>
        </w:tc>
        <w:tc>
          <w:tcPr>
            <w:tcW w:w="1059" w:type="dxa"/>
            <w:gridSpan w:val="2"/>
          </w:tcPr>
          <w:p w14:paraId="5ECB034E"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0.0 </w:t>
            </w:r>
          </w:p>
        </w:tc>
        <w:tc>
          <w:tcPr>
            <w:tcW w:w="1211" w:type="dxa"/>
            <w:gridSpan w:val="2"/>
          </w:tcPr>
          <w:p w14:paraId="2D4AB7E1"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3454.5 </w:t>
            </w:r>
          </w:p>
        </w:tc>
        <w:tc>
          <w:tcPr>
            <w:tcW w:w="1211" w:type="dxa"/>
            <w:gridSpan w:val="2"/>
          </w:tcPr>
          <w:p w14:paraId="267D05D6"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0.4 </w:t>
            </w:r>
          </w:p>
        </w:tc>
        <w:tc>
          <w:tcPr>
            <w:tcW w:w="1367" w:type="dxa"/>
            <w:gridSpan w:val="3"/>
          </w:tcPr>
          <w:p w14:paraId="2555A714"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0.0 </w:t>
            </w:r>
          </w:p>
        </w:tc>
        <w:tc>
          <w:tcPr>
            <w:tcW w:w="1363" w:type="dxa"/>
          </w:tcPr>
          <w:p w14:paraId="61F776EA"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0.1 </w:t>
            </w:r>
          </w:p>
        </w:tc>
        <w:tc>
          <w:tcPr>
            <w:tcW w:w="765" w:type="dxa"/>
            <w:gridSpan w:val="2"/>
          </w:tcPr>
          <w:p w14:paraId="6D99E83D"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0.0 </w:t>
            </w:r>
          </w:p>
        </w:tc>
        <w:tc>
          <w:tcPr>
            <w:tcW w:w="1067" w:type="dxa"/>
          </w:tcPr>
          <w:p w14:paraId="446F6851" w14:textId="77777777" w:rsidR="003E0F58" w:rsidRPr="007C705C" w:rsidRDefault="003E0F58" w:rsidP="004D2249">
            <w:pPr>
              <w:autoSpaceDE w:val="0"/>
              <w:autoSpaceDN w:val="0"/>
              <w:adjustRightInd w:val="0"/>
              <w:ind w:right="-392"/>
              <w:jc w:val="left"/>
              <w:rPr>
                <w:rFonts w:cs="Times New Roman"/>
                <w:color w:val="000000"/>
                <w:sz w:val="18"/>
                <w:szCs w:val="18"/>
                <w:lang w:val="cs-CZ"/>
              </w:rPr>
            </w:pPr>
            <w:r w:rsidRPr="007C705C">
              <w:rPr>
                <w:rFonts w:cs="Times New Roman"/>
                <w:b/>
                <w:bCs/>
                <w:color w:val="000000"/>
                <w:sz w:val="18"/>
                <w:szCs w:val="18"/>
                <w:lang w:val="cs-CZ"/>
              </w:rPr>
              <w:t xml:space="preserve">3455.0 </w:t>
            </w:r>
          </w:p>
        </w:tc>
      </w:tr>
      <w:tr w:rsidR="003E0F58" w:rsidRPr="007C705C" w14:paraId="05599EE8" w14:textId="77777777" w:rsidTr="00FB3D34">
        <w:trPr>
          <w:trHeight w:val="103"/>
        </w:trPr>
        <w:tc>
          <w:tcPr>
            <w:tcW w:w="1167" w:type="dxa"/>
            <w:vMerge/>
          </w:tcPr>
          <w:p w14:paraId="3BDCD4AB" w14:textId="77777777" w:rsidR="003E0F58" w:rsidRPr="007C705C" w:rsidRDefault="003E0F58" w:rsidP="004D2249">
            <w:pPr>
              <w:autoSpaceDE w:val="0"/>
              <w:autoSpaceDN w:val="0"/>
              <w:adjustRightInd w:val="0"/>
              <w:jc w:val="left"/>
              <w:rPr>
                <w:rFonts w:cs="Times New Roman"/>
                <w:color w:val="000000"/>
                <w:sz w:val="18"/>
                <w:szCs w:val="18"/>
                <w:lang w:val="cs-CZ"/>
              </w:rPr>
            </w:pPr>
          </w:p>
        </w:tc>
        <w:tc>
          <w:tcPr>
            <w:tcW w:w="1052" w:type="dxa"/>
            <w:gridSpan w:val="2"/>
          </w:tcPr>
          <w:p w14:paraId="21D7805C"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Grassland </w:t>
            </w:r>
          </w:p>
        </w:tc>
        <w:tc>
          <w:tcPr>
            <w:tcW w:w="1059" w:type="dxa"/>
            <w:gridSpan w:val="2"/>
          </w:tcPr>
          <w:p w14:paraId="63641F5D"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0.1 </w:t>
            </w:r>
          </w:p>
        </w:tc>
        <w:tc>
          <w:tcPr>
            <w:tcW w:w="1211" w:type="dxa"/>
            <w:gridSpan w:val="2"/>
          </w:tcPr>
          <w:p w14:paraId="131419BD"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8.8 </w:t>
            </w:r>
          </w:p>
        </w:tc>
        <w:tc>
          <w:tcPr>
            <w:tcW w:w="1211" w:type="dxa"/>
            <w:gridSpan w:val="2"/>
          </w:tcPr>
          <w:p w14:paraId="052C312B"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823.6 </w:t>
            </w:r>
          </w:p>
        </w:tc>
        <w:tc>
          <w:tcPr>
            <w:tcW w:w="1367" w:type="dxa"/>
            <w:gridSpan w:val="3"/>
          </w:tcPr>
          <w:p w14:paraId="0B66F95E"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0.0 </w:t>
            </w:r>
          </w:p>
        </w:tc>
        <w:tc>
          <w:tcPr>
            <w:tcW w:w="1363" w:type="dxa"/>
          </w:tcPr>
          <w:p w14:paraId="08794E37"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0.0 </w:t>
            </w:r>
          </w:p>
        </w:tc>
        <w:tc>
          <w:tcPr>
            <w:tcW w:w="765" w:type="dxa"/>
            <w:gridSpan w:val="2"/>
          </w:tcPr>
          <w:p w14:paraId="30BA36E6"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0.0 </w:t>
            </w:r>
          </w:p>
        </w:tc>
        <w:tc>
          <w:tcPr>
            <w:tcW w:w="1067" w:type="dxa"/>
          </w:tcPr>
          <w:p w14:paraId="72D8E1C1" w14:textId="77777777" w:rsidR="003E0F58" w:rsidRPr="007C705C" w:rsidRDefault="003E0F58" w:rsidP="004D2249">
            <w:pPr>
              <w:autoSpaceDE w:val="0"/>
              <w:autoSpaceDN w:val="0"/>
              <w:adjustRightInd w:val="0"/>
              <w:ind w:right="-392"/>
              <w:jc w:val="left"/>
              <w:rPr>
                <w:rFonts w:cs="Times New Roman"/>
                <w:color w:val="000000"/>
                <w:sz w:val="18"/>
                <w:szCs w:val="18"/>
                <w:lang w:val="cs-CZ"/>
              </w:rPr>
            </w:pPr>
            <w:r w:rsidRPr="007C705C">
              <w:rPr>
                <w:rFonts w:cs="Times New Roman"/>
                <w:b/>
                <w:bCs/>
                <w:color w:val="000000"/>
                <w:sz w:val="18"/>
                <w:szCs w:val="18"/>
                <w:lang w:val="cs-CZ"/>
              </w:rPr>
              <w:t xml:space="preserve">832.5 </w:t>
            </w:r>
          </w:p>
        </w:tc>
      </w:tr>
      <w:tr w:rsidR="003E0F58" w:rsidRPr="007C705C" w14:paraId="0527B737" w14:textId="77777777" w:rsidTr="00FB3D34">
        <w:trPr>
          <w:trHeight w:val="103"/>
        </w:trPr>
        <w:tc>
          <w:tcPr>
            <w:tcW w:w="1167" w:type="dxa"/>
            <w:vMerge/>
          </w:tcPr>
          <w:p w14:paraId="5A31CC13" w14:textId="77777777" w:rsidR="003E0F58" w:rsidRPr="007C705C" w:rsidRDefault="003E0F58" w:rsidP="004D2249">
            <w:pPr>
              <w:autoSpaceDE w:val="0"/>
              <w:autoSpaceDN w:val="0"/>
              <w:adjustRightInd w:val="0"/>
              <w:jc w:val="left"/>
              <w:rPr>
                <w:rFonts w:cs="Times New Roman"/>
                <w:color w:val="000000"/>
                <w:sz w:val="18"/>
                <w:szCs w:val="18"/>
                <w:lang w:val="cs-CZ"/>
              </w:rPr>
            </w:pPr>
          </w:p>
        </w:tc>
        <w:tc>
          <w:tcPr>
            <w:tcW w:w="1052" w:type="dxa"/>
            <w:gridSpan w:val="2"/>
          </w:tcPr>
          <w:p w14:paraId="436ECBAB"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Wetlands </w:t>
            </w:r>
          </w:p>
        </w:tc>
        <w:tc>
          <w:tcPr>
            <w:tcW w:w="1059" w:type="dxa"/>
            <w:gridSpan w:val="2"/>
          </w:tcPr>
          <w:p w14:paraId="0C884600"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0.0 </w:t>
            </w:r>
          </w:p>
        </w:tc>
        <w:tc>
          <w:tcPr>
            <w:tcW w:w="1211" w:type="dxa"/>
            <w:gridSpan w:val="2"/>
          </w:tcPr>
          <w:p w14:paraId="62F23089"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0.4 </w:t>
            </w:r>
          </w:p>
        </w:tc>
        <w:tc>
          <w:tcPr>
            <w:tcW w:w="1211" w:type="dxa"/>
            <w:gridSpan w:val="2"/>
          </w:tcPr>
          <w:p w14:paraId="003CDD00"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0.4 </w:t>
            </w:r>
          </w:p>
        </w:tc>
        <w:tc>
          <w:tcPr>
            <w:tcW w:w="1367" w:type="dxa"/>
            <w:gridSpan w:val="3"/>
          </w:tcPr>
          <w:p w14:paraId="39F70BB0"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155.9 </w:t>
            </w:r>
          </w:p>
        </w:tc>
        <w:tc>
          <w:tcPr>
            <w:tcW w:w="1363" w:type="dxa"/>
          </w:tcPr>
          <w:p w14:paraId="55882BBD"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0.8 </w:t>
            </w:r>
          </w:p>
        </w:tc>
        <w:tc>
          <w:tcPr>
            <w:tcW w:w="765" w:type="dxa"/>
            <w:gridSpan w:val="2"/>
          </w:tcPr>
          <w:p w14:paraId="6402E0DA"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0.0 </w:t>
            </w:r>
          </w:p>
        </w:tc>
        <w:tc>
          <w:tcPr>
            <w:tcW w:w="1067" w:type="dxa"/>
          </w:tcPr>
          <w:p w14:paraId="5D78FA50" w14:textId="77777777" w:rsidR="003E0F58" w:rsidRPr="007C705C" w:rsidRDefault="003E0F58" w:rsidP="004D2249">
            <w:pPr>
              <w:autoSpaceDE w:val="0"/>
              <w:autoSpaceDN w:val="0"/>
              <w:adjustRightInd w:val="0"/>
              <w:ind w:right="-392"/>
              <w:jc w:val="left"/>
              <w:rPr>
                <w:rFonts w:cs="Times New Roman"/>
                <w:color w:val="000000"/>
                <w:sz w:val="18"/>
                <w:szCs w:val="18"/>
                <w:lang w:val="cs-CZ"/>
              </w:rPr>
            </w:pPr>
            <w:r w:rsidRPr="007C705C">
              <w:rPr>
                <w:rFonts w:cs="Times New Roman"/>
                <w:b/>
                <w:bCs/>
                <w:color w:val="000000"/>
                <w:sz w:val="18"/>
                <w:szCs w:val="18"/>
                <w:lang w:val="cs-CZ"/>
              </w:rPr>
              <w:t xml:space="preserve">157.5 </w:t>
            </w:r>
          </w:p>
        </w:tc>
      </w:tr>
      <w:tr w:rsidR="003E0F58" w:rsidRPr="007C705C" w14:paraId="6F5AED1D" w14:textId="77777777" w:rsidTr="00FB3D34">
        <w:trPr>
          <w:trHeight w:val="103"/>
        </w:trPr>
        <w:tc>
          <w:tcPr>
            <w:tcW w:w="1167" w:type="dxa"/>
            <w:vMerge/>
          </w:tcPr>
          <w:p w14:paraId="5FAC7EE3" w14:textId="77777777" w:rsidR="003E0F58" w:rsidRPr="007C705C" w:rsidRDefault="003E0F58" w:rsidP="004D2249">
            <w:pPr>
              <w:autoSpaceDE w:val="0"/>
              <w:autoSpaceDN w:val="0"/>
              <w:adjustRightInd w:val="0"/>
              <w:jc w:val="left"/>
              <w:rPr>
                <w:rFonts w:cs="Times New Roman"/>
                <w:color w:val="000000"/>
                <w:sz w:val="18"/>
                <w:szCs w:val="18"/>
                <w:lang w:val="cs-CZ"/>
              </w:rPr>
            </w:pPr>
          </w:p>
        </w:tc>
        <w:tc>
          <w:tcPr>
            <w:tcW w:w="1052" w:type="dxa"/>
            <w:gridSpan w:val="2"/>
          </w:tcPr>
          <w:p w14:paraId="778CB65C"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Settlements </w:t>
            </w:r>
          </w:p>
        </w:tc>
        <w:tc>
          <w:tcPr>
            <w:tcW w:w="1059" w:type="dxa"/>
            <w:gridSpan w:val="2"/>
          </w:tcPr>
          <w:p w14:paraId="6C3CD6D6"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0.3 </w:t>
            </w:r>
          </w:p>
        </w:tc>
        <w:tc>
          <w:tcPr>
            <w:tcW w:w="1211" w:type="dxa"/>
            <w:gridSpan w:val="2"/>
          </w:tcPr>
          <w:p w14:paraId="750AD3D6"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3.7 </w:t>
            </w:r>
          </w:p>
        </w:tc>
        <w:tc>
          <w:tcPr>
            <w:tcW w:w="1211" w:type="dxa"/>
            <w:gridSpan w:val="2"/>
          </w:tcPr>
          <w:p w14:paraId="3B6DC1F0"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3.7 </w:t>
            </w:r>
          </w:p>
        </w:tc>
        <w:tc>
          <w:tcPr>
            <w:tcW w:w="1367" w:type="dxa"/>
            <w:gridSpan w:val="3"/>
          </w:tcPr>
          <w:p w14:paraId="7CB5DE23"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0.1 </w:t>
            </w:r>
          </w:p>
        </w:tc>
        <w:tc>
          <w:tcPr>
            <w:tcW w:w="1363" w:type="dxa"/>
          </w:tcPr>
          <w:p w14:paraId="6817EFA1"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804.1 </w:t>
            </w:r>
          </w:p>
        </w:tc>
        <w:tc>
          <w:tcPr>
            <w:tcW w:w="765" w:type="dxa"/>
            <w:gridSpan w:val="2"/>
          </w:tcPr>
          <w:p w14:paraId="7950EAB2"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0.0 </w:t>
            </w:r>
          </w:p>
        </w:tc>
        <w:tc>
          <w:tcPr>
            <w:tcW w:w="1067" w:type="dxa"/>
          </w:tcPr>
          <w:p w14:paraId="3048AE7E" w14:textId="77777777" w:rsidR="003E0F58" w:rsidRPr="007C705C" w:rsidRDefault="003E0F58" w:rsidP="004D2249">
            <w:pPr>
              <w:autoSpaceDE w:val="0"/>
              <w:autoSpaceDN w:val="0"/>
              <w:adjustRightInd w:val="0"/>
              <w:ind w:right="-392"/>
              <w:jc w:val="left"/>
              <w:rPr>
                <w:rFonts w:cs="Times New Roman"/>
                <w:color w:val="000000"/>
                <w:sz w:val="18"/>
                <w:szCs w:val="18"/>
                <w:lang w:val="cs-CZ"/>
              </w:rPr>
            </w:pPr>
            <w:r w:rsidRPr="007C705C">
              <w:rPr>
                <w:rFonts w:cs="Times New Roman"/>
                <w:b/>
                <w:bCs/>
                <w:color w:val="000000"/>
                <w:sz w:val="18"/>
                <w:szCs w:val="18"/>
                <w:lang w:val="cs-CZ"/>
              </w:rPr>
              <w:t xml:space="preserve">811.9 </w:t>
            </w:r>
          </w:p>
        </w:tc>
      </w:tr>
      <w:tr w:rsidR="003E0F58" w:rsidRPr="007C705C" w14:paraId="0D343A68" w14:textId="77777777" w:rsidTr="00FB3D34">
        <w:trPr>
          <w:trHeight w:val="103"/>
        </w:trPr>
        <w:tc>
          <w:tcPr>
            <w:tcW w:w="1167" w:type="dxa"/>
            <w:vMerge/>
          </w:tcPr>
          <w:p w14:paraId="0E476D78" w14:textId="77777777" w:rsidR="003E0F58" w:rsidRPr="007C705C" w:rsidRDefault="003E0F58" w:rsidP="004D2249">
            <w:pPr>
              <w:autoSpaceDE w:val="0"/>
              <w:autoSpaceDN w:val="0"/>
              <w:adjustRightInd w:val="0"/>
              <w:jc w:val="left"/>
              <w:rPr>
                <w:rFonts w:cs="Times New Roman"/>
                <w:color w:val="000000"/>
                <w:sz w:val="18"/>
                <w:szCs w:val="18"/>
                <w:lang w:val="cs-CZ"/>
              </w:rPr>
            </w:pPr>
          </w:p>
        </w:tc>
        <w:tc>
          <w:tcPr>
            <w:tcW w:w="1052" w:type="dxa"/>
            <w:gridSpan w:val="2"/>
          </w:tcPr>
          <w:p w14:paraId="653F58DA"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Other Land </w:t>
            </w:r>
          </w:p>
        </w:tc>
        <w:tc>
          <w:tcPr>
            <w:tcW w:w="1066" w:type="dxa"/>
            <w:gridSpan w:val="3"/>
          </w:tcPr>
          <w:p w14:paraId="4A408F3E"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0.0 </w:t>
            </w:r>
          </w:p>
        </w:tc>
        <w:tc>
          <w:tcPr>
            <w:tcW w:w="1211" w:type="dxa"/>
            <w:gridSpan w:val="2"/>
          </w:tcPr>
          <w:p w14:paraId="29C41484"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0.0 </w:t>
            </w:r>
          </w:p>
        </w:tc>
        <w:tc>
          <w:tcPr>
            <w:tcW w:w="1211" w:type="dxa"/>
            <w:gridSpan w:val="2"/>
          </w:tcPr>
          <w:p w14:paraId="6253E15F"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0.0 </w:t>
            </w:r>
          </w:p>
        </w:tc>
        <w:tc>
          <w:tcPr>
            <w:tcW w:w="1360" w:type="dxa"/>
            <w:gridSpan w:val="2"/>
          </w:tcPr>
          <w:p w14:paraId="46F9D60C"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 </w:t>
            </w:r>
          </w:p>
        </w:tc>
        <w:tc>
          <w:tcPr>
            <w:tcW w:w="1371" w:type="dxa"/>
            <w:gridSpan w:val="2"/>
          </w:tcPr>
          <w:p w14:paraId="799570B5"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 </w:t>
            </w:r>
          </w:p>
        </w:tc>
        <w:tc>
          <w:tcPr>
            <w:tcW w:w="757" w:type="dxa"/>
          </w:tcPr>
          <w:p w14:paraId="7511D499"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0.0 </w:t>
            </w:r>
          </w:p>
        </w:tc>
        <w:tc>
          <w:tcPr>
            <w:tcW w:w="1067" w:type="dxa"/>
          </w:tcPr>
          <w:p w14:paraId="4815F3BB" w14:textId="77777777" w:rsidR="003E0F58" w:rsidRPr="007C705C" w:rsidRDefault="003E0F58" w:rsidP="004D2249">
            <w:pPr>
              <w:autoSpaceDE w:val="0"/>
              <w:autoSpaceDN w:val="0"/>
              <w:adjustRightInd w:val="0"/>
              <w:ind w:right="-392"/>
              <w:jc w:val="left"/>
              <w:rPr>
                <w:rFonts w:cs="Times New Roman"/>
                <w:color w:val="000000"/>
                <w:sz w:val="18"/>
                <w:szCs w:val="18"/>
                <w:lang w:val="cs-CZ"/>
              </w:rPr>
            </w:pPr>
            <w:r w:rsidRPr="007C705C">
              <w:rPr>
                <w:rFonts w:cs="Times New Roman"/>
                <w:b/>
                <w:bCs/>
                <w:color w:val="000000"/>
                <w:sz w:val="18"/>
                <w:szCs w:val="18"/>
                <w:lang w:val="cs-CZ"/>
              </w:rPr>
              <w:t xml:space="preserve">0.0 </w:t>
            </w:r>
          </w:p>
        </w:tc>
      </w:tr>
      <w:tr w:rsidR="003E0F58" w:rsidRPr="007C705C" w14:paraId="44F955EF" w14:textId="77777777" w:rsidTr="00FB3D34">
        <w:trPr>
          <w:trHeight w:val="103"/>
        </w:trPr>
        <w:tc>
          <w:tcPr>
            <w:tcW w:w="1167" w:type="dxa"/>
          </w:tcPr>
          <w:p w14:paraId="27B169B8" w14:textId="77777777" w:rsidR="003E0F58" w:rsidRPr="007C705C" w:rsidRDefault="003E0F58" w:rsidP="004D2249">
            <w:pPr>
              <w:autoSpaceDE w:val="0"/>
              <w:autoSpaceDN w:val="0"/>
              <w:adjustRightInd w:val="0"/>
              <w:jc w:val="left"/>
              <w:rPr>
                <w:rFonts w:cs="Times New Roman"/>
                <w:color w:val="000000"/>
                <w:sz w:val="18"/>
                <w:szCs w:val="18"/>
                <w:lang w:val="cs-CZ"/>
              </w:rPr>
            </w:pPr>
          </w:p>
        </w:tc>
        <w:tc>
          <w:tcPr>
            <w:tcW w:w="1059" w:type="dxa"/>
            <w:gridSpan w:val="3"/>
          </w:tcPr>
          <w:p w14:paraId="5C318BB0"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i/>
                <w:iCs/>
                <w:color w:val="000000"/>
                <w:sz w:val="18"/>
                <w:szCs w:val="18"/>
                <w:lang w:val="cs-CZ"/>
              </w:rPr>
              <w:t>Area (kha)</w:t>
            </w:r>
          </w:p>
        </w:tc>
        <w:tc>
          <w:tcPr>
            <w:tcW w:w="1059" w:type="dxa"/>
            <w:gridSpan w:val="2"/>
          </w:tcPr>
          <w:p w14:paraId="73C8C297"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2629.0 </w:t>
            </w:r>
          </w:p>
        </w:tc>
        <w:tc>
          <w:tcPr>
            <w:tcW w:w="1211" w:type="dxa"/>
            <w:gridSpan w:val="2"/>
          </w:tcPr>
          <w:p w14:paraId="77DE0B05"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3467.9 </w:t>
            </w:r>
          </w:p>
        </w:tc>
        <w:tc>
          <w:tcPr>
            <w:tcW w:w="1211" w:type="dxa"/>
            <w:gridSpan w:val="2"/>
          </w:tcPr>
          <w:p w14:paraId="1C59BBE0"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828.5 </w:t>
            </w:r>
          </w:p>
        </w:tc>
        <w:tc>
          <w:tcPr>
            <w:tcW w:w="1360" w:type="dxa"/>
            <w:gridSpan w:val="2"/>
          </w:tcPr>
          <w:p w14:paraId="398939FF"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156.1 </w:t>
            </w:r>
          </w:p>
        </w:tc>
        <w:tc>
          <w:tcPr>
            <w:tcW w:w="1363" w:type="dxa"/>
          </w:tcPr>
          <w:p w14:paraId="6082B943"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805.0 </w:t>
            </w:r>
          </w:p>
        </w:tc>
        <w:tc>
          <w:tcPr>
            <w:tcW w:w="765" w:type="dxa"/>
            <w:gridSpan w:val="2"/>
          </w:tcPr>
          <w:p w14:paraId="120A2013"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0.0 </w:t>
            </w:r>
          </w:p>
        </w:tc>
        <w:tc>
          <w:tcPr>
            <w:tcW w:w="1067" w:type="dxa"/>
          </w:tcPr>
          <w:p w14:paraId="297D3F7D"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color w:val="000000"/>
                <w:sz w:val="18"/>
                <w:szCs w:val="18"/>
                <w:lang w:val="cs-CZ"/>
              </w:rPr>
              <w:t xml:space="preserve">7886.4 </w:t>
            </w:r>
          </w:p>
        </w:tc>
      </w:tr>
      <w:tr w:rsidR="003E0F58" w:rsidRPr="007C705C" w14:paraId="1B9FEBF3" w14:textId="77777777" w:rsidTr="00FB3D34">
        <w:trPr>
          <w:trHeight w:val="230"/>
        </w:trPr>
        <w:tc>
          <w:tcPr>
            <w:tcW w:w="3287" w:type="dxa"/>
            <w:gridSpan w:val="6"/>
            <w:vAlign w:val="center"/>
          </w:tcPr>
          <w:p w14:paraId="2C627C28" w14:textId="77777777" w:rsidR="003E0F58" w:rsidRPr="007C705C" w:rsidRDefault="003E0F58" w:rsidP="004D2249">
            <w:pPr>
              <w:autoSpaceDE w:val="0"/>
              <w:autoSpaceDN w:val="0"/>
              <w:adjustRightInd w:val="0"/>
              <w:jc w:val="center"/>
              <w:rPr>
                <w:rFonts w:cs="Times New Roman"/>
                <w:color w:val="000000"/>
                <w:sz w:val="22"/>
                <w:lang w:val="cs-CZ"/>
              </w:rPr>
            </w:pPr>
            <w:r w:rsidRPr="007C705C">
              <w:rPr>
                <w:rFonts w:cs="Times New Roman"/>
                <w:b/>
                <w:bCs/>
                <w:color w:val="000000"/>
                <w:sz w:val="22"/>
                <w:lang w:val="cs-CZ"/>
              </w:rPr>
              <w:t>2018</w:t>
            </w:r>
          </w:p>
        </w:tc>
        <w:tc>
          <w:tcPr>
            <w:tcW w:w="5912" w:type="dxa"/>
            <w:gridSpan w:val="9"/>
            <w:vAlign w:val="center"/>
          </w:tcPr>
          <w:p w14:paraId="5941C533"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color w:val="000000"/>
                <w:sz w:val="18"/>
                <w:szCs w:val="18"/>
                <w:lang w:val="cs-CZ"/>
              </w:rPr>
              <w:t>Initial (2017)</w:t>
            </w:r>
          </w:p>
        </w:tc>
        <w:tc>
          <w:tcPr>
            <w:tcW w:w="1067" w:type="dxa"/>
            <w:vAlign w:val="center"/>
          </w:tcPr>
          <w:p w14:paraId="4B3717FC"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b/>
                <w:bCs/>
                <w:i/>
                <w:iCs/>
                <w:color w:val="000000"/>
                <w:sz w:val="18"/>
                <w:szCs w:val="18"/>
                <w:lang w:val="cs-CZ"/>
              </w:rPr>
              <w:t>Area (kha)</w:t>
            </w:r>
          </w:p>
        </w:tc>
      </w:tr>
      <w:tr w:rsidR="003E0F58" w:rsidRPr="007C705C" w14:paraId="50152784" w14:textId="77777777" w:rsidTr="00FB3D34">
        <w:trPr>
          <w:trHeight w:val="103"/>
        </w:trPr>
        <w:tc>
          <w:tcPr>
            <w:tcW w:w="1167" w:type="dxa"/>
          </w:tcPr>
          <w:p w14:paraId="612B951A" w14:textId="77777777" w:rsidR="003E0F58" w:rsidRPr="007C705C" w:rsidRDefault="003E0F58" w:rsidP="004D2249">
            <w:pPr>
              <w:autoSpaceDE w:val="0"/>
              <w:autoSpaceDN w:val="0"/>
              <w:adjustRightInd w:val="0"/>
              <w:jc w:val="left"/>
              <w:rPr>
                <w:rFonts w:cs="Times New Roman"/>
                <w:color w:val="000000"/>
                <w:sz w:val="18"/>
                <w:szCs w:val="18"/>
                <w:lang w:val="cs-CZ"/>
              </w:rPr>
            </w:pPr>
          </w:p>
        </w:tc>
        <w:tc>
          <w:tcPr>
            <w:tcW w:w="1059" w:type="dxa"/>
            <w:gridSpan w:val="3"/>
            <w:vAlign w:val="center"/>
          </w:tcPr>
          <w:p w14:paraId="6003FFC1"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Category</w:t>
            </w:r>
          </w:p>
        </w:tc>
        <w:tc>
          <w:tcPr>
            <w:tcW w:w="1059" w:type="dxa"/>
            <w:gridSpan w:val="2"/>
            <w:vAlign w:val="center"/>
          </w:tcPr>
          <w:p w14:paraId="14776BE1"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Forest land</w:t>
            </w:r>
          </w:p>
        </w:tc>
        <w:tc>
          <w:tcPr>
            <w:tcW w:w="1204" w:type="dxa"/>
            <w:vAlign w:val="center"/>
          </w:tcPr>
          <w:p w14:paraId="44724545"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Cropland</w:t>
            </w:r>
          </w:p>
        </w:tc>
        <w:tc>
          <w:tcPr>
            <w:tcW w:w="1211" w:type="dxa"/>
            <w:gridSpan w:val="2"/>
            <w:vAlign w:val="center"/>
          </w:tcPr>
          <w:p w14:paraId="6ED83A2F"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Grassland</w:t>
            </w:r>
          </w:p>
        </w:tc>
        <w:tc>
          <w:tcPr>
            <w:tcW w:w="1355" w:type="dxa"/>
            <w:gridSpan w:val="2"/>
            <w:vAlign w:val="center"/>
          </w:tcPr>
          <w:p w14:paraId="783D2045"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Wetlands</w:t>
            </w:r>
          </w:p>
        </w:tc>
        <w:tc>
          <w:tcPr>
            <w:tcW w:w="1374" w:type="dxa"/>
            <w:gridSpan w:val="2"/>
            <w:vAlign w:val="center"/>
          </w:tcPr>
          <w:p w14:paraId="5C0BF95E"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Settlements</w:t>
            </w:r>
          </w:p>
        </w:tc>
        <w:tc>
          <w:tcPr>
            <w:tcW w:w="765" w:type="dxa"/>
            <w:gridSpan w:val="2"/>
            <w:vAlign w:val="center"/>
          </w:tcPr>
          <w:p w14:paraId="526A6031" w14:textId="77777777" w:rsidR="003E0F58" w:rsidRPr="007C705C" w:rsidRDefault="003E0F58" w:rsidP="004D2249">
            <w:pPr>
              <w:autoSpaceDE w:val="0"/>
              <w:autoSpaceDN w:val="0"/>
              <w:adjustRightInd w:val="0"/>
              <w:jc w:val="center"/>
              <w:rPr>
                <w:rFonts w:cs="Times New Roman"/>
                <w:color w:val="000000"/>
                <w:sz w:val="18"/>
                <w:szCs w:val="18"/>
                <w:lang w:val="cs-CZ"/>
              </w:rPr>
            </w:pPr>
            <w:r w:rsidRPr="007C705C">
              <w:rPr>
                <w:rFonts w:cs="Times New Roman"/>
                <w:color w:val="000000"/>
                <w:sz w:val="18"/>
                <w:szCs w:val="18"/>
                <w:lang w:val="cs-CZ"/>
              </w:rPr>
              <w:t>Other land</w:t>
            </w:r>
          </w:p>
        </w:tc>
        <w:tc>
          <w:tcPr>
            <w:tcW w:w="1067" w:type="dxa"/>
          </w:tcPr>
          <w:p w14:paraId="55F917DC" w14:textId="77777777" w:rsidR="003E0F58" w:rsidRPr="007C705C" w:rsidRDefault="003E0F58" w:rsidP="004D2249">
            <w:pPr>
              <w:autoSpaceDE w:val="0"/>
              <w:autoSpaceDN w:val="0"/>
              <w:adjustRightInd w:val="0"/>
              <w:jc w:val="left"/>
              <w:rPr>
                <w:rFonts w:cs="Times New Roman"/>
                <w:color w:val="000000"/>
                <w:sz w:val="18"/>
                <w:szCs w:val="18"/>
                <w:lang w:val="cs-CZ"/>
              </w:rPr>
            </w:pPr>
          </w:p>
        </w:tc>
      </w:tr>
      <w:tr w:rsidR="003E0F58" w:rsidRPr="007C705C" w14:paraId="0F8D6964" w14:textId="77777777" w:rsidTr="00FB3D34">
        <w:trPr>
          <w:cantSplit/>
          <w:trHeight w:val="447"/>
        </w:trPr>
        <w:tc>
          <w:tcPr>
            <w:tcW w:w="1167" w:type="dxa"/>
            <w:vMerge w:val="restart"/>
            <w:textDirection w:val="btLr"/>
            <w:vAlign w:val="center"/>
          </w:tcPr>
          <w:p w14:paraId="5699CF90" w14:textId="77777777" w:rsidR="003E0F58" w:rsidRPr="007C705C" w:rsidRDefault="003E0F58" w:rsidP="004D2249">
            <w:pPr>
              <w:autoSpaceDE w:val="0"/>
              <w:autoSpaceDN w:val="0"/>
              <w:adjustRightInd w:val="0"/>
              <w:ind w:left="113" w:right="113"/>
              <w:jc w:val="center"/>
              <w:rPr>
                <w:rFonts w:cs="Times New Roman"/>
                <w:color w:val="000000"/>
                <w:sz w:val="18"/>
                <w:szCs w:val="18"/>
                <w:lang w:val="cs-CZ"/>
              </w:rPr>
            </w:pPr>
            <w:r w:rsidRPr="007C705C">
              <w:rPr>
                <w:rFonts w:cs="Times New Roman"/>
                <w:b/>
                <w:bCs/>
                <w:color w:val="000000"/>
                <w:sz w:val="18"/>
                <w:szCs w:val="18"/>
                <w:lang w:val="cs-CZ"/>
              </w:rPr>
              <w:t>Final (2018)</w:t>
            </w:r>
          </w:p>
        </w:tc>
        <w:tc>
          <w:tcPr>
            <w:tcW w:w="1018" w:type="dxa"/>
          </w:tcPr>
          <w:p w14:paraId="65BCB4A2"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Forest Land </w:t>
            </w:r>
          </w:p>
        </w:tc>
        <w:tc>
          <w:tcPr>
            <w:tcW w:w="1101" w:type="dxa"/>
            <w:gridSpan w:val="4"/>
          </w:tcPr>
          <w:p w14:paraId="136A8538"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sz w:val="18"/>
                <w:szCs w:val="18"/>
                <w:lang w:val="cs-CZ"/>
              </w:rPr>
              <w:t xml:space="preserve">2671.3 </w:t>
            </w:r>
          </w:p>
        </w:tc>
        <w:tc>
          <w:tcPr>
            <w:tcW w:w="1204" w:type="dxa"/>
          </w:tcPr>
          <w:p w14:paraId="78856B10"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sz w:val="18"/>
                <w:szCs w:val="18"/>
                <w:lang w:val="cs-CZ"/>
              </w:rPr>
              <w:t xml:space="preserve">0.5 </w:t>
            </w:r>
          </w:p>
        </w:tc>
        <w:tc>
          <w:tcPr>
            <w:tcW w:w="1211" w:type="dxa"/>
            <w:gridSpan w:val="2"/>
          </w:tcPr>
          <w:p w14:paraId="31694E15"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sz w:val="18"/>
                <w:szCs w:val="18"/>
                <w:lang w:val="cs-CZ"/>
              </w:rPr>
              <w:t xml:space="preserve">0.4 </w:t>
            </w:r>
          </w:p>
        </w:tc>
        <w:tc>
          <w:tcPr>
            <w:tcW w:w="1367" w:type="dxa"/>
            <w:gridSpan w:val="3"/>
          </w:tcPr>
          <w:p w14:paraId="2FE54C7A"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sz w:val="18"/>
                <w:szCs w:val="18"/>
                <w:lang w:val="cs-CZ"/>
              </w:rPr>
              <w:t xml:space="preserve">0.0 </w:t>
            </w:r>
          </w:p>
        </w:tc>
        <w:tc>
          <w:tcPr>
            <w:tcW w:w="1363" w:type="dxa"/>
          </w:tcPr>
          <w:p w14:paraId="0AB3BDCA"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sz w:val="18"/>
                <w:szCs w:val="18"/>
                <w:lang w:val="cs-CZ"/>
              </w:rPr>
              <w:t xml:space="preserve">1.2 </w:t>
            </w:r>
          </w:p>
        </w:tc>
        <w:tc>
          <w:tcPr>
            <w:tcW w:w="765" w:type="dxa"/>
            <w:gridSpan w:val="2"/>
          </w:tcPr>
          <w:p w14:paraId="2C849D37"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sz w:val="18"/>
                <w:szCs w:val="18"/>
                <w:lang w:val="cs-CZ"/>
              </w:rPr>
              <w:t xml:space="preserve">0.0 </w:t>
            </w:r>
          </w:p>
        </w:tc>
        <w:tc>
          <w:tcPr>
            <w:tcW w:w="1067" w:type="dxa"/>
          </w:tcPr>
          <w:p w14:paraId="76900E9C" w14:textId="77777777" w:rsidR="003E0F58" w:rsidRPr="007C705C" w:rsidRDefault="003E0F58" w:rsidP="004D2249">
            <w:pPr>
              <w:autoSpaceDE w:val="0"/>
              <w:autoSpaceDN w:val="0"/>
              <w:adjustRightInd w:val="0"/>
              <w:ind w:right="-392"/>
              <w:jc w:val="left"/>
              <w:rPr>
                <w:rFonts w:cs="Times New Roman"/>
                <w:color w:val="000000"/>
                <w:sz w:val="18"/>
                <w:szCs w:val="18"/>
                <w:lang w:val="cs-CZ"/>
              </w:rPr>
            </w:pPr>
            <w:r w:rsidRPr="007C705C">
              <w:rPr>
                <w:rFonts w:cs="Times New Roman"/>
                <w:b/>
                <w:bCs/>
                <w:sz w:val="18"/>
                <w:szCs w:val="18"/>
                <w:lang w:val="cs-CZ"/>
              </w:rPr>
              <w:t xml:space="preserve">2673.4 </w:t>
            </w:r>
          </w:p>
        </w:tc>
      </w:tr>
      <w:tr w:rsidR="003E0F58" w:rsidRPr="007C705C" w14:paraId="54D9847C" w14:textId="77777777" w:rsidTr="00FB3D34">
        <w:trPr>
          <w:trHeight w:val="103"/>
        </w:trPr>
        <w:tc>
          <w:tcPr>
            <w:tcW w:w="1167" w:type="dxa"/>
            <w:vMerge/>
          </w:tcPr>
          <w:p w14:paraId="3F10D867" w14:textId="77777777" w:rsidR="003E0F58" w:rsidRPr="007C705C" w:rsidRDefault="003E0F58" w:rsidP="004D2249">
            <w:pPr>
              <w:autoSpaceDE w:val="0"/>
              <w:autoSpaceDN w:val="0"/>
              <w:adjustRightInd w:val="0"/>
              <w:jc w:val="left"/>
              <w:rPr>
                <w:rFonts w:cs="Times New Roman"/>
                <w:color w:val="000000"/>
                <w:sz w:val="18"/>
                <w:szCs w:val="18"/>
                <w:lang w:val="cs-CZ"/>
              </w:rPr>
            </w:pPr>
          </w:p>
        </w:tc>
        <w:tc>
          <w:tcPr>
            <w:tcW w:w="1052" w:type="dxa"/>
            <w:gridSpan w:val="2"/>
          </w:tcPr>
          <w:p w14:paraId="044AAE4E"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Cropland </w:t>
            </w:r>
          </w:p>
        </w:tc>
        <w:tc>
          <w:tcPr>
            <w:tcW w:w="1059" w:type="dxa"/>
            <w:gridSpan w:val="2"/>
          </w:tcPr>
          <w:p w14:paraId="400D935E"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sz w:val="18"/>
                <w:szCs w:val="18"/>
                <w:lang w:val="cs-CZ"/>
              </w:rPr>
              <w:t xml:space="preserve">0.0 </w:t>
            </w:r>
          </w:p>
        </w:tc>
        <w:tc>
          <w:tcPr>
            <w:tcW w:w="1211" w:type="dxa"/>
            <w:gridSpan w:val="2"/>
          </w:tcPr>
          <w:p w14:paraId="63DB5D5B"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sz w:val="18"/>
                <w:szCs w:val="18"/>
                <w:lang w:val="cs-CZ"/>
              </w:rPr>
              <w:t xml:space="preserve">3191.3 </w:t>
            </w:r>
          </w:p>
        </w:tc>
        <w:tc>
          <w:tcPr>
            <w:tcW w:w="1211" w:type="dxa"/>
            <w:gridSpan w:val="2"/>
          </w:tcPr>
          <w:p w14:paraId="71994E96"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sz w:val="18"/>
                <w:szCs w:val="18"/>
                <w:lang w:val="cs-CZ"/>
              </w:rPr>
              <w:t xml:space="preserve">0.7 </w:t>
            </w:r>
          </w:p>
        </w:tc>
        <w:tc>
          <w:tcPr>
            <w:tcW w:w="1367" w:type="dxa"/>
            <w:gridSpan w:val="3"/>
          </w:tcPr>
          <w:p w14:paraId="2168CB3A"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sz w:val="18"/>
                <w:szCs w:val="18"/>
                <w:lang w:val="cs-CZ"/>
              </w:rPr>
              <w:t xml:space="preserve">0.0 </w:t>
            </w:r>
          </w:p>
        </w:tc>
        <w:tc>
          <w:tcPr>
            <w:tcW w:w="1363" w:type="dxa"/>
          </w:tcPr>
          <w:p w14:paraId="4C4937ED"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sz w:val="18"/>
                <w:szCs w:val="18"/>
                <w:lang w:val="cs-CZ"/>
              </w:rPr>
              <w:t xml:space="preserve">0.6 </w:t>
            </w:r>
          </w:p>
        </w:tc>
        <w:tc>
          <w:tcPr>
            <w:tcW w:w="765" w:type="dxa"/>
            <w:gridSpan w:val="2"/>
          </w:tcPr>
          <w:p w14:paraId="2FF3605B"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sz w:val="18"/>
                <w:szCs w:val="18"/>
                <w:lang w:val="cs-CZ"/>
              </w:rPr>
              <w:t xml:space="preserve">0.0 </w:t>
            </w:r>
          </w:p>
        </w:tc>
        <w:tc>
          <w:tcPr>
            <w:tcW w:w="1067" w:type="dxa"/>
          </w:tcPr>
          <w:p w14:paraId="26C4540F" w14:textId="77777777" w:rsidR="003E0F58" w:rsidRPr="007C705C" w:rsidRDefault="003E0F58" w:rsidP="004D2249">
            <w:pPr>
              <w:autoSpaceDE w:val="0"/>
              <w:autoSpaceDN w:val="0"/>
              <w:adjustRightInd w:val="0"/>
              <w:ind w:right="-392"/>
              <w:jc w:val="left"/>
              <w:rPr>
                <w:rFonts w:cs="Times New Roman"/>
                <w:color w:val="000000"/>
                <w:sz w:val="18"/>
                <w:szCs w:val="18"/>
                <w:lang w:val="cs-CZ"/>
              </w:rPr>
            </w:pPr>
            <w:r w:rsidRPr="007C705C">
              <w:rPr>
                <w:rFonts w:cs="Times New Roman"/>
                <w:b/>
                <w:bCs/>
                <w:sz w:val="18"/>
                <w:szCs w:val="18"/>
                <w:lang w:val="cs-CZ"/>
              </w:rPr>
              <w:t xml:space="preserve">3192.6 </w:t>
            </w:r>
          </w:p>
        </w:tc>
      </w:tr>
      <w:tr w:rsidR="003E0F58" w:rsidRPr="007C705C" w14:paraId="54BDF727" w14:textId="77777777" w:rsidTr="00FB3D34">
        <w:trPr>
          <w:trHeight w:val="103"/>
        </w:trPr>
        <w:tc>
          <w:tcPr>
            <w:tcW w:w="1167" w:type="dxa"/>
            <w:vMerge/>
          </w:tcPr>
          <w:p w14:paraId="37BC7C5D" w14:textId="77777777" w:rsidR="003E0F58" w:rsidRPr="007C705C" w:rsidRDefault="003E0F58" w:rsidP="004D2249">
            <w:pPr>
              <w:autoSpaceDE w:val="0"/>
              <w:autoSpaceDN w:val="0"/>
              <w:adjustRightInd w:val="0"/>
              <w:jc w:val="left"/>
              <w:rPr>
                <w:rFonts w:cs="Times New Roman"/>
                <w:color w:val="000000"/>
                <w:sz w:val="18"/>
                <w:szCs w:val="18"/>
                <w:lang w:val="cs-CZ"/>
              </w:rPr>
            </w:pPr>
          </w:p>
        </w:tc>
        <w:tc>
          <w:tcPr>
            <w:tcW w:w="1052" w:type="dxa"/>
            <w:gridSpan w:val="2"/>
          </w:tcPr>
          <w:p w14:paraId="54FBC42A"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Grassland </w:t>
            </w:r>
          </w:p>
        </w:tc>
        <w:tc>
          <w:tcPr>
            <w:tcW w:w="1059" w:type="dxa"/>
            <w:gridSpan w:val="2"/>
          </w:tcPr>
          <w:p w14:paraId="59A16AEE"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sz w:val="18"/>
                <w:szCs w:val="18"/>
                <w:lang w:val="cs-CZ"/>
              </w:rPr>
              <w:t xml:space="preserve">0.1 </w:t>
            </w:r>
          </w:p>
        </w:tc>
        <w:tc>
          <w:tcPr>
            <w:tcW w:w="1211" w:type="dxa"/>
            <w:gridSpan w:val="2"/>
          </w:tcPr>
          <w:p w14:paraId="209006FA"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sz w:val="18"/>
                <w:szCs w:val="18"/>
                <w:lang w:val="cs-CZ"/>
              </w:rPr>
              <w:t xml:space="preserve">4.3 </w:t>
            </w:r>
          </w:p>
        </w:tc>
        <w:tc>
          <w:tcPr>
            <w:tcW w:w="1211" w:type="dxa"/>
            <w:gridSpan w:val="2"/>
          </w:tcPr>
          <w:p w14:paraId="5068687B"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sz w:val="18"/>
                <w:szCs w:val="18"/>
                <w:lang w:val="cs-CZ"/>
              </w:rPr>
              <w:t xml:space="preserve">1004.9 </w:t>
            </w:r>
          </w:p>
        </w:tc>
        <w:tc>
          <w:tcPr>
            <w:tcW w:w="1367" w:type="dxa"/>
            <w:gridSpan w:val="3"/>
          </w:tcPr>
          <w:p w14:paraId="507D1159"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sz w:val="18"/>
                <w:szCs w:val="18"/>
                <w:lang w:val="cs-CZ"/>
              </w:rPr>
              <w:t xml:space="preserve">0.0 </w:t>
            </w:r>
          </w:p>
        </w:tc>
        <w:tc>
          <w:tcPr>
            <w:tcW w:w="1363" w:type="dxa"/>
          </w:tcPr>
          <w:p w14:paraId="690F54ED"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sz w:val="18"/>
                <w:szCs w:val="18"/>
                <w:lang w:val="cs-CZ"/>
              </w:rPr>
              <w:t xml:space="preserve">1.8 </w:t>
            </w:r>
          </w:p>
        </w:tc>
        <w:tc>
          <w:tcPr>
            <w:tcW w:w="765" w:type="dxa"/>
            <w:gridSpan w:val="2"/>
          </w:tcPr>
          <w:p w14:paraId="0C3A00E3"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sz w:val="18"/>
                <w:szCs w:val="18"/>
                <w:lang w:val="cs-CZ"/>
              </w:rPr>
              <w:t xml:space="preserve">0.0 </w:t>
            </w:r>
          </w:p>
        </w:tc>
        <w:tc>
          <w:tcPr>
            <w:tcW w:w="1067" w:type="dxa"/>
          </w:tcPr>
          <w:p w14:paraId="2840B073" w14:textId="77777777" w:rsidR="003E0F58" w:rsidRPr="007C705C" w:rsidRDefault="003E0F58" w:rsidP="004D2249">
            <w:pPr>
              <w:autoSpaceDE w:val="0"/>
              <w:autoSpaceDN w:val="0"/>
              <w:adjustRightInd w:val="0"/>
              <w:ind w:right="-392"/>
              <w:jc w:val="left"/>
              <w:rPr>
                <w:rFonts w:cs="Times New Roman"/>
                <w:color w:val="000000"/>
                <w:sz w:val="18"/>
                <w:szCs w:val="18"/>
                <w:lang w:val="cs-CZ"/>
              </w:rPr>
            </w:pPr>
            <w:r w:rsidRPr="007C705C">
              <w:rPr>
                <w:rFonts w:cs="Times New Roman"/>
                <w:b/>
                <w:bCs/>
                <w:sz w:val="18"/>
                <w:szCs w:val="18"/>
                <w:lang w:val="cs-CZ"/>
              </w:rPr>
              <w:t xml:space="preserve">1011.1 </w:t>
            </w:r>
          </w:p>
        </w:tc>
      </w:tr>
      <w:tr w:rsidR="003E0F58" w:rsidRPr="007C705C" w14:paraId="48CEFE45" w14:textId="77777777" w:rsidTr="00FB3D34">
        <w:trPr>
          <w:trHeight w:val="103"/>
        </w:trPr>
        <w:tc>
          <w:tcPr>
            <w:tcW w:w="1167" w:type="dxa"/>
            <w:vMerge/>
          </w:tcPr>
          <w:p w14:paraId="16BF8908" w14:textId="77777777" w:rsidR="003E0F58" w:rsidRPr="007C705C" w:rsidRDefault="003E0F58" w:rsidP="004D2249">
            <w:pPr>
              <w:autoSpaceDE w:val="0"/>
              <w:autoSpaceDN w:val="0"/>
              <w:adjustRightInd w:val="0"/>
              <w:jc w:val="left"/>
              <w:rPr>
                <w:rFonts w:cs="Times New Roman"/>
                <w:color w:val="000000"/>
                <w:sz w:val="18"/>
                <w:szCs w:val="18"/>
                <w:lang w:val="cs-CZ"/>
              </w:rPr>
            </w:pPr>
          </w:p>
        </w:tc>
        <w:tc>
          <w:tcPr>
            <w:tcW w:w="1052" w:type="dxa"/>
            <w:gridSpan w:val="2"/>
          </w:tcPr>
          <w:p w14:paraId="4CF8C708"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Wetlands </w:t>
            </w:r>
          </w:p>
        </w:tc>
        <w:tc>
          <w:tcPr>
            <w:tcW w:w="1059" w:type="dxa"/>
            <w:gridSpan w:val="2"/>
          </w:tcPr>
          <w:p w14:paraId="7EF8508C"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sz w:val="18"/>
                <w:szCs w:val="18"/>
                <w:lang w:val="cs-CZ"/>
              </w:rPr>
              <w:t xml:space="preserve">0.0 </w:t>
            </w:r>
          </w:p>
        </w:tc>
        <w:tc>
          <w:tcPr>
            <w:tcW w:w="1211" w:type="dxa"/>
            <w:gridSpan w:val="2"/>
          </w:tcPr>
          <w:p w14:paraId="1737187A"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sz w:val="18"/>
                <w:szCs w:val="18"/>
                <w:lang w:val="cs-CZ"/>
              </w:rPr>
              <w:t xml:space="preserve">0.2 </w:t>
            </w:r>
          </w:p>
        </w:tc>
        <w:tc>
          <w:tcPr>
            <w:tcW w:w="1211" w:type="dxa"/>
            <w:gridSpan w:val="2"/>
          </w:tcPr>
          <w:p w14:paraId="37B2BF7C"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sz w:val="18"/>
                <w:szCs w:val="18"/>
                <w:lang w:val="cs-CZ"/>
              </w:rPr>
              <w:t xml:space="preserve">0.1 </w:t>
            </w:r>
          </w:p>
        </w:tc>
        <w:tc>
          <w:tcPr>
            <w:tcW w:w="1367" w:type="dxa"/>
            <w:gridSpan w:val="3"/>
          </w:tcPr>
          <w:p w14:paraId="5F68D69B"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sz w:val="18"/>
                <w:szCs w:val="18"/>
                <w:lang w:val="cs-CZ"/>
              </w:rPr>
              <w:t xml:space="preserve">166.1 </w:t>
            </w:r>
          </w:p>
        </w:tc>
        <w:tc>
          <w:tcPr>
            <w:tcW w:w="1363" w:type="dxa"/>
          </w:tcPr>
          <w:p w14:paraId="53FDDAFD"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sz w:val="18"/>
                <w:szCs w:val="18"/>
                <w:lang w:val="cs-CZ"/>
              </w:rPr>
              <w:t xml:space="preserve">0.2 </w:t>
            </w:r>
          </w:p>
        </w:tc>
        <w:tc>
          <w:tcPr>
            <w:tcW w:w="765" w:type="dxa"/>
            <w:gridSpan w:val="2"/>
          </w:tcPr>
          <w:p w14:paraId="4CC6FE37"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sz w:val="18"/>
                <w:szCs w:val="18"/>
                <w:lang w:val="cs-CZ"/>
              </w:rPr>
              <w:t xml:space="preserve">0.0 </w:t>
            </w:r>
          </w:p>
        </w:tc>
        <w:tc>
          <w:tcPr>
            <w:tcW w:w="1067" w:type="dxa"/>
          </w:tcPr>
          <w:p w14:paraId="091369D0" w14:textId="77777777" w:rsidR="003E0F58" w:rsidRPr="007C705C" w:rsidRDefault="003E0F58" w:rsidP="004D2249">
            <w:pPr>
              <w:autoSpaceDE w:val="0"/>
              <w:autoSpaceDN w:val="0"/>
              <w:adjustRightInd w:val="0"/>
              <w:ind w:right="-392"/>
              <w:jc w:val="left"/>
              <w:rPr>
                <w:rFonts w:cs="Times New Roman"/>
                <w:color w:val="000000"/>
                <w:sz w:val="18"/>
                <w:szCs w:val="18"/>
                <w:lang w:val="cs-CZ"/>
              </w:rPr>
            </w:pPr>
            <w:r w:rsidRPr="007C705C">
              <w:rPr>
                <w:rFonts w:cs="Times New Roman"/>
                <w:b/>
                <w:bCs/>
                <w:sz w:val="18"/>
                <w:szCs w:val="18"/>
                <w:lang w:val="cs-CZ"/>
              </w:rPr>
              <w:t xml:space="preserve">166.6 </w:t>
            </w:r>
          </w:p>
        </w:tc>
      </w:tr>
      <w:tr w:rsidR="003E0F58" w:rsidRPr="007C705C" w14:paraId="7BDFAB76" w14:textId="77777777" w:rsidTr="00FB3D34">
        <w:trPr>
          <w:trHeight w:val="103"/>
        </w:trPr>
        <w:tc>
          <w:tcPr>
            <w:tcW w:w="1167" w:type="dxa"/>
            <w:vMerge/>
          </w:tcPr>
          <w:p w14:paraId="47FD6F43" w14:textId="77777777" w:rsidR="003E0F58" w:rsidRPr="007C705C" w:rsidRDefault="003E0F58" w:rsidP="004D2249">
            <w:pPr>
              <w:autoSpaceDE w:val="0"/>
              <w:autoSpaceDN w:val="0"/>
              <w:adjustRightInd w:val="0"/>
              <w:jc w:val="left"/>
              <w:rPr>
                <w:rFonts w:cs="Times New Roman"/>
                <w:color w:val="000000"/>
                <w:sz w:val="18"/>
                <w:szCs w:val="18"/>
                <w:lang w:val="cs-CZ"/>
              </w:rPr>
            </w:pPr>
          </w:p>
        </w:tc>
        <w:tc>
          <w:tcPr>
            <w:tcW w:w="1052" w:type="dxa"/>
            <w:gridSpan w:val="2"/>
          </w:tcPr>
          <w:p w14:paraId="60A24125"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Settlements </w:t>
            </w:r>
          </w:p>
        </w:tc>
        <w:tc>
          <w:tcPr>
            <w:tcW w:w="1059" w:type="dxa"/>
            <w:gridSpan w:val="2"/>
          </w:tcPr>
          <w:p w14:paraId="4BAA002F"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sz w:val="18"/>
                <w:szCs w:val="18"/>
                <w:lang w:val="cs-CZ"/>
              </w:rPr>
              <w:t xml:space="preserve">0.2 </w:t>
            </w:r>
          </w:p>
        </w:tc>
        <w:tc>
          <w:tcPr>
            <w:tcW w:w="1211" w:type="dxa"/>
            <w:gridSpan w:val="2"/>
          </w:tcPr>
          <w:p w14:paraId="53D5D973"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sz w:val="18"/>
                <w:szCs w:val="18"/>
                <w:lang w:val="cs-CZ"/>
              </w:rPr>
              <w:t xml:space="preserve">2.6 </w:t>
            </w:r>
          </w:p>
        </w:tc>
        <w:tc>
          <w:tcPr>
            <w:tcW w:w="1211" w:type="dxa"/>
            <w:gridSpan w:val="2"/>
          </w:tcPr>
          <w:p w14:paraId="4E03EA77"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sz w:val="18"/>
                <w:szCs w:val="18"/>
                <w:lang w:val="cs-CZ"/>
              </w:rPr>
              <w:t xml:space="preserve">0.5 </w:t>
            </w:r>
          </w:p>
        </w:tc>
        <w:tc>
          <w:tcPr>
            <w:tcW w:w="1367" w:type="dxa"/>
            <w:gridSpan w:val="3"/>
          </w:tcPr>
          <w:p w14:paraId="0746C155"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sz w:val="18"/>
                <w:szCs w:val="18"/>
                <w:lang w:val="cs-CZ"/>
              </w:rPr>
              <w:t xml:space="preserve">0.1 </w:t>
            </w:r>
          </w:p>
        </w:tc>
        <w:tc>
          <w:tcPr>
            <w:tcW w:w="1363" w:type="dxa"/>
          </w:tcPr>
          <w:p w14:paraId="40739526"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sz w:val="18"/>
                <w:szCs w:val="18"/>
                <w:lang w:val="cs-CZ"/>
              </w:rPr>
              <w:t xml:space="preserve">840.1 </w:t>
            </w:r>
          </w:p>
        </w:tc>
        <w:tc>
          <w:tcPr>
            <w:tcW w:w="765" w:type="dxa"/>
            <w:gridSpan w:val="2"/>
          </w:tcPr>
          <w:p w14:paraId="2D2DA048"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sz w:val="18"/>
                <w:szCs w:val="18"/>
                <w:lang w:val="cs-CZ"/>
              </w:rPr>
              <w:t xml:space="preserve">0.0 </w:t>
            </w:r>
          </w:p>
        </w:tc>
        <w:tc>
          <w:tcPr>
            <w:tcW w:w="1067" w:type="dxa"/>
          </w:tcPr>
          <w:p w14:paraId="4A6ABCF4" w14:textId="77777777" w:rsidR="003E0F58" w:rsidRPr="007C705C" w:rsidRDefault="003E0F58" w:rsidP="004D2249">
            <w:pPr>
              <w:autoSpaceDE w:val="0"/>
              <w:autoSpaceDN w:val="0"/>
              <w:adjustRightInd w:val="0"/>
              <w:ind w:right="-392"/>
              <w:jc w:val="left"/>
              <w:rPr>
                <w:rFonts w:cs="Times New Roman"/>
                <w:color w:val="000000"/>
                <w:sz w:val="18"/>
                <w:szCs w:val="18"/>
                <w:lang w:val="cs-CZ"/>
              </w:rPr>
            </w:pPr>
            <w:r w:rsidRPr="007C705C">
              <w:rPr>
                <w:rFonts w:cs="Times New Roman"/>
                <w:b/>
                <w:bCs/>
                <w:sz w:val="18"/>
                <w:szCs w:val="18"/>
                <w:lang w:val="cs-CZ"/>
              </w:rPr>
              <w:t xml:space="preserve">843.4 </w:t>
            </w:r>
          </w:p>
        </w:tc>
      </w:tr>
      <w:tr w:rsidR="003E0F58" w:rsidRPr="007C705C" w14:paraId="64EFDD3A" w14:textId="77777777" w:rsidTr="00FB3D34">
        <w:trPr>
          <w:trHeight w:val="103"/>
        </w:trPr>
        <w:tc>
          <w:tcPr>
            <w:tcW w:w="1167" w:type="dxa"/>
            <w:vMerge/>
          </w:tcPr>
          <w:p w14:paraId="4EC1D15E" w14:textId="77777777" w:rsidR="003E0F58" w:rsidRPr="007C705C" w:rsidRDefault="003E0F58" w:rsidP="004D2249">
            <w:pPr>
              <w:autoSpaceDE w:val="0"/>
              <w:autoSpaceDN w:val="0"/>
              <w:adjustRightInd w:val="0"/>
              <w:jc w:val="left"/>
              <w:rPr>
                <w:rFonts w:cs="Times New Roman"/>
                <w:color w:val="000000"/>
                <w:sz w:val="18"/>
                <w:szCs w:val="18"/>
                <w:lang w:val="cs-CZ"/>
              </w:rPr>
            </w:pPr>
          </w:p>
        </w:tc>
        <w:tc>
          <w:tcPr>
            <w:tcW w:w="1052" w:type="dxa"/>
            <w:gridSpan w:val="2"/>
          </w:tcPr>
          <w:p w14:paraId="7C89D498"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Other Land </w:t>
            </w:r>
          </w:p>
        </w:tc>
        <w:tc>
          <w:tcPr>
            <w:tcW w:w="1066" w:type="dxa"/>
            <w:gridSpan w:val="3"/>
          </w:tcPr>
          <w:p w14:paraId="4EADB611"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0.0 </w:t>
            </w:r>
          </w:p>
        </w:tc>
        <w:tc>
          <w:tcPr>
            <w:tcW w:w="1211" w:type="dxa"/>
            <w:gridSpan w:val="2"/>
          </w:tcPr>
          <w:p w14:paraId="792E84E9"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0.0 </w:t>
            </w:r>
          </w:p>
        </w:tc>
        <w:tc>
          <w:tcPr>
            <w:tcW w:w="1211" w:type="dxa"/>
            <w:gridSpan w:val="2"/>
          </w:tcPr>
          <w:p w14:paraId="08ADDD94"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0.0 </w:t>
            </w:r>
          </w:p>
        </w:tc>
        <w:tc>
          <w:tcPr>
            <w:tcW w:w="1360" w:type="dxa"/>
            <w:gridSpan w:val="2"/>
          </w:tcPr>
          <w:p w14:paraId="111A1EDB"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 </w:t>
            </w:r>
          </w:p>
        </w:tc>
        <w:tc>
          <w:tcPr>
            <w:tcW w:w="1371" w:type="dxa"/>
            <w:gridSpan w:val="2"/>
          </w:tcPr>
          <w:p w14:paraId="321E71DB"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 </w:t>
            </w:r>
          </w:p>
        </w:tc>
        <w:tc>
          <w:tcPr>
            <w:tcW w:w="757" w:type="dxa"/>
          </w:tcPr>
          <w:p w14:paraId="55029E2C"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color w:val="000000"/>
                <w:sz w:val="18"/>
                <w:szCs w:val="18"/>
                <w:lang w:val="cs-CZ"/>
              </w:rPr>
              <w:t xml:space="preserve">0.0 </w:t>
            </w:r>
          </w:p>
        </w:tc>
        <w:tc>
          <w:tcPr>
            <w:tcW w:w="1067" w:type="dxa"/>
          </w:tcPr>
          <w:p w14:paraId="607ADFFD" w14:textId="77777777" w:rsidR="003E0F58" w:rsidRPr="007C705C" w:rsidRDefault="003E0F58" w:rsidP="004D2249">
            <w:pPr>
              <w:autoSpaceDE w:val="0"/>
              <w:autoSpaceDN w:val="0"/>
              <w:adjustRightInd w:val="0"/>
              <w:ind w:right="-392"/>
              <w:jc w:val="left"/>
              <w:rPr>
                <w:rFonts w:cs="Times New Roman"/>
                <w:color w:val="000000"/>
                <w:sz w:val="18"/>
                <w:szCs w:val="18"/>
                <w:lang w:val="cs-CZ"/>
              </w:rPr>
            </w:pPr>
            <w:r w:rsidRPr="007C705C">
              <w:rPr>
                <w:rFonts w:cs="Times New Roman"/>
                <w:b/>
                <w:bCs/>
                <w:color w:val="000000"/>
                <w:sz w:val="18"/>
                <w:szCs w:val="18"/>
                <w:lang w:val="cs-CZ"/>
              </w:rPr>
              <w:t xml:space="preserve">0.0 </w:t>
            </w:r>
          </w:p>
        </w:tc>
      </w:tr>
      <w:tr w:rsidR="003E0F58" w:rsidRPr="007C705C" w14:paraId="1C120C2B" w14:textId="77777777" w:rsidTr="00FB3D34">
        <w:trPr>
          <w:trHeight w:val="103"/>
        </w:trPr>
        <w:tc>
          <w:tcPr>
            <w:tcW w:w="1167" w:type="dxa"/>
          </w:tcPr>
          <w:p w14:paraId="6106DE9F" w14:textId="77777777" w:rsidR="003E0F58" w:rsidRPr="007C705C" w:rsidRDefault="003E0F58" w:rsidP="004D2249">
            <w:pPr>
              <w:autoSpaceDE w:val="0"/>
              <w:autoSpaceDN w:val="0"/>
              <w:adjustRightInd w:val="0"/>
              <w:jc w:val="left"/>
              <w:rPr>
                <w:rFonts w:cs="Times New Roman"/>
                <w:color w:val="000000"/>
                <w:sz w:val="18"/>
                <w:szCs w:val="18"/>
                <w:lang w:val="cs-CZ"/>
              </w:rPr>
            </w:pPr>
          </w:p>
        </w:tc>
        <w:tc>
          <w:tcPr>
            <w:tcW w:w="1059" w:type="dxa"/>
            <w:gridSpan w:val="3"/>
          </w:tcPr>
          <w:p w14:paraId="5F9770D2"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i/>
                <w:iCs/>
                <w:color w:val="000000"/>
                <w:sz w:val="18"/>
                <w:szCs w:val="18"/>
                <w:lang w:val="cs-CZ"/>
              </w:rPr>
              <w:t>Area (kha)</w:t>
            </w:r>
          </w:p>
        </w:tc>
        <w:tc>
          <w:tcPr>
            <w:tcW w:w="1059" w:type="dxa"/>
            <w:gridSpan w:val="2"/>
          </w:tcPr>
          <w:p w14:paraId="4FD01A2E"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sz w:val="18"/>
                <w:szCs w:val="18"/>
                <w:lang w:val="cs-CZ"/>
              </w:rPr>
              <w:t xml:space="preserve">2671.6 </w:t>
            </w:r>
          </w:p>
        </w:tc>
        <w:tc>
          <w:tcPr>
            <w:tcW w:w="1211" w:type="dxa"/>
            <w:gridSpan w:val="2"/>
          </w:tcPr>
          <w:p w14:paraId="7D893425"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sz w:val="18"/>
                <w:szCs w:val="18"/>
                <w:lang w:val="cs-CZ"/>
              </w:rPr>
              <w:t xml:space="preserve">3198.8 </w:t>
            </w:r>
          </w:p>
        </w:tc>
        <w:tc>
          <w:tcPr>
            <w:tcW w:w="1211" w:type="dxa"/>
            <w:gridSpan w:val="2"/>
          </w:tcPr>
          <w:p w14:paraId="13A25CB1"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sz w:val="18"/>
                <w:szCs w:val="18"/>
                <w:lang w:val="cs-CZ"/>
              </w:rPr>
              <w:t xml:space="preserve">1006.6 </w:t>
            </w:r>
          </w:p>
        </w:tc>
        <w:tc>
          <w:tcPr>
            <w:tcW w:w="1360" w:type="dxa"/>
            <w:gridSpan w:val="2"/>
          </w:tcPr>
          <w:p w14:paraId="56CA9F7B"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sz w:val="18"/>
                <w:szCs w:val="18"/>
                <w:lang w:val="cs-CZ"/>
              </w:rPr>
              <w:t xml:space="preserve">166.3 </w:t>
            </w:r>
          </w:p>
        </w:tc>
        <w:tc>
          <w:tcPr>
            <w:tcW w:w="1363" w:type="dxa"/>
          </w:tcPr>
          <w:p w14:paraId="36551FD4"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sz w:val="18"/>
                <w:szCs w:val="18"/>
                <w:lang w:val="cs-CZ"/>
              </w:rPr>
              <w:t xml:space="preserve">843.8 </w:t>
            </w:r>
          </w:p>
        </w:tc>
        <w:tc>
          <w:tcPr>
            <w:tcW w:w="765" w:type="dxa"/>
            <w:gridSpan w:val="2"/>
          </w:tcPr>
          <w:p w14:paraId="7AB2E24D"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sz w:val="18"/>
                <w:szCs w:val="18"/>
                <w:lang w:val="cs-CZ"/>
              </w:rPr>
              <w:t xml:space="preserve">0.0 </w:t>
            </w:r>
          </w:p>
        </w:tc>
        <w:tc>
          <w:tcPr>
            <w:tcW w:w="1067" w:type="dxa"/>
          </w:tcPr>
          <w:p w14:paraId="3BA09F74" w14:textId="77777777" w:rsidR="003E0F58" w:rsidRPr="007C705C" w:rsidRDefault="003E0F58" w:rsidP="004D2249">
            <w:pPr>
              <w:autoSpaceDE w:val="0"/>
              <w:autoSpaceDN w:val="0"/>
              <w:adjustRightInd w:val="0"/>
              <w:jc w:val="left"/>
              <w:rPr>
                <w:rFonts w:cs="Times New Roman"/>
                <w:color w:val="000000"/>
                <w:sz w:val="18"/>
                <w:szCs w:val="18"/>
                <w:lang w:val="cs-CZ"/>
              </w:rPr>
            </w:pPr>
            <w:r w:rsidRPr="007C705C">
              <w:rPr>
                <w:rFonts w:cs="Times New Roman"/>
                <w:b/>
                <w:bCs/>
                <w:sz w:val="18"/>
                <w:szCs w:val="18"/>
                <w:lang w:val="cs-CZ"/>
              </w:rPr>
              <w:t xml:space="preserve">7887.1 </w:t>
            </w:r>
          </w:p>
        </w:tc>
      </w:tr>
    </w:tbl>
    <w:p w14:paraId="1DE2DBB5" w14:textId="469B5329" w:rsidR="003E0F58" w:rsidRPr="00FB3D34" w:rsidRDefault="003E0F58" w:rsidP="00FB3D34">
      <w:pPr>
        <w:pStyle w:val="UZEIZdroj"/>
      </w:pPr>
      <w:r w:rsidRPr="007C705C">
        <w:t>Zdroj: NIR ČR 2020 (ČHMÚ)</w:t>
      </w:r>
    </w:p>
    <w:p w14:paraId="3C13676E" w14:textId="2D3DE15D" w:rsidR="003E0F58" w:rsidRPr="007C705C" w:rsidRDefault="00FB3D34" w:rsidP="00FB3D34">
      <w:pPr>
        <w:pStyle w:val="UZEITaB"/>
      </w:pPr>
      <w:bookmarkStart w:id="180" w:name="_Toc77245809"/>
      <w:r>
        <w:lastRenderedPageBreak/>
        <w:t xml:space="preserve"> </w:t>
      </w:r>
      <w:bookmarkStart w:id="181" w:name="_Toc94181567"/>
      <w:r w:rsidR="003E0F58" w:rsidRPr="007C705C">
        <w:t>Podíl zemědělství (včetně půd) na celkových čistých emisích v ČR v letech 2009 - 2018</w:t>
      </w:r>
      <w:bookmarkEnd w:id="180"/>
      <w:bookmarkEnd w:id="181"/>
    </w:p>
    <w:tbl>
      <w:tblPr>
        <w:tblW w:w="482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87"/>
        <w:gridCol w:w="851"/>
        <w:gridCol w:w="640"/>
        <w:gridCol w:w="640"/>
        <w:gridCol w:w="640"/>
        <w:gridCol w:w="640"/>
        <w:gridCol w:w="640"/>
        <w:gridCol w:w="640"/>
        <w:gridCol w:w="640"/>
        <w:gridCol w:w="640"/>
        <w:gridCol w:w="640"/>
        <w:gridCol w:w="640"/>
      </w:tblGrid>
      <w:tr w:rsidR="003E0F58" w:rsidRPr="007C705C" w14:paraId="3941223F" w14:textId="77777777" w:rsidTr="004D2249">
        <w:trPr>
          <w:trHeight w:val="58"/>
        </w:trPr>
        <w:tc>
          <w:tcPr>
            <w:tcW w:w="851" w:type="pct"/>
            <w:shd w:val="clear" w:color="000000" w:fill="F2F2F2"/>
            <w:vAlign w:val="center"/>
            <w:hideMark/>
          </w:tcPr>
          <w:p w14:paraId="4F73C0CD" w14:textId="77777777" w:rsidR="003E0F58" w:rsidRPr="007C705C" w:rsidRDefault="003E0F58" w:rsidP="004D2249">
            <w:pPr>
              <w:jc w:val="left"/>
              <w:rPr>
                <w:rFonts w:cs="Times New Roman"/>
                <w:b/>
                <w:bCs/>
                <w:color w:val="000000"/>
                <w:sz w:val="18"/>
                <w:szCs w:val="18"/>
                <w:lang w:val="cs-CZ"/>
              </w:rPr>
            </w:pPr>
            <w:r w:rsidRPr="007C705C">
              <w:rPr>
                <w:rFonts w:cs="Times New Roman"/>
                <w:b/>
                <w:bCs/>
                <w:color w:val="000000"/>
                <w:sz w:val="18"/>
                <w:szCs w:val="18"/>
                <w:lang w:val="cs-CZ"/>
              </w:rPr>
              <w:t>Popis</w:t>
            </w:r>
          </w:p>
        </w:tc>
        <w:tc>
          <w:tcPr>
            <w:tcW w:w="487" w:type="pct"/>
            <w:shd w:val="clear" w:color="000000" w:fill="F2F2F2"/>
            <w:vAlign w:val="center"/>
            <w:hideMark/>
          </w:tcPr>
          <w:p w14:paraId="26B84A25"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Jednotka</w:t>
            </w:r>
          </w:p>
        </w:tc>
        <w:tc>
          <w:tcPr>
            <w:tcW w:w="366" w:type="pct"/>
            <w:shd w:val="clear" w:color="000000" w:fill="F2F2F2"/>
            <w:vAlign w:val="center"/>
          </w:tcPr>
          <w:p w14:paraId="070146D6"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2009</w:t>
            </w:r>
          </w:p>
        </w:tc>
        <w:tc>
          <w:tcPr>
            <w:tcW w:w="366" w:type="pct"/>
            <w:shd w:val="clear" w:color="000000" w:fill="F2F2F2"/>
            <w:vAlign w:val="center"/>
          </w:tcPr>
          <w:p w14:paraId="5707279A"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2010</w:t>
            </w:r>
          </w:p>
        </w:tc>
        <w:tc>
          <w:tcPr>
            <w:tcW w:w="366" w:type="pct"/>
            <w:shd w:val="clear" w:color="000000" w:fill="F2F2F2"/>
            <w:vAlign w:val="center"/>
          </w:tcPr>
          <w:p w14:paraId="48873110"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2011</w:t>
            </w:r>
          </w:p>
        </w:tc>
        <w:tc>
          <w:tcPr>
            <w:tcW w:w="366" w:type="pct"/>
            <w:shd w:val="clear" w:color="000000" w:fill="F2F2F2"/>
            <w:vAlign w:val="center"/>
          </w:tcPr>
          <w:p w14:paraId="0571FECB"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2012</w:t>
            </w:r>
          </w:p>
        </w:tc>
        <w:tc>
          <w:tcPr>
            <w:tcW w:w="366" w:type="pct"/>
            <w:shd w:val="clear" w:color="000000" w:fill="F2F2F2"/>
            <w:vAlign w:val="center"/>
          </w:tcPr>
          <w:p w14:paraId="01486C45"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2013</w:t>
            </w:r>
          </w:p>
        </w:tc>
        <w:tc>
          <w:tcPr>
            <w:tcW w:w="366" w:type="pct"/>
            <w:shd w:val="clear" w:color="000000" w:fill="F2F2F2"/>
            <w:vAlign w:val="center"/>
          </w:tcPr>
          <w:p w14:paraId="526E4139"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2014</w:t>
            </w:r>
          </w:p>
        </w:tc>
        <w:tc>
          <w:tcPr>
            <w:tcW w:w="366" w:type="pct"/>
            <w:shd w:val="clear" w:color="000000" w:fill="F2F2F2"/>
            <w:vAlign w:val="center"/>
          </w:tcPr>
          <w:p w14:paraId="6AC8FD59"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2015</w:t>
            </w:r>
          </w:p>
        </w:tc>
        <w:tc>
          <w:tcPr>
            <w:tcW w:w="366" w:type="pct"/>
            <w:shd w:val="clear" w:color="000000" w:fill="F2F2F2"/>
            <w:vAlign w:val="center"/>
          </w:tcPr>
          <w:p w14:paraId="3BAC3C3D"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2016</w:t>
            </w:r>
          </w:p>
        </w:tc>
        <w:tc>
          <w:tcPr>
            <w:tcW w:w="366" w:type="pct"/>
            <w:shd w:val="clear" w:color="000000" w:fill="F2F2F2"/>
          </w:tcPr>
          <w:p w14:paraId="598FC235"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2017</w:t>
            </w:r>
          </w:p>
        </w:tc>
        <w:tc>
          <w:tcPr>
            <w:tcW w:w="366" w:type="pct"/>
            <w:shd w:val="clear" w:color="000000" w:fill="F2F2F2"/>
            <w:vAlign w:val="center"/>
            <w:hideMark/>
          </w:tcPr>
          <w:p w14:paraId="7B1A411E"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2018</w:t>
            </w:r>
          </w:p>
        </w:tc>
      </w:tr>
      <w:tr w:rsidR="003E0F58" w:rsidRPr="007C705C" w14:paraId="44D91E55" w14:textId="77777777" w:rsidTr="004D2249">
        <w:trPr>
          <w:trHeight w:val="102"/>
        </w:trPr>
        <w:tc>
          <w:tcPr>
            <w:tcW w:w="851" w:type="pct"/>
            <w:shd w:val="clear" w:color="auto" w:fill="auto"/>
            <w:vAlign w:val="center"/>
            <w:hideMark/>
          </w:tcPr>
          <w:p w14:paraId="12CB9897" w14:textId="77777777" w:rsidR="003E0F58" w:rsidRPr="007C705C" w:rsidRDefault="003E0F58" w:rsidP="004D2249">
            <w:pPr>
              <w:jc w:val="left"/>
              <w:rPr>
                <w:rFonts w:cs="Times New Roman"/>
                <w:sz w:val="18"/>
                <w:szCs w:val="18"/>
                <w:lang w:val="cs-CZ"/>
              </w:rPr>
            </w:pPr>
            <w:r w:rsidRPr="007C705C">
              <w:rPr>
                <w:rFonts w:cs="Times New Roman"/>
                <w:sz w:val="18"/>
                <w:szCs w:val="18"/>
                <w:lang w:val="cs-CZ"/>
              </w:rPr>
              <w:t>Podíl zemědělství (včetně půd) na celkových čistých emisích</w:t>
            </w:r>
          </w:p>
        </w:tc>
        <w:tc>
          <w:tcPr>
            <w:tcW w:w="487" w:type="pct"/>
            <w:shd w:val="clear" w:color="auto" w:fill="auto"/>
            <w:vAlign w:val="center"/>
            <w:hideMark/>
          </w:tcPr>
          <w:p w14:paraId="27A99A32" w14:textId="77777777" w:rsidR="003E0F58" w:rsidRPr="007C705C" w:rsidRDefault="003E0F58" w:rsidP="004D2249">
            <w:pPr>
              <w:jc w:val="center"/>
              <w:rPr>
                <w:rFonts w:cs="Times New Roman"/>
                <w:sz w:val="18"/>
                <w:szCs w:val="18"/>
                <w:lang w:val="cs-CZ"/>
              </w:rPr>
            </w:pPr>
            <w:r w:rsidRPr="007C705C">
              <w:rPr>
                <w:rFonts w:cs="Times New Roman"/>
                <w:sz w:val="18"/>
                <w:szCs w:val="18"/>
                <w:lang w:val="cs-CZ"/>
              </w:rPr>
              <w:t>%</w:t>
            </w:r>
          </w:p>
        </w:tc>
        <w:tc>
          <w:tcPr>
            <w:tcW w:w="366" w:type="pct"/>
            <w:vAlign w:val="center"/>
          </w:tcPr>
          <w:p w14:paraId="308D32A0" w14:textId="77777777" w:rsidR="003E0F58" w:rsidRPr="007C705C" w:rsidRDefault="003E0F58" w:rsidP="004D2249">
            <w:pPr>
              <w:jc w:val="center"/>
              <w:rPr>
                <w:rFonts w:cs="Times New Roman"/>
                <w:sz w:val="18"/>
                <w:szCs w:val="18"/>
                <w:lang w:val="cs-CZ"/>
              </w:rPr>
            </w:pPr>
            <w:r w:rsidRPr="007C705C">
              <w:rPr>
                <w:rFonts w:cs="Times New Roman"/>
                <w:sz w:val="18"/>
                <w:szCs w:val="18"/>
                <w:lang w:val="cs-CZ"/>
              </w:rPr>
              <w:t>1460</w:t>
            </w:r>
          </w:p>
        </w:tc>
        <w:tc>
          <w:tcPr>
            <w:tcW w:w="366" w:type="pct"/>
            <w:vAlign w:val="center"/>
          </w:tcPr>
          <w:p w14:paraId="33DC0263" w14:textId="77777777" w:rsidR="003E0F58" w:rsidRPr="007C705C" w:rsidRDefault="003E0F58" w:rsidP="004D2249">
            <w:pPr>
              <w:jc w:val="center"/>
              <w:rPr>
                <w:rFonts w:cs="Times New Roman"/>
                <w:sz w:val="18"/>
                <w:szCs w:val="18"/>
                <w:lang w:val="cs-CZ"/>
              </w:rPr>
            </w:pPr>
            <w:r w:rsidRPr="007C705C">
              <w:rPr>
                <w:rFonts w:cs="Times New Roman"/>
                <w:sz w:val="18"/>
                <w:szCs w:val="18"/>
                <w:lang w:val="cs-CZ"/>
              </w:rPr>
              <w:t>602</w:t>
            </w:r>
          </w:p>
        </w:tc>
        <w:tc>
          <w:tcPr>
            <w:tcW w:w="366" w:type="pct"/>
            <w:vAlign w:val="center"/>
          </w:tcPr>
          <w:p w14:paraId="1A5456C6" w14:textId="77777777" w:rsidR="003E0F58" w:rsidRPr="007C705C" w:rsidRDefault="003E0F58" w:rsidP="004D2249">
            <w:pPr>
              <w:jc w:val="center"/>
              <w:rPr>
                <w:rFonts w:cs="Times New Roman"/>
                <w:sz w:val="18"/>
                <w:szCs w:val="18"/>
                <w:lang w:val="cs-CZ"/>
              </w:rPr>
            </w:pPr>
            <w:r w:rsidRPr="007C705C">
              <w:rPr>
                <w:rFonts w:cs="Times New Roman"/>
                <w:sz w:val="18"/>
                <w:szCs w:val="18"/>
                <w:lang w:val="cs-CZ"/>
              </w:rPr>
              <w:t>993</w:t>
            </w:r>
          </w:p>
        </w:tc>
        <w:tc>
          <w:tcPr>
            <w:tcW w:w="366" w:type="pct"/>
            <w:vAlign w:val="center"/>
          </w:tcPr>
          <w:p w14:paraId="3091B65C" w14:textId="77777777" w:rsidR="003E0F58" w:rsidRPr="007C705C" w:rsidRDefault="003E0F58" w:rsidP="004D2249">
            <w:pPr>
              <w:jc w:val="center"/>
              <w:rPr>
                <w:rFonts w:cs="Times New Roman"/>
                <w:sz w:val="18"/>
                <w:szCs w:val="18"/>
                <w:lang w:val="cs-CZ"/>
              </w:rPr>
            </w:pPr>
            <w:r w:rsidRPr="007C705C">
              <w:rPr>
                <w:rFonts w:cs="Times New Roman"/>
                <w:sz w:val="18"/>
                <w:szCs w:val="18"/>
                <w:lang w:val="cs-CZ"/>
              </w:rPr>
              <w:t>1370</w:t>
            </w:r>
          </w:p>
        </w:tc>
        <w:tc>
          <w:tcPr>
            <w:tcW w:w="366" w:type="pct"/>
            <w:vAlign w:val="center"/>
          </w:tcPr>
          <w:p w14:paraId="610DA563" w14:textId="77777777" w:rsidR="003E0F58" w:rsidRPr="007C705C" w:rsidRDefault="003E0F58" w:rsidP="004D2249">
            <w:pPr>
              <w:jc w:val="center"/>
              <w:rPr>
                <w:rFonts w:cs="Times New Roman"/>
                <w:sz w:val="18"/>
                <w:szCs w:val="18"/>
                <w:lang w:val="cs-CZ"/>
              </w:rPr>
            </w:pPr>
            <w:r w:rsidRPr="007C705C">
              <w:rPr>
                <w:rFonts w:cs="Times New Roman"/>
                <w:sz w:val="18"/>
                <w:szCs w:val="18"/>
                <w:lang w:val="cs-CZ"/>
              </w:rPr>
              <w:t>665</w:t>
            </w:r>
          </w:p>
        </w:tc>
        <w:tc>
          <w:tcPr>
            <w:tcW w:w="366" w:type="pct"/>
            <w:vAlign w:val="center"/>
          </w:tcPr>
          <w:p w14:paraId="638EA91E" w14:textId="77777777" w:rsidR="003E0F58" w:rsidRPr="007C705C" w:rsidRDefault="003E0F58" w:rsidP="004D2249">
            <w:pPr>
              <w:jc w:val="center"/>
              <w:rPr>
                <w:rFonts w:cs="Times New Roman"/>
                <w:sz w:val="18"/>
                <w:szCs w:val="18"/>
                <w:lang w:val="cs-CZ"/>
              </w:rPr>
            </w:pPr>
            <w:r w:rsidRPr="007C705C">
              <w:rPr>
                <w:rFonts w:cs="Times New Roman"/>
                <w:sz w:val="18"/>
                <w:szCs w:val="18"/>
                <w:lang w:val="cs-CZ"/>
              </w:rPr>
              <w:t>583</w:t>
            </w:r>
          </w:p>
        </w:tc>
        <w:tc>
          <w:tcPr>
            <w:tcW w:w="366" w:type="pct"/>
            <w:vAlign w:val="center"/>
          </w:tcPr>
          <w:p w14:paraId="72FAE226" w14:textId="77777777" w:rsidR="003E0F58" w:rsidRPr="007C705C" w:rsidRDefault="003E0F58" w:rsidP="004D2249">
            <w:pPr>
              <w:jc w:val="center"/>
              <w:rPr>
                <w:rFonts w:cs="Times New Roman"/>
                <w:sz w:val="18"/>
                <w:szCs w:val="18"/>
                <w:lang w:val="cs-CZ"/>
              </w:rPr>
            </w:pPr>
            <w:r w:rsidRPr="007C705C">
              <w:rPr>
                <w:rFonts w:cs="Times New Roman"/>
                <w:sz w:val="18"/>
                <w:szCs w:val="18"/>
                <w:lang w:val="cs-CZ"/>
              </w:rPr>
              <w:t>306</w:t>
            </w:r>
          </w:p>
        </w:tc>
        <w:tc>
          <w:tcPr>
            <w:tcW w:w="366" w:type="pct"/>
            <w:vAlign w:val="center"/>
          </w:tcPr>
          <w:p w14:paraId="1DC2CE7B" w14:textId="77777777" w:rsidR="003E0F58" w:rsidRPr="007C705C" w:rsidRDefault="003E0F58" w:rsidP="004D2249">
            <w:pPr>
              <w:jc w:val="center"/>
              <w:rPr>
                <w:rFonts w:cs="Times New Roman"/>
                <w:sz w:val="18"/>
                <w:szCs w:val="18"/>
                <w:lang w:val="cs-CZ"/>
              </w:rPr>
            </w:pPr>
            <w:r w:rsidRPr="007C705C">
              <w:rPr>
                <w:rFonts w:cs="Times New Roman"/>
                <w:sz w:val="18"/>
                <w:szCs w:val="18"/>
                <w:lang w:val="cs-CZ"/>
              </w:rPr>
              <w:t>212</w:t>
            </w:r>
          </w:p>
        </w:tc>
        <w:tc>
          <w:tcPr>
            <w:tcW w:w="366" w:type="pct"/>
            <w:vAlign w:val="center"/>
          </w:tcPr>
          <w:p w14:paraId="55781621" w14:textId="77777777" w:rsidR="003E0F58" w:rsidRPr="007C705C" w:rsidRDefault="003E0F58" w:rsidP="004D2249">
            <w:pPr>
              <w:jc w:val="center"/>
              <w:rPr>
                <w:rFonts w:cs="Times New Roman"/>
                <w:sz w:val="18"/>
                <w:szCs w:val="18"/>
                <w:lang w:val="cs-CZ"/>
              </w:rPr>
            </w:pPr>
            <w:r w:rsidRPr="007C705C">
              <w:rPr>
                <w:rFonts w:cs="Times New Roman"/>
                <w:sz w:val="18"/>
                <w:szCs w:val="18"/>
                <w:lang w:val="cs-CZ"/>
              </w:rPr>
              <w:t>136</w:t>
            </w:r>
          </w:p>
        </w:tc>
        <w:tc>
          <w:tcPr>
            <w:tcW w:w="366" w:type="pct"/>
            <w:shd w:val="clear" w:color="auto" w:fill="auto"/>
            <w:vAlign w:val="center"/>
            <w:hideMark/>
          </w:tcPr>
          <w:p w14:paraId="7AF5DAD5" w14:textId="77777777" w:rsidR="003E0F58" w:rsidRPr="007C705C" w:rsidRDefault="003E0F58" w:rsidP="004D2249">
            <w:pPr>
              <w:jc w:val="center"/>
              <w:rPr>
                <w:rFonts w:cs="Times New Roman"/>
                <w:sz w:val="18"/>
                <w:szCs w:val="18"/>
                <w:lang w:val="cs-CZ"/>
              </w:rPr>
            </w:pPr>
            <w:r w:rsidRPr="007C705C">
              <w:rPr>
                <w:rFonts w:cs="Times New Roman"/>
                <w:sz w:val="18"/>
                <w:szCs w:val="18"/>
                <w:lang w:val="cs-CZ"/>
              </w:rPr>
              <w:t>60</w:t>
            </w:r>
          </w:p>
        </w:tc>
      </w:tr>
    </w:tbl>
    <w:p w14:paraId="586D6D95" w14:textId="77777777" w:rsidR="003E0F58" w:rsidRPr="007C705C" w:rsidRDefault="003E0F58" w:rsidP="00BC1449">
      <w:pPr>
        <w:pStyle w:val="UZEIZdroj"/>
      </w:pPr>
      <w:r w:rsidRPr="007C705C">
        <w:t>Zdroj: Eurostat (dopočet ÚZEI)</w:t>
      </w:r>
    </w:p>
    <w:p w14:paraId="7911CAA3" w14:textId="538BD66F" w:rsidR="003E0F58" w:rsidRPr="007C705C" w:rsidRDefault="00A771C4" w:rsidP="00FB3D34">
      <w:pPr>
        <w:pStyle w:val="UZEITaB"/>
        <w:rPr>
          <w:rFonts w:eastAsiaTheme="minorEastAsia" w:cs="Times New Roman"/>
        </w:rPr>
      </w:pPr>
      <w:r>
        <w:t xml:space="preserve"> </w:t>
      </w:r>
      <w:bookmarkStart w:id="182" w:name="_Toc94181568"/>
      <w:r>
        <w:t xml:space="preserve">4. </w:t>
      </w:r>
      <w:r w:rsidR="00FB3D34" w:rsidRPr="007C705C">
        <w:t>GHG emissions from agriculture including cropland and grassland</w:t>
      </w:r>
      <w:bookmarkEnd w:id="182"/>
    </w:p>
    <w:tbl>
      <w:tblPr>
        <w:tblpPr w:leftFromText="141" w:rightFromText="141" w:vertAnchor="text" w:horzAnchor="margin" w:tblpY="185"/>
        <w:tblW w:w="9752" w:type="dxa"/>
        <w:tblCellMar>
          <w:left w:w="0" w:type="dxa"/>
          <w:right w:w="0" w:type="dxa"/>
        </w:tblCellMar>
        <w:tblLook w:val="04A0" w:firstRow="1" w:lastRow="0" w:firstColumn="1" w:lastColumn="0" w:noHBand="0" w:noVBand="1"/>
      </w:tblPr>
      <w:tblGrid>
        <w:gridCol w:w="1228"/>
        <w:gridCol w:w="1572"/>
        <w:gridCol w:w="709"/>
        <w:gridCol w:w="709"/>
        <w:gridCol w:w="709"/>
        <w:gridCol w:w="640"/>
        <w:gridCol w:w="709"/>
        <w:gridCol w:w="709"/>
        <w:gridCol w:w="709"/>
        <w:gridCol w:w="709"/>
        <w:gridCol w:w="640"/>
        <w:gridCol w:w="709"/>
      </w:tblGrid>
      <w:tr w:rsidR="00FB3D34" w:rsidRPr="007C705C" w14:paraId="134CDBAD" w14:textId="77777777" w:rsidTr="00FB3D34">
        <w:trPr>
          <w:trHeight w:val="235"/>
        </w:trPr>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82E33" w14:textId="77777777" w:rsidR="00FB3D34" w:rsidRPr="007C705C" w:rsidRDefault="00FB3D34" w:rsidP="00FB3D34">
            <w:pPr>
              <w:ind w:left="99" w:firstLine="30"/>
              <w:rPr>
                <w:rFonts w:cs="Times New Roman"/>
                <w:color w:val="000000"/>
                <w:sz w:val="20"/>
                <w:szCs w:val="20"/>
                <w:lang w:val="cs-CZ"/>
              </w:rPr>
            </w:pPr>
            <w:bookmarkStart w:id="183" w:name="_Toc77245810"/>
            <w:r w:rsidRPr="007C705C">
              <w:rPr>
                <w:rFonts w:cs="Times New Roman"/>
                <w:color w:val="000000"/>
                <w:sz w:val="20"/>
                <w:szCs w:val="20"/>
                <w:lang w:val="cs-CZ"/>
              </w:rPr>
              <w:t> </w:t>
            </w:r>
          </w:p>
        </w:tc>
        <w:tc>
          <w:tcPr>
            <w:tcW w:w="1572" w:type="dxa"/>
            <w:tcBorders>
              <w:top w:val="single" w:sz="4" w:space="0" w:color="auto"/>
              <w:left w:val="nil"/>
              <w:bottom w:val="single" w:sz="4" w:space="0" w:color="auto"/>
              <w:right w:val="single" w:sz="4" w:space="0" w:color="auto"/>
            </w:tcBorders>
            <w:shd w:val="clear" w:color="auto" w:fill="auto"/>
            <w:vAlign w:val="center"/>
            <w:hideMark/>
          </w:tcPr>
          <w:p w14:paraId="55713950" w14:textId="77777777" w:rsidR="00FB3D34" w:rsidRPr="007C705C" w:rsidRDefault="00FB3D34" w:rsidP="00FB3D34">
            <w:pPr>
              <w:rPr>
                <w:rFonts w:cs="Times New Roman"/>
                <w:color w:val="000000"/>
                <w:sz w:val="20"/>
                <w:szCs w:val="20"/>
                <w:lang w:val="cs-CZ"/>
              </w:rPr>
            </w:pPr>
            <w:r w:rsidRPr="007C705C">
              <w:rPr>
                <w:rFonts w:cs="Times New Roman"/>
                <w:color w:val="000000"/>
                <w:sz w:val="20"/>
                <w:szCs w:val="20"/>
                <w:lang w:val="cs-CZ"/>
              </w:rPr>
              <w:t> </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73B08348" w14:textId="77777777" w:rsidR="00FB3D34" w:rsidRPr="007C705C" w:rsidRDefault="00FB3D34" w:rsidP="00FB3D34">
            <w:pPr>
              <w:jc w:val="center"/>
              <w:rPr>
                <w:rFonts w:cs="Times New Roman"/>
                <w:b/>
                <w:bCs/>
                <w:color w:val="000000"/>
                <w:sz w:val="20"/>
                <w:szCs w:val="20"/>
                <w:lang w:val="cs-CZ"/>
              </w:rPr>
            </w:pPr>
            <w:r w:rsidRPr="007C705C">
              <w:rPr>
                <w:rFonts w:cs="Times New Roman"/>
                <w:b/>
                <w:bCs/>
                <w:color w:val="000000"/>
                <w:sz w:val="20"/>
                <w:szCs w:val="20"/>
                <w:lang w:val="cs-CZ"/>
              </w:rPr>
              <w:t>2009</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55A95D76" w14:textId="77777777" w:rsidR="00FB3D34" w:rsidRPr="007C705C" w:rsidRDefault="00FB3D34" w:rsidP="00FB3D34">
            <w:pPr>
              <w:jc w:val="center"/>
              <w:rPr>
                <w:rFonts w:cs="Times New Roman"/>
                <w:b/>
                <w:bCs/>
                <w:color w:val="000000"/>
                <w:sz w:val="20"/>
                <w:szCs w:val="20"/>
                <w:lang w:val="cs-CZ"/>
              </w:rPr>
            </w:pPr>
            <w:r w:rsidRPr="007C705C">
              <w:rPr>
                <w:rFonts w:cs="Times New Roman"/>
                <w:b/>
                <w:bCs/>
                <w:color w:val="000000"/>
                <w:sz w:val="20"/>
                <w:szCs w:val="20"/>
                <w:lang w:val="cs-CZ"/>
              </w:rPr>
              <w:t>2010</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5D735EE4" w14:textId="77777777" w:rsidR="00FB3D34" w:rsidRPr="007C705C" w:rsidRDefault="00FB3D34" w:rsidP="00FB3D34">
            <w:pPr>
              <w:jc w:val="center"/>
              <w:rPr>
                <w:rFonts w:cs="Times New Roman"/>
                <w:b/>
                <w:bCs/>
                <w:color w:val="000000"/>
                <w:sz w:val="20"/>
                <w:szCs w:val="20"/>
                <w:lang w:val="cs-CZ"/>
              </w:rPr>
            </w:pPr>
            <w:r w:rsidRPr="007C705C">
              <w:rPr>
                <w:rFonts w:cs="Times New Roman"/>
                <w:b/>
                <w:bCs/>
                <w:color w:val="000000"/>
                <w:sz w:val="20"/>
                <w:szCs w:val="20"/>
                <w:lang w:val="cs-CZ"/>
              </w:rPr>
              <w:t>2011</w:t>
            </w:r>
          </w:p>
        </w:tc>
        <w:tc>
          <w:tcPr>
            <w:tcW w:w="640" w:type="dxa"/>
            <w:tcBorders>
              <w:top w:val="single" w:sz="4" w:space="0" w:color="auto"/>
              <w:left w:val="nil"/>
              <w:bottom w:val="single" w:sz="4" w:space="0" w:color="auto"/>
              <w:right w:val="single" w:sz="4" w:space="0" w:color="auto"/>
            </w:tcBorders>
            <w:shd w:val="clear" w:color="auto" w:fill="auto"/>
            <w:vAlign w:val="center"/>
            <w:hideMark/>
          </w:tcPr>
          <w:p w14:paraId="2E0C47AA" w14:textId="77777777" w:rsidR="00FB3D34" w:rsidRPr="007C705C" w:rsidRDefault="00FB3D34" w:rsidP="00FB3D34">
            <w:pPr>
              <w:jc w:val="center"/>
              <w:rPr>
                <w:rFonts w:cs="Times New Roman"/>
                <w:b/>
                <w:bCs/>
                <w:color w:val="000000"/>
                <w:sz w:val="20"/>
                <w:szCs w:val="20"/>
                <w:lang w:val="cs-CZ"/>
              </w:rPr>
            </w:pPr>
            <w:r w:rsidRPr="007C705C">
              <w:rPr>
                <w:rFonts w:cs="Times New Roman"/>
                <w:b/>
                <w:bCs/>
                <w:color w:val="000000"/>
                <w:sz w:val="20"/>
                <w:szCs w:val="20"/>
                <w:lang w:val="cs-CZ"/>
              </w:rPr>
              <w:t>2012</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282621BF" w14:textId="77777777" w:rsidR="00FB3D34" w:rsidRPr="007C705C" w:rsidRDefault="00FB3D34" w:rsidP="00FB3D34">
            <w:pPr>
              <w:jc w:val="center"/>
              <w:rPr>
                <w:rFonts w:cs="Times New Roman"/>
                <w:b/>
                <w:bCs/>
                <w:color w:val="000000"/>
                <w:sz w:val="20"/>
                <w:szCs w:val="20"/>
                <w:lang w:val="cs-CZ"/>
              </w:rPr>
            </w:pPr>
            <w:r w:rsidRPr="007C705C">
              <w:rPr>
                <w:rFonts w:cs="Times New Roman"/>
                <w:b/>
                <w:bCs/>
                <w:color w:val="000000"/>
                <w:sz w:val="20"/>
                <w:szCs w:val="20"/>
                <w:lang w:val="cs-CZ"/>
              </w:rPr>
              <w:t>2013</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59E95FD2" w14:textId="77777777" w:rsidR="00FB3D34" w:rsidRPr="007C705C" w:rsidRDefault="00FB3D34" w:rsidP="00FB3D34">
            <w:pPr>
              <w:jc w:val="center"/>
              <w:rPr>
                <w:rFonts w:cs="Times New Roman"/>
                <w:b/>
                <w:bCs/>
                <w:color w:val="000000"/>
                <w:sz w:val="20"/>
                <w:szCs w:val="20"/>
                <w:lang w:val="cs-CZ"/>
              </w:rPr>
            </w:pPr>
            <w:r w:rsidRPr="007C705C">
              <w:rPr>
                <w:rFonts w:cs="Times New Roman"/>
                <w:b/>
                <w:bCs/>
                <w:color w:val="000000"/>
                <w:sz w:val="20"/>
                <w:szCs w:val="20"/>
                <w:lang w:val="cs-CZ"/>
              </w:rPr>
              <w:t>2014</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90DE769" w14:textId="77777777" w:rsidR="00FB3D34" w:rsidRPr="007C705C" w:rsidRDefault="00FB3D34" w:rsidP="00FB3D34">
            <w:pPr>
              <w:jc w:val="center"/>
              <w:rPr>
                <w:rFonts w:cs="Times New Roman"/>
                <w:b/>
                <w:bCs/>
                <w:color w:val="000000"/>
                <w:sz w:val="20"/>
                <w:szCs w:val="20"/>
                <w:lang w:val="cs-CZ"/>
              </w:rPr>
            </w:pPr>
            <w:r w:rsidRPr="007C705C">
              <w:rPr>
                <w:rFonts w:cs="Times New Roman"/>
                <w:b/>
                <w:bCs/>
                <w:color w:val="000000"/>
                <w:sz w:val="20"/>
                <w:szCs w:val="20"/>
                <w:lang w:val="cs-CZ"/>
              </w:rPr>
              <w:t>2015</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5573851B" w14:textId="77777777" w:rsidR="00FB3D34" w:rsidRPr="007C705C" w:rsidRDefault="00FB3D34" w:rsidP="00FB3D34">
            <w:pPr>
              <w:jc w:val="center"/>
              <w:rPr>
                <w:rFonts w:cs="Times New Roman"/>
                <w:b/>
                <w:bCs/>
                <w:color w:val="000000"/>
                <w:sz w:val="20"/>
                <w:szCs w:val="20"/>
                <w:lang w:val="cs-CZ"/>
              </w:rPr>
            </w:pPr>
            <w:r w:rsidRPr="007C705C">
              <w:rPr>
                <w:rFonts w:cs="Times New Roman"/>
                <w:b/>
                <w:bCs/>
                <w:color w:val="000000"/>
                <w:sz w:val="20"/>
                <w:szCs w:val="20"/>
                <w:lang w:val="cs-CZ"/>
              </w:rPr>
              <w:t>2016</w:t>
            </w:r>
          </w:p>
        </w:tc>
        <w:tc>
          <w:tcPr>
            <w:tcW w:w="640" w:type="dxa"/>
            <w:tcBorders>
              <w:top w:val="single" w:sz="4" w:space="0" w:color="auto"/>
              <w:left w:val="nil"/>
              <w:bottom w:val="single" w:sz="4" w:space="0" w:color="auto"/>
              <w:right w:val="single" w:sz="4" w:space="0" w:color="auto"/>
            </w:tcBorders>
            <w:shd w:val="clear" w:color="auto" w:fill="auto"/>
            <w:vAlign w:val="center"/>
            <w:hideMark/>
          </w:tcPr>
          <w:p w14:paraId="4BC62E1B" w14:textId="77777777" w:rsidR="00FB3D34" w:rsidRPr="007C705C" w:rsidRDefault="00FB3D34" w:rsidP="00FB3D34">
            <w:pPr>
              <w:jc w:val="center"/>
              <w:rPr>
                <w:rFonts w:cs="Times New Roman"/>
                <w:b/>
                <w:bCs/>
                <w:color w:val="000000"/>
                <w:sz w:val="20"/>
                <w:szCs w:val="20"/>
                <w:lang w:val="cs-CZ"/>
              </w:rPr>
            </w:pPr>
            <w:r w:rsidRPr="007C705C">
              <w:rPr>
                <w:rFonts w:cs="Times New Roman"/>
                <w:b/>
                <w:bCs/>
                <w:color w:val="000000"/>
                <w:sz w:val="20"/>
                <w:szCs w:val="20"/>
                <w:lang w:val="cs-CZ"/>
              </w:rPr>
              <w:t>2017</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CE39EB9" w14:textId="77777777" w:rsidR="00FB3D34" w:rsidRPr="007C705C" w:rsidRDefault="00FB3D34" w:rsidP="00FB3D34">
            <w:pPr>
              <w:jc w:val="center"/>
              <w:rPr>
                <w:rFonts w:cs="Times New Roman"/>
                <w:b/>
                <w:bCs/>
                <w:color w:val="000000"/>
                <w:sz w:val="20"/>
                <w:szCs w:val="20"/>
                <w:lang w:val="cs-CZ"/>
              </w:rPr>
            </w:pPr>
            <w:r w:rsidRPr="007C705C">
              <w:rPr>
                <w:rFonts w:cs="Times New Roman"/>
                <w:b/>
                <w:bCs/>
                <w:color w:val="000000"/>
                <w:sz w:val="20"/>
                <w:szCs w:val="20"/>
                <w:lang w:val="cs-CZ"/>
              </w:rPr>
              <w:t>2018</w:t>
            </w:r>
          </w:p>
        </w:tc>
      </w:tr>
      <w:tr w:rsidR="00FB3D34" w:rsidRPr="007C705C" w14:paraId="312A51D2" w14:textId="77777777" w:rsidTr="00BC1449">
        <w:trPr>
          <w:trHeight w:val="2141"/>
        </w:trPr>
        <w:tc>
          <w:tcPr>
            <w:tcW w:w="1228" w:type="dxa"/>
            <w:tcBorders>
              <w:top w:val="nil"/>
              <w:left w:val="single" w:sz="4" w:space="0" w:color="auto"/>
              <w:bottom w:val="single" w:sz="4" w:space="0" w:color="auto"/>
              <w:right w:val="single" w:sz="4" w:space="0" w:color="auto"/>
            </w:tcBorders>
            <w:shd w:val="clear" w:color="auto" w:fill="auto"/>
            <w:vAlign w:val="center"/>
            <w:hideMark/>
          </w:tcPr>
          <w:p w14:paraId="069445BB" w14:textId="78884411" w:rsidR="00FB3D34" w:rsidRPr="007C705C" w:rsidRDefault="00FB3D34" w:rsidP="00BC1449">
            <w:pPr>
              <w:ind w:left="99" w:firstLine="30"/>
              <w:jc w:val="center"/>
              <w:rPr>
                <w:rFonts w:cs="Times New Roman"/>
                <w:color w:val="000000"/>
                <w:sz w:val="18"/>
                <w:szCs w:val="18"/>
                <w:lang w:val="cs-CZ"/>
              </w:rPr>
            </w:pPr>
            <w:r w:rsidRPr="007C705C">
              <w:rPr>
                <w:rFonts w:cs="Times New Roman"/>
                <w:color w:val="000000"/>
                <w:sz w:val="18"/>
                <w:szCs w:val="18"/>
                <w:lang w:val="cs-CZ"/>
              </w:rPr>
              <w:t>Celkové roční emise oxidu uhličitého (CO</w:t>
            </w:r>
            <w:r w:rsidRPr="007C705C">
              <w:rPr>
                <w:rFonts w:cs="Times New Roman"/>
                <w:color w:val="000000"/>
                <w:sz w:val="18"/>
                <w:szCs w:val="18"/>
                <w:vertAlign w:val="subscript"/>
                <w:lang w:val="cs-CZ"/>
              </w:rPr>
              <w:t>2</w:t>
            </w:r>
            <w:r w:rsidRPr="007C705C">
              <w:rPr>
                <w:rFonts w:cs="Times New Roman"/>
                <w:color w:val="000000"/>
                <w:sz w:val="18"/>
                <w:szCs w:val="18"/>
                <w:lang w:val="cs-CZ"/>
              </w:rPr>
              <w:t>), methanu (CH</w:t>
            </w:r>
            <w:r w:rsidRPr="007C705C">
              <w:rPr>
                <w:rFonts w:cs="Times New Roman"/>
                <w:color w:val="000000"/>
                <w:sz w:val="18"/>
                <w:szCs w:val="18"/>
                <w:vertAlign w:val="subscript"/>
                <w:lang w:val="cs-CZ"/>
              </w:rPr>
              <w:t>4</w:t>
            </w:r>
            <w:r w:rsidRPr="007C705C">
              <w:rPr>
                <w:rFonts w:cs="Times New Roman"/>
                <w:color w:val="000000"/>
                <w:sz w:val="18"/>
                <w:szCs w:val="18"/>
                <w:lang w:val="cs-CZ"/>
              </w:rPr>
              <w:t>) a oxidu dusného (N</w:t>
            </w:r>
            <w:r w:rsidRPr="007C705C">
              <w:rPr>
                <w:rFonts w:cs="Times New Roman"/>
                <w:color w:val="000000"/>
                <w:sz w:val="18"/>
                <w:szCs w:val="18"/>
                <w:vertAlign w:val="subscript"/>
                <w:lang w:val="cs-CZ"/>
              </w:rPr>
              <w:t>2</w:t>
            </w:r>
            <w:r w:rsidRPr="007C705C">
              <w:rPr>
                <w:rFonts w:cs="Times New Roman"/>
                <w:color w:val="000000"/>
                <w:sz w:val="18"/>
                <w:szCs w:val="18"/>
                <w:lang w:val="cs-CZ"/>
              </w:rPr>
              <w:t>O)ze zemědělství</w:t>
            </w:r>
          </w:p>
        </w:tc>
        <w:tc>
          <w:tcPr>
            <w:tcW w:w="1572" w:type="dxa"/>
            <w:tcBorders>
              <w:top w:val="nil"/>
              <w:left w:val="nil"/>
              <w:bottom w:val="single" w:sz="4" w:space="0" w:color="auto"/>
              <w:right w:val="single" w:sz="4" w:space="0" w:color="auto"/>
            </w:tcBorders>
            <w:shd w:val="clear" w:color="auto" w:fill="auto"/>
            <w:vAlign w:val="center"/>
            <w:hideMark/>
          </w:tcPr>
          <w:p w14:paraId="0143CE29" w14:textId="77777777" w:rsidR="00FB3D34" w:rsidRPr="007C705C" w:rsidRDefault="00FB3D34" w:rsidP="00BC1449">
            <w:pPr>
              <w:jc w:val="center"/>
              <w:rPr>
                <w:rFonts w:cs="Times New Roman"/>
                <w:color w:val="000000"/>
                <w:sz w:val="18"/>
                <w:szCs w:val="18"/>
                <w:lang w:val="cs-CZ"/>
              </w:rPr>
            </w:pPr>
            <w:r w:rsidRPr="007C705C">
              <w:rPr>
                <w:rFonts w:cs="Times New Roman"/>
                <w:color w:val="000000"/>
                <w:sz w:val="18"/>
                <w:szCs w:val="18"/>
                <w:lang w:val="cs-CZ"/>
              </w:rPr>
              <w:t>1 000 t CO</w:t>
            </w:r>
            <w:r w:rsidRPr="007C705C">
              <w:rPr>
                <w:rFonts w:cs="Times New Roman"/>
                <w:color w:val="000000"/>
                <w:sz w:val="18"/>
                <w:szCs w:val="18"/>
                <w:vertAlign w:val="subscript"/>
                <w:lang w:val="cs-CZ"/>
              </w:rPr>
              <w:t>2</w:t>
            </w:r>
            <w:r w:rsidRPr="007C705C">
              <w:rPr>
                <w:rFonts w:cs="Times New Roman"/>
                <w:color w:val="000000"/>
                <w:sz w:val="18"/>
                <w:szCs w:val="18"/>
                <w:lang w:val="cs-CZ"/>
              </w:rPr>
              <w:t xml:space="preserve"> ekvivalentů</w:t>
            </w:r>
          </w:p>
        </w:tc>
        <w:tc>
          <w:tcPr>
            <w:tcW w:w="709" w:type="dxa"/>
            <w:tcBorders>
              <w:top w:val="nil"/>
              <w:left w:val="nil"/>
              <w:bottom w:val="single" w:sz="4" w:space="0" w:color="auto"/>
              <w:right w:val="single" w:sz="4" w:space="0" w:color="auto"/>
            </w:tcBorders>
            <w:shd w:val="clear" w:color="auto" w:fill="auto"/>
            <w:vAlign w:val="center"/>
            <w:hideMark/>
          </w:tcPr>
          <w:p w14:paraId="2148A95A" w14:textId="77777777" w:rsidR="00FB3D34" w:rsidRPr="007C705C" w:rsidRDefault="00FB3D34" w:rsidP="00BC1449">
            <w:pPr>
              <w:jc w:val="center"/>
              <w:rPr>
                <w:rFonts w:cs="Times New Roman"/>
                <w:color w:val="000000"/>
                <w:sz w:val="18"/>
                <w:szCs w:val="18"/>
                <w:lang w:val="cs-CZ"/>
              </w:rPr>
            </w:pPr>
            <w:r w:rsidRPr="007C705C">
              <w:rPr>
                <w:rFonts w:cs="Times New Roman"/>
                <w:color w:val="000000"/>
                <w:sz w:val="18"/>
                <w:szCs w:val="18"/>
                <w:lang w:val="cs-CZ"/>
              </w:rPr>
              <w:t>7663.9</w:t>
            </w:r>
          </w:p>
        </w:tc>
        <w:tc>
          <w:tcPr>
            <w:tcW w:w="709" w:type="dxa"/>
            <w:tcBorders>
              <w:top w:val="nil"/>
              <w:left w:val="nil"/>
              <w:bottom w:val="single" w:sz="4" w:space="0" w:color="auto"/>
              <w:right w:val="single" w:sz="4" w:space="0" w:color="auto"/>
            </w:tcBorders>
            <w:shd w:val="clear" w:color="auto" w:fill="auto"/>
            <w:vAlign w:val="center"/>
            <w:hideMark/>
          </w:tcPr>
          <w:p w14:paraId="7B95ACD9" w14:textId="77777777" w:rsidR="00FB3D34" w:rsidRPr="007C705C" w:rsidRDefault="00FB3D34" w:rsidP="00BC1449">
            <w:pPr>
              <w:jc w:val="center"/>
              <w:rPr>
                <w:rFonts w:cs="Times New Roman"/>
                <w:color w:val="000000"/>
                <w:sz w:val="18"/>
                <w:szCs w:val="18"/>
                <w:lang w:val="cs-CZ"/>
              </w:rPr>
            </w:pPr>
            <w:r w:rsidRPr="007C705C">
              <w:rPr>
                <w:rFonts w:cs="Times New Roman"/>
                <w:color w:val="000000"/>
                <w:sz w:val="18"/>
                <w:szCs w:val="18"/>
                <w:lang w:val="cs-CZ"/>
              </w:rPr>
              <w:t>7557.9</w:t>
            </w:r>
          </w:p>
        </w:tc>
        <w:tc>
          <w:tcPr>
            <w:tcW w:w="709" w:type="dxa"/>
            <w:tcBorders>
              <w:top w:val="nil"/>
              <w:left w:val="nil"/>
              <w:bottom w:val="single" w:sz="4" w:space="0" w:color="auto"/>
              <w:right w:val="single" w:sz="4" w:space="0" w:color="auto"/>
            </w:tcBorders>
            <w:shd w:val="clear" w:color="auto" w:fill="auto"/>
            <w:vAlign w:val="center"/>
            <w:hideMark/>
          </w:tcPr>
          <w:p w14:paraId="3814ED4B" w14:textId="77777777" w:rsidR="00FB3D34" w:rsidRPr="007C705C" w:rsidRDefault="00FB3D34" w:rsidP="00BC1449">
            <w:pPr>
              <w:jc w:val="center"/>
              <w:rPr>
                <w:rFonts w:cs="Times New Roman"/>
                <w:color w:val="000000"/>
                <w:sz w:val="18"/>
                <w:szCs w:val="18"/>
                <w:lang w:val="cs-CZ"/>
              </w:rPr>
            </w:pPr>
            <w:r w:rsidRPr="007C705C">
              <w:rPr>
                <w:rFonts w:cs="Times New Roman"/>
                <w:color w:val="000000"/>
                <w:sz w:val="18"/>
                <w:szCs w:val="18"/>
                <w:lang w:val="cs-CZ"/>
              </w:rPr>
              <w:t>8206.8</w:t>
            </w:r>
          </w:p>
        </w:tc>
        <w:tc>
          <w:tcPr>
            <w:tcW w:w="640" w:type="dxa"/>
            <w:tcBorders>
              <w:top w:val="nil"/>
              <w:left w:val="nil"/>
              <w:bottom w:val="single" w:sz="4" w:space="0" w:color="auto"/>
              <w:right w:val="single" w:sz="4" w:space="0" w:color="auto"/>
            </w:tcBorders>
            <w:shd w:val="clear" w:color="auto" w:fill="auto"/>
            <w:vAlign w:val="center"/>
            <w:hideMark/>
          </w:tcPr>
          <w:p w14:paraId="15E01A0F" w14:textId="77777777" w:rsidR="00FB3D34" w:rsidRPr="007C705C" w:rsidRDefault="00FB3D34" w:rsidP="00BC1449">
            <w:pPr>
              <w:jc w:val="center"/>
              <w:rPr>
                <w:rFonts w:cs="Times New Roman"/>
                <w:color w:val="000000"/>
                <w:sz w:val="18"/>
                <w:szCs w:val="18"/>
                <w:lang w:val="cs-CZ"/>
              </w:rPr>
            </w:pPr>
            <w:r w:rsidRPr="007C705C">
              <w:rPr>
                <w:rFonts w:cs="Times New Roman"/>
                <w:color w:val="000000"/>
                <w:sz w:val="18"/>
                <w:szCs w:val="18"/>
                <w:lang w:val="cs-CZ"/>
              </w:rPr>
              <w:t>8115.0</w:t>
            </w:r>
          </w:p>
        </w:tc>
        <w:tc>
          <w:tcPr>
            <w:tcW w:w="709" w:type="dxa"/>
            <w:tcBorders>
              <w:top w:val="nil"/>
              <w:left w:val="nil"/>
              <w:bottom w:val="single" w:sz="4" w:space="0" w:color="auto"/>
              <w:right w:val="single" w:sz="4" w:space="0" w:color="auto"/>
            </w:tcBorders>
            <w:shd w:val="clear" w:color="auto" w:fill="auto"/>
            <w:vAlign w:val="center"/>
            <w:hideMark/>
          </w:tcPr>
          <w:p w14:paraId="515473AF" w14:textId="77777777" w:rsidR="00FB3D34" w:rsidRPr="007C705C" w:rsidRDefault="00FB3D34" w:rsidP="00BC1449">
            <w:pPr>
              <w:jc w:val="center"/>
              <w:rPr>
                <w:rFonts w:cs="Times New Roman"/>
                <w:color w:val="000000"/>
                <w:sz w:val="18"/>
                <w:szCs w:val="18"/>
                <w:lang w:val="cs-CZ"/>
              </w:rPr>
            </w:pPr>
            <w:r w:rsidRPr="007C705C">
              <w:rPr>
                <w:rFonts w:cs="Times New Roman"/>
                <w:color w:val="000000"/>
                <w:sz w:val="18"/>
                <w:szCs w:val="18"/>
                <w:lang w:val="cs-CZ"/>
              </w:rPr>
              <w:t>8086.4</w:t>
            </w:r>
          </w:p>
        </w:tc>
        <w:tc>
          <w:tcPr>
            <w:tcW w:w="709" w:type="dxa"/>
            <w:tcBorders>
              <w:top w:val="nil"/>
              <w:left w:val="nil"/>
              <w:bottom w:val="single" w:sz="4" w:space="0" w:color="auto"/>
              <w:right w:val="single" w:sz="4" w:space="0" w:color="auto"/>
            </w:tcBorders>
            <w:shd w:val="clear" w:color="auto" w:fill="auto"/>
            <w:vAlign w:val="center"/>
            <w:hideMark/>
          </w:tcPr>
          <w:p w14:paraId="2FE6F04B" w14:textId="77777777" w:rsidR="00FB3D34" w:rsidRPr="007C705C" w:rsidRDefault="00FB3D34" w:rsidP="00BC1449">
            <w:pPr>
              <w:jc w:val="center"/>
              <w:rPr>
                <w:rFonts w:cs="Times New Roman"/>
                <w:color w:val="000000"/>
                <w:sz w:val="18"/>
                <w:szCs w:val="18"/>
                <w:lang w:val="cs-CZ"/>
              </w:rPr>
            </w:pPr>
            <w:r w:rsidRPr="007C705C">
              <w:rPr>
                <w:rFonts w:cs="Times New Roman"/>
                <w:color w:val="000000"/>
                <w:sz w:val="18"/>
                <w:szCs w:val="18"/>
                <w:lang w:val="cs-CZ"/>
              </w:rPr>
              <w:t>8159.3</w:t>
            </w:r>
          </w:p>
        </w:tc>
        <w:tc>
          <w:tcPr>
            <w:tcW w:w="709" w:type="dxa"/>
            <w:tcBorders>
              <w:top w:val="nil"/>
              <w:left w:val="nil"/>
              <w:bottom w:val="single" w:sz="4" w:space="0" w:color="auto"/>
              <w:right w:val="single" w:sz="4" w:space="0" w:color="auto"/>
            </w:tcBorders>
            <w:shd w:val="clear" w:color="auto" w:fill="auto"/>
            <w:vAlign w:val="center"/>
            <w:hideMark/>
          </w:tcPr>
          <w:p w14:paraId="499D406B" w14:textId="77777777" w:rsidR="00FB3D34" w:rsidRPr="007C705C" w:rsidRDefault="00FB3D34" w:rsidP="00BC1449">
            <w:pPr>
              <w:jc w:val="center"/>
              <w:rPr>
                <w:rFonts w:cs="Times New Roman"/>
                <w:color w:val="000000"/>
                <w:sz w:val="18"/>
                <w:szCs w:val="18"/>
                <w:lang w:val="cs-CZ"/>
              </w:rPr>
            </w:pPr>
            <w:r w:rsidRPr="007C705C">
              <w:rPr>
                <w:rFonts w:cs="Times New Roman"/>
                <w:color w:val="000000"/>
                <w:sz w:val="18"/>
                <w:szCs w:val="18"/>
                <w:lang w:val="cs-CZ"/>
              </w:rPr>
              <w:t>8741.2</w:t>
            </w:r>
          </w:p>
        </w:tc>
        <w:tc>
          <w:tcPr>
            <w:tcW w:w="709" w:type="dxa"/>
            <w:tcBorders>
              <w:top w:val="nil"/>
              <w:left w:val="nil"/>
              <w:bottom w:val="single" w:sz="4" w:space="0" w:color="auto"/>
              <w:right w:val="single" w:sz="4" w:space="0" w:color="auto"/>
            </w:tcBorders>
            <w:shd w:val="clear" w:color="auto" w:fill="auto"/>
            <w:vAlign w:val="center"/>
            <w:hideMark/>
          </w:tcPr>
          <w:p w14:paraId="30BD142D" w14:textId="77777777" w:rsidR="00FB3D34" w:rsidRPr="007C705C" w:rsidRDefault="00FB3D34" w:rsidP="00BC1449">
            <w:pPr>
              <w:jc w:val="center"/>
              <w:rPr>
                <w:rFonts w:cs="Times New Roman"/>
                <w:color w:val="000000"/>
                <w:sz w:val="18"/>
                <w:szCs w:val="18"/>
                <w:lang w:val="cs-CZ"/>
              </w:rPr>
            </w:pPr>
            <w:r w:rsidRPr="007C705C">
              <w:rPr>
                <w:rFonts w:cs="Times New Roman"/>
                <w:color w:val="000000"/>
                <w:sz w:val="18"/>
                <w:szCs w:val="18"/>
                <w:lang w:val="cs-CZ"/>
              </w:rPr>
              <w:t>8781.5</w:t>
            </w:r>
          </w:p>
        </w:tc>
        <w:tc>
          <w:tcPr>
            <w:tcW w:w="640" w:type="dxa"/>
            <w:tcBorders>
              <w:top w:val="nil"/>
              <w:left w:val="nil"/>
              <w:bottom w:val="single" w:sz="4" w:space="0" w:color="auto"/>
              <w:right w:val="single" w:sz="4" w:space="0" w:color="auto"/>
            </w:tcBorders>
            <w:shd w:val="clear" w:color="auto" w:fill="auto"/>
            <w:vAlign w:val="center"/>
            <w:hideMark/>
          </w:tcPr>
          <w:p w14:paraId="60BBCAE0" w14:textId="77777777" w:rsidR="00FB3D34" w:rsidRPr="007C705C" w:rsidRDefault="00FB3D34" w:rsidP="00BC1449">
            <w:pPr>
              <w:jc w:val="center"/>
              <w:rPr>
                <w:rFonts w:cs="Times New Roman"/>
                <w:color w:val="000000"/>
                <w:sz w:val="18"/>
                <w:szCs w:val="18"/>
                <w:lang w:val="cs-CZ"/>
              </w:rPr>
            </w:pPr>
            <w:r w:rsidRPr="007C705C">
              <w:rPr>
                <w:rFonts w:cs="Times New Roman"/>
                <w:color w:val="000000"/>
                <w:sz w:val="18"/>
                <w:szCs w:val="18"/>
                <w:lang w:val="cs-CZ"/>
              </w:rPr>
              <w:t>8726.1</w:t>
            </w:r>
          </w:p>
        </w:tc>
        <w:tc>
          <w:tcPr>
            <w:tcW w:w="709" w:type="dxa"/>
            <w:tcBorders>
              <w:top w:val="nil"/>
              <w:left w:val="nil"/>
              <w:bottom w:val="single" w:sz="4" w:space="0" w:color="auto"/>
              <w:right w:val="single" w:sz="4" w:space="0" w:color="auto"/>
            </w:tcBorders>
            <w:shd w:val="clear" w:color="auto" w:fill="auto"/>
            <w:vAlign w:val="center"/>
            <w:hideMark/>
          </w:tcPr>
          <w:p w14:paraId="1F62ECFC" w14:textId="77777777" w:rsidR="00FB3D34" w:rsidRPr="007C705C" w:rsidRDefault="00FB3D34" w:rsidP="00BC1449">
            <w:pPr>
              <w:jc w:val="center"/>
              <w:rPr>
                <w:rFonts w:cs="Times New Roman"/>
                <w:color w:val="000000"/>
                <w:sz w:val="18"/>
                <w:szCs w:val="18"/>
                <w:lang w:val="cs-CZ"/>
              </w:rPr>
            </w:pPr>
            <w:r w:rsidRPr="007C705C">
              <w:rPr>
                <w:rFonts w:cs="Times New Roman"/>
                <w:color w:val="000000"/>
                <w:sz w:val="18"/>
                <w:szCs w:val="18"/>
                <w:lang w:val="cs-CZ"/>
              </w:rPr>
              <w:t>8490.1</w:t>
            </w:r>
          </w:p>
        </w:tc>
      </w:tr>
      <w:tr w:rsidR="00FB3D34" w:rsidRPr="007C705C" w14:paraId="1C00E51B" w14:textId="77777777" w:rsidTr="00BC1449">
        <w:trPr>
          <w:trHeight w:val="587"/>
        </w:trPr>
        <w:tc>
          <w:tcPr>
            <w:tcW w:w="1228" w:type="dxa"/>
            <w:tcBorders>
              <w:top w:val="nil"/>
              <w:left w:val="single" w:sz="4" w:space="0" w:color="auto"/>
              <w:bottom w:val="single" w:sz="4" w:space="0" w:color="auto"/>
              <w:right w:val="single" w:sz="4" w:space="0" w:color="auto"/>
            </w:tcBorders>
            <w:shd w:val="clear" w:color="auto" w:fill="auto"/>
            <w:vAlign w:val="center"/>
            <w:hideMark/>
          </w:tcPr>
          <w:p w14:paraId="3F91A9B3" w14:textId="1EA83DFC" w:rsidR="00FB3D34" w:rsidRPr="007C705C" w:rsidRDefault="00FB3D34" w:rsidP="00BC1449">
            <w:pPr>
              <w:ind w:left="99" w:firstLine="30"/>
              <w:jc w:val="center"/>
              <w:rPr>
                <w:rFonts w:cs="Times New Roman"/>
                <w:b/>
                <w:bCs/>
                <w:color w:val="000000"/>
                <w:sz w:val="18"/>
                <w:szCs w:val="18"/>
                <w:lang w:val="cs-CZ"/>
              </w:rPr>
            </w:pPr>
            <w:r w:rsidRPr="007C705C">
              <w:rPr>
                <w:rFonts w:cs="Times New Roman"/>
                <w:b/>
                <w:bCs/>
                <w:color w:val="000000"/>
                <w:sz w:val="18"/>
                <w:szCs w:val="18"/>
                <w:lang w:val="cs-CZ"/>
              </w:rPr>
              <w:t>4.B Cropland</w:t>
            </w:r>
          </w:p>
        </w:tc>
        <w:tc>
          <w:tcPr>
            <w:tcW w:w="1572" w:type="dxa"/>
            <w:tcBorders>
              <w:top w:val="nil"/>
              <w:left w:val="nil"/>
              <w:bottom w:val="single" w:sz="4" w:space="0" w:color="auto"/>
              <w:right w:val="single" w:sz="4" w:space="0" w:color="auto"/>
            </w:tcBorders>
            <w:shd w:val="clear" w:color="auto" w:fill="auto"/>
            <w:vAlign w:val="center"/>
            <w:hideMark/>
          </w:tcPr>
          <w:p w14:paraId="52280BA6" w14:textId="77777777" w:rsidR="00FB3D34" w:rsidRPr="007C705C" w:rsidRDefault="00FB3D34" w:rsidP="00BC1449">
            <w:pPr>
              <w:jc w:val="center"/>
              <w:rPr>
                <w:rFonts w:cs="Times New Roman"/>
                <w:color w:val="000000"/>
                <w:sz w:val="18"/>
                <w:szCs w:val="18"/>
                <w:lang w:val="cs-CZ"/>
              </w:rPr>
            </w:pPr>
            <w:r w:rsidRPr="007C705C">
              <w:rPr>
                <w:rFonts w:cs="Times New Roman"/>
                <w:color w:val="000000"/>
                <w:sz w:val="18"/>
                <w:szCs w:val="18"/>
                <w:lang w:val="cs-CZ"/>
              </w:rPr>
              <w:t>1 000 t CO</w:t>
            </w:r>
            <w:r w:rsidRPr="007C705C">
              <w:rPr>
                <w:rFonts w:cs="Times New Roman"/>
                <w:color w:val="000000"/>
                <w:sz w:val="18"/>
                <w:szCs w:val="18"/>
                <w:vertAlign w:val="subscript"/>
                <w:lang w:val="cs-CZ"/>
              </w:rPr>
              <w:t>2</w:t>
            </w:r>
            <w:r w:rsidRPr="007C705C">
              <w:rPr>
                <w:rFonts w:cs="Times New Roman"/>
                <w:color w:val="000000"/>
                <w:sz w:val="18"/>
                <w:szCs w:val="18"/>
                <w:lang w:val="cs-CZ"/>
              </w:rPr>
              <w:t xml:space="preserve"> ekvivalentů</w:t>
            </w:r>
          </w:p>
        </w:tc>
        <w:tc>
          <w:tcPr>
            <w:tcW w:w="709" w:type="dxa"/>
            <w:tcBorders>
              <w:top w:val="nil"/>
              <w:left w:val="nil"/>
              <w:bottom w:val="single" w:sz="4" w:space="0" w:color="auto"/>
              <w:right w:val="single" w:sz="4" w:space="0" w:color="auto"/>
            </w:tcBorders>
            <w:shd w:val="clear" w:color="auto" w:fill="auto"/>
            <w:vAlign w:val="center"/>
            <w:hideMark/>
          </w:tcPr>
          <w:p w14:paraId="6553AE0D" w14:textId="77777777" w:rsidR="00FB3D34" w:rsidRPr="007C705C" w:rsidRDefault="00FB3D34" w:rsidP="00BC1449">
            <w:pPr>
              <w:jc w:val="center"/>
              <w:rPr>
                <w:rFonts w:cs="Times New Roman"/>
                <w:color w:val="000000"/>
                <w:sz w:val="18"/>
                <w:szCs w:val="18"/>
                <w:lang w:val="cs-CZ"/>
              </w:rPr>
            </w:pPr>
            <w:r w:rsidRPr="007C705C">
              <w:rPr>
                <w:rFonts w:cs="Times New Roman"/>
                <w:color w:val="000000"/>
                <w:sz w:val="18"/>
                <w:szCs w:val="18"/>
                <w:lang w:val="cs-CZ"/>
              </w:rPr>
              <w:t>168.5</w:t>
            </w:r>
          </w:p>
        </w:tc>
        <w:tc>
          <w:tcPr>
            <w:tcW w:w="709" w:type="dxa"/>
            <w:tcBorders>
              <w:top w:val="nil"/>
              <w:left w:val="nil"/>
              <w:bottom w:val="single" w:sz="4" w:space="0" w:color="auto"/>
              <w:right w:val="single" w:sz="4" w:space="0" w:color="auto"/>
            </w:tcBorders>
            <w:shd w:val="clear" w:color="auto" w:fill="auto"/>
            <w:vAlign w:val="center"/>
            <w:hideMark/>
          </w:tcPr>
          <w:p w14:paraId="56492541" w14:textId="77777777" w:rsidR="00FB3D34" w:rsidRPr="007C705C" w:rsidRDefault="00FB3D34" w:rsidP="00BC1449">
            <w:pPr>
              <w:jc w:val="center"/>
              <w:rPr>
                <w:rFonts w:cs="Times New Roman"/>
                <w:color w:val="000000"/>
                <w:sz w:val="18"/>
                <w:szCs w:val="18"/>
                <w:lang w:val="cs-CZ"/>
              </w:rPr>
            </w:pPr>
            <w:r w:rsidRPr="007C705C">
              <w:rPr>
                <w:rFonts w:cs="Times New Roman"/>
                <w:color w:val="000000"/>
                <w:sz w:val="18"/>
                <w:szCs w:val="18"/>
                <w:lang w:val="cs-CZ"/>
              </w:rPr>
              <w:t>179.1</w:t>
            </w:r>
          </w:p>
        </w:tc>
        <w:tc>
          <w:tcPr>
            <w:tcW w:w="709" w:type="dxa"/>
            <w:tcBorders>
              <w:top w:val="nil"/>
              <w:left w:val="nil"/>
              <w:bottom w:val="single" w:sz="4" w:space="0" w:color="auto"/>
              <w:right w:val="single" w:sz="4" w:space="0" w:color="auto"/>
            </w:tcBorders>
            <w:shd w:val="clear" w:color="auto" w:fill="auto"/>
            <w:vAlign w:val="center"/>
            <w:hideMark/>
          </w:tcPr>
          <w:p w14:paraId="4F27041B" w14:textId="77777777" w:rsidR="00FB3D34" w:rsidRPr="007C705C" w:rsidRDefault="00FB3D34" w:rsidP="00BC1449">
            <w:pPr>
              <w:jc w:val="center"/>
              <w:rPr>
                <w:rFonts w:cs="Times New Roman"/>
                <w:color w:val="000000"/>
                <w:sz w:val="18"/>
                <w:szCs w:val="18"/>
                <w:lang w:val="cs-CZ"/>
              </w:rPr>
            </w:pPr>
            <w:r w:rsidRPr="007C705C">
              <w:rPr>
                <w:rFonts w:cs="Times New Roman"/>
                <w:color w:val="000000"/>
                <w:sz w:val="18"/>
                <w:szCs w:val="18"/>
                <w:lang w:val="cs-CZ"/>
              </w:rPr>
              <w:t>229.5</w:t>
            </w:r>
          </w:p>
        </w:tc>
        <w:tc>
          <w:tcPr>
            <w:tcW w:w="640" w:type="dxa"/>
            <w:tcBorders>
              <w:top w:val="nil"/>
              <w:left w:val="nil"/>
              <w:bottom w:val="single" w:sz="4" w:space="0" w:color="auto"/>
              <w:right w:val="single" w:sz="4" w:space="0" w:color="auto"/>
            </w:tcBorders>
            <w:shd w:val="clear" w:color="auto" w:fill="auto"/>
            <w:vAlign w:val="center"/>
            <w:hideMark/>
          </w:tcPr>
          <w:p w14:paraId="26D56351" w14:textId="77777777" w:rsidR="00FB3D34" w:rsidRPr="007C705C" w:rsidRDefault="00FB3D34" w:rsidP="00BC1449">
            <w:pPr>
              <w:jc w:val="center"/>
              <w:rPr>
                <w:rFonts w:cs="Times New Roman"/>
                <w:color w:val="000000"/>
                <w:sz w:val="18"/>
                <w:szCs w:val="18"/>
                <w:lang w:val="cs-CZ"/>
              </w:rPr>
            </w:pPr>
            <w:r w:rsidRPr="007C705C">
              <w:rPr>
                <w:rFonts w:cs="Times New Roman"/>
                <w:color w:val="000000"/>
                <w:sz w:val="18"/>
                <w:szCs w:val="18"/>
                <w:lang w:val="cs-CZ"/>
              </w:rPr>
              <w:t>161.0</w:t>
            </w:r>
          </w:p>
        </w:tc>
        <w:tc>
          <w:tcPr>
            <w:tcW w:w="709" w:type="dxa"/>
            <w:tcBorders>
              <w:top w:val="nil"/>
              <w:left w:val="nil"/>
              <w:bottom w:val="single" w:sz="4" w:space="0" w:color="auto"/>
              <w:right w:val="single" w:sz="4" w:space="0" w:color="auto"/>
            </w:tcBorders>
            <w:shd w:val="clear" w:color="auto" w:fill="auto"/>
            <w:vAlign w:val="center"/>
            <w:hideMark/>
          </w:tcPr>
          <w:p w14:paraId="634FD64B" w14:textId="77777777" w:rsidR="00FB3D34" w:rsidRPr="007C705C" w:rsidRDefault="00FB3D34" w:rsidP="00BC1449">
            <w:pPr>
              <w:jc w:val="center"/>
              <w:rPr>
                <w:rFonts w:cs="Times New Roman"/>
                <w:color w:val="000000"/>
                <w:sz w:val="18"/>
                <w:szCs w:val="18"/>
                <w:lang w:val="cs-CZ"/>
              </w:rPr>
            </w:pPr>
            <w:r w:rsidRPr="007C705C">
              <w:rPr>
                <w:rFonts w:cs="Times New Roman"/>
                <w:color w:val="000000"/>
                <w:sz w:val="18"/>
                <w:szCs w:val="18"/>
                <w:lang w:val="cs-CZ"/>
              </w:rPr>
              <w:t>167.7</w:t>
            </w:r>
          </w:p>
        </w:tc>
        <w:tc>
          <w:tcPr>
            <w:tcW w:w="709" w:type="dxa"/>
            <w:tcBorders>
              <w:top w:val="nil"/>
              <w:left w:val="nil"/>
              <w:bottom w:val="single" w:sz="4" w:space="0" w:color="auto"/>
              <w:right w:val="single" w:sz="4" w:space="0" w:color="auto"/>
            </w:tcBorders>
            <w:shd w:val="clear" w:color="auto" w:fill="auto"/>
            <w:vAlign w:val="center"/>
            <w:hideMark/>
          </w:tcPr>
          <w:p w14:paraId="08DCDA1C" w14:textId="77777777" w:rsidR="00FB3D34" w:rsidRPr="007C705C" w:rsidRDefault="00FB3D34" w:rsidP="00BC1449">
            <w:pPr>
              <w:jc w:val="center"/>
              <w:rPr>
                <w:rFonts w:cs="Times New Roman"/>
                <w:color w:val="000000"/>
                <w:sz w:val="18"/>
                <w:szCs w:val="18"/>
                <w:lang w:val="cs-CZ"/>
              </w:rPr>
            </w:pPr>
            <w:r w:rsidRPr="007C705C">
              <w:rPr>
                <w:rFonts w:cs="Times New Roman"/>
                <w:color w:val="000000"/>
                <w:sz w:val="18"/>
                <w:szCs w:val="18"/>
                <w:lang w:val="cs-CZ"/>
              </w:rPr>
              <w:t>167.1</w:t>
            </w:r>
          </w:p>
        </w:tc>
        <w:tc>
          <w:tcPr>
            <w:tcW w:w="709" w:type="dxa"/>
            <w:tcBorders>
              <w:top w:val="nil"/>
              <w:left w:val="nil"/>
              <w:bottom w:val="single" w:sz="4" w:space="0" w:color="auto"/>
              <w:right w:val="single" w:sz="4" w:space="0" w:color="auto"/>
            </w:tcBorders>
            <w:shd w:val="clear" w:color="auto" w:fill="auto"/>
            <w:vAlign w:val="center"/>
            <w:hideMark/>
          </w:tcPr>
          <w:p w14:paraId="1BA81600" w14:textId="77777777" w:rsidR="00FB3D34" w:rsidRPr="007C705C" w:rsidRDefault="00FB3D34" w:rsidP="00BC1449">
            <w:pPr>
              <w:jc w:val="center"/>
              <w:rPr>
                <w:rFonts w:cs="Times New Roman"/>
                <w:color w:val="000000"/>
                <w:sz w:val="18"/>
                <w:szCs w:val="18"/>
                <w:lang w:val="cs-CZ"/>
              </w:rPr>
            </w:pPr>
            <w:r w:rsidRPr="007C705C">
              <w:rPr>
                <w:rFonts w:cs="Times New Roman"/>
                <w:color w:val="000000"/>
                <w:sz w:val="18"/>
                <w:szCs w:val="18"/>
                <w:lang w:val="cs-CZ"/>
              </w:rPr>
              <w:t>155.1</w:t>
            </w:r>
          </w:p>
        </w:tc>
        <w:tc>
          <w:tcPr>
            <w:tcW w:w="709" w:type="dxa"/>
            <w:tcBorders>
              <w:top w:val="nil"/>
              <w:left w:val="nil"/>
              <w:bottom w:val="single" w:sz="4" w:space="0" w:color="auto"/>
              <w:right w:val="single" w:sz="4" w:space="0" w:color="auto"/>
            </w:tcBorders>
            <w:shd w:val="clear" w:color="auto" w:fill="auto"/>
            <w:vAlign w:val="center"/>
            <w:hideMark/>
          </w:tcPr>
          <w:p w14:paraId="1A60CFD3" w14:textId="77777777" w:rsidR="00FB3D34" w:rsidRPr="007C705C" w:rsidRDefault="00FB3D34" w:rsidP="00BC1449">
            <w:pPr>
              <w:jc w:val="center"/>
              <w:rPr>
                <w:rFonts w:cs="Times New Roman"/>
                <w:color w:val="000000"/>
                <w:sz w:val="18"/>
                <w:szCs w:val="18"/>
                <w:lang w:val="cs-CZ"/>
              </w:rPr>
            </w:pPr>
            <w:r w:rsidRPr="007C705C">
              <w:rPr>
                <w:rFonts w:cs="Times New Roman"/>
                <w:color w:val="000000"/>
                <w:sz w:val="18"/>
                <w:szCs w:val="18"/>
                <w:lang w:val="cs-CZ"/>
              </w:rPr>
              <w:t>146.0</w:t>
            </w:r>
          </w:p>
        </w:tc>
        <w:tc>
          <w:tcPr>
            <w:tcW w:w="640" w:type="dxa"/>
            <w:tcBorders>
              <w:top w:val="nil"/>
              <w:left w:val="nil"/>
              <w:bottom w:val="single" w:sz="4" w:space="0" w:color="auto"/>
              <w:right w:val="single" w:sz="4" w:space="0" w:color="auto"/>
            </w:tcBorders>
            <w:shd w:val="clear" w:color="auto" w:fill="auto"/>
            <w:vAlign w:val="center"/>
            <w:hideMark/>
          </w:tcPr>
          <w:p w14:paraId="0F11929E" w14:textId="77777777" w:rsidR="00FB3D34" w:rsidRPr="007C705C" w:rsidRDefault="00FB3D34" w:rsidP="00BC1449">
            <w:pPr>
              <w:jc w:val="center"/>
              <w:rPr>
                <w:rFonts w:cs="Times New Roman"/>
                <w:color w:val="000000"/>
                <w:sz w:val="18"/>
                <w:szCs w:val="18"/>
                <w:lang w:val="cs-CZ"/>
              </w:rPr>
            </w:pPr>
            <w:r w:rsidRPr="007C705C">
              <w:rPr>
                <w:rFonts w:cs="Times New Roman"/>
                <w:color w:val="000000"/>
                <w:sz w:val="18"/>
                <w:szCs w:val="18"/>
                <w:lang w:val="cs-CZ"/>
              </w:rPr>
              <w:t>131.8</w:t>
            </w:r>
          </w:p>
        </w:tc>
        <w:tc>
          <w:tcPr>
            <w:tcW w:w="709" w:type="dxa"/>
            <w:tcBorders>
              <w:top w:val="nil"/>
              <w:left w:val="nil"/>
              <w:bottom w:val="single" w:sz="4" w:space="0" w:color="auto"/>
              <w:right w:val="single" w:sz="4" w:space="0" w:color="auto"/>
            </w:tcBorders>
            <w:shd w:val="clear" w:color="auto" w:fill="auto"/>
            <w:vAlign w:val="center"/>
            <w:hideMark/>
          </w:tcPr>
          <w:p w14:paraId="30327D62" w14:textId="77777777" w:rsidR="00FB3D34" w:rsidRPr="007C705C" w:rsidRDefault="00FB3D34" w:rsidP="00BC1449">
            <w:pPr>
              <w:jc w:val="center"/>
              <w:rPr>
                <w:rFonts w:cs="Times New Roman"/>
                <w:color w:val="000000"/>
                <w:sz w:val="18"/>
                <w:szCs w:val="18"/>
                <w:lang w:val="cs-CZ"/>
              </w:rPr>
            </w:pPr>
            <w:r w:rsidRPr="007C705C">
              <w:rPr>
                <w:rFonts w:cs="Times New Roman"/>
                <w:color w:val="000000"/>
                <w:sz w:val="18"/>
                <w:szCs w:val="18"/>
                <w:lang w:val="cs-CZ"/>
              </w:rPr>
              <w:t>95.1</w:t>
            </w:r>
          </w:p>
        </w:tc>
      </w:tr>
      <w:tr w:rsidR="00FB3D34" w:rsidRPr="007C705C" w14:paraId="2633CA9B" w14:textId="77777777" w:rsidTr="00BC1449">
        <w:trPr>
          <w:trHeight w:val="587"/>
        </w:trPr>
        <w:tc>
          <w:tcPr>
            <w:tcW w:w="1228" w:type="dxa"/>
            <w:tcBorders>
              <w:top w:val="nil"/>
              <w:left w:val="single" w:sz="4" w:space="0" w:color="auto"/>
              <w:bottom w:val="single" w:sz="4" w:space="0" w:color="auto"/>
              <w:right w:val="single" w:sz="4" w:space="0" w:color="auto"/>
            </w:tcBorders>
            <w:shd w:val="clear" w:color="auto" w:fill="auto"/>
            <w:vAlign w:val="center"/>
            <w:hideMark/>
          </w:tcPr>
          <w:p w14:paraId="696201BE" w14:textId="77777777" w:rsidR="00FB3D34" w:rsidRPr="007C705C" w:rsidRDefault="00FB3D34" w:rsidP="00BC1449">
            <w:pPr>
              <w:ind w:left="99" w:firstLine="30"/>
              <w:jc w:val="center"/>
              <w:rPr>
                <w:rFonts w:cs="Times New Roman"/>
                <w:b/>
                <w:bCs/>
                <w:color w:val="000000"/>
                <w:sz w:val="18"/>
                <w:szCs w:val="18"/>
                <w:lang w:val="cs-CZ"/>
              </w:rPr>
            </w:pPr>
            <w:r w:rsidRPr="007C705C">
              <w:rPr>
                <w:rFonts w:cs="Times New Roman"/>
                <w:b/>
                <w:bCs/>
                <w:color w:val="000000"/>
                <w:sz w:val="18"/>
                <w:szCs w:val="18"/>
                <w:lang w:val="cs-CZ"/>
              </w:rPr>
              <w:t>4.C Grassland</w:t>
            </w:r>
          </w:p>
        </w:tc>
        <w:tc>
          <w:tcPr>
            <w:tcW w:w="1572" w:type="dxa"/>
            <w:tcBorders>
              <w:top w:val="nil"/>
              <w:left w:val="nil"/>
              <w:bottom w:val="single" w:sz="4" w:space="0" w:color="auto"/>
              <w:right w:val="single" w:sz="4" w:space="0" w:color="auto"/>
            </w:tcBorders>
            <w:shd w:val="clear" w:color="auto" w:fill="auto"/>
            <w:vAlign w:val="center"/>
            <w:hideMark/>
          </w:tcPr>
          <w:p w14:paraId="6FE9B40E" w14:textId="77777777" w:rsidR="00FB3D34" w:rsidRPr="007C705C" w:rsidRDefault="00FB3D34" w:rsidP="00BC1449">
            <w:pPr>
              <w:jc w:val="center"/>
              <w:rPr>
                <w:rFonts w:cs="Times New Roman"/>
                <w:color w:val="000000"/>
                <w:sz w:val="18"/>
                <w:szCs w:val="18"/>
                <w:lang w:val="cs-CZ"/>
              </w:rPr>
            </w:pPr>
            <w:r w:rsidRPr="007C705C">
              <w:rPr>
                <w:rFonts w:cs="Times New Roman"/>
                <w:color w:val="000000"/>
                <w:sz w:val="18"/>
                <w:szCs w:val="18"/>
                <w:lang w:val="cs-CZ"/>
              </w:rPr>
              <w:t>1 000 t CO</w:t>
            </w:r>
            <w:r w:rsidRPr="007C705C">
              <w:rPr>
                <w:rFonts w:cs="Times New Roman"/>
                <w:color w:val="000000"/>
                <w:sz w:val="18"/>
                <w:szCs w:val="18"/>
                <w:vertAlign w:val="subscript"/>
                <w:lang w:val="cs-CZ"/>
              </w:rPr>
              <w:t>2</w:t>
            </w:r>
            <w:r w:rsidRPr="007C705C">
              <w:rPr>
                <w:rFonts w:cs="Times New Roman"/>
                <w:color w:val="000000"/>
                <w:sz w:val="18"/>
                <w:szCs w:val="18"/>
                <w:lang w:val="cs-CZ"/>
              </w:rPr>
              <w:t xml:space="preserve"> ekvivalentů</w:t>
            </w:r>
          </w:p>
        </w:tc>
        <w:tc>
          <w:tcPr>
            <w:tcW w:w="709" w:type="dxa"/>
            <w:tcBorders>
              <w:top w:val="nil"/>
              <w:left w:val="nil"/>
              <w:bottom w:val="single" w:sz="4" w:space="0" w:color="auto"/>
              <w:right w:val="single" w:sz="4" w:space="0" w:color="auto"/>
            </w:tcBorders>
            <w:shd w:val="clear" w:color="auto" w:fill="auto"/>
            <w:vAlign w:val="center"/>
            <w:hideMark/>
          </w:tcPr>
          <w:p w14:paraId="73AD7BB6" w14:textId="77777777" w:rsidR="00FB3D34" w:rsidRPr="007C705C" w:rsidRDefault="00FB3D34" w:rsidP="00BC1449">
            <w:pPr>
              <w:jc w:val="center"/>
              <w:rPr>
                <w:rFonts w:cs="Times New Roman"/>
                <w:color w:val="000000"/>
                <w:sz w:val="18"/>
                <w:szCs w:val="18"/>
                <w:lang w:val="cs-CZ"/>
              </w:rPr>
            </w:pPr>
            <w:r w:rsidRPr="007C705C">
              <w:rPr>
                <w:rFonts w:cs="Times New Roman"/>
                <w:color w:val="000000"/>
                <w:sz w:val="18"/>
                <w:szCs w:val="18"/>
                <w:lang w:val="cs-CZ"/>
              </w:rPr>
              <w:t>-360.6</w:t>
            </w:r>
          </w:p>
        </w:tc>
        <w:tc>
          <w:tcPr>
            <w:tcW w:w="709" w:type="dxa"/>
            <w:tcBorders>
              <w:top w:val="nil"/>
              <w:left w:val="nil"/>
              <w:bottom w:val="single" w:sz="4" w:space="0" w:color="auto"/>
              <w:right w:val="single" w:sz="4" w:space="0" w:color="auto"/>
            </w:tcBorders>
            <w:shd w:val="clear" w:color="auto" w:fill="auto"/>
            <w:vAlign w:val="center"/>
            <w:hideMark/>
          </w:tcPr>
          <w:p w14:paraId="616FF46B" w14:textId="77777777" w:rsidR="00FB3D34" w:rsidRPr="007C705C" w:rsidRDefault="00FB3D34" w:rsidP="00BC1449">
            <w:pPr>
              <w:jc w:val="center"/>
              <w:rPr>
                <w:rFonts w:cs="Times New Roman"/>
                <w:color w:val="000000"/>
                <w:sz w:val="18"/>
                <w:szCs w:val="18"/>
                <w:lang w:val="cs-CZ"/>
              </w:rPr>
            </w:pPr>
            <w:r w:rsidRPr="007C705C">
              <w:rPr>
                <w:rFonts w:cs="Times New Roman"/>
                <w:color w:val="000000"/>
                <w:sz w:val="18"/>
                <w:szCs w:val="18"/>
                <w:lang w:val="cs-CZ"/>
              </w:rPr>
              <w:t>-372.3</w:t>
            </w:r>
          </w:p>
        </w:tc>
        <w:tc>
          <w:tcPr>
            <w:tcW w:w="709" w:type="dxa"/>
            <w:tcBorders>
              <w:top w:val="nil"/>
              <w:left w:val="nil"/>
              <w:bottom w:val="single" w:sz="4" w:space="0" w:color="auto"/>
              <w:right w:val="single" w:sz="4" w:space="0" w:color="auto"/>
            </w:tcBorders>
            <w:shd w:val="clear" w:color="auto" w:fill="auto"/>
            <w:vAlign w:val="center"/>
            <w:hideMark/>
          </w:tcPr>
          <w:p w14:paraId="1F009E17" w14:textId="77777777" w:rsidR="00FB3D34" w:rsidRPr="007C705C" w:rsidRDefault="00FB3D34" w:rsidP="00BC1449">
            <w:pPr>
              <w:jc w:val="center"/>
              <w:rPr>
                <w:rFonts w:cs="Times New Roman"/>
                <w:color w:val="000000"/>
                <w:sz w:val="18"/>
                <w:szCs w:val="18"/>
                <w:lang w:val="cs-CZ"/>
              </w:rPr>
            </w:pPr>
            <w:r w:rsidRPr="007C705C">
              <w:rPr>
                <w:rFonts w:cs="Times New Roman"/>
                <w:color w:val="000000"/>
                <w:sz w:val="18"/>
                <w:szCs w:val="18"/>
                <w:lang w:val="cs-CZ"/>
              </w:rPr>
              <w:t>-307.6</w:t>
            </w:r>
          </w:p>
        </w:tc>
        <w:tc>
          <w:tcPr>
            <w:tcW w:w="640" w:type="dxa"/>
            <w:tcBorders>
              <w:top w:val="nil"/>
              <w:left w:val="nil"/>
              <w:bottom w:val="single" w:sz="4" w:space="0" w:color="auto"/>
              <w:right w:val="single" w:sz="4" w:space="0" w:color="auto"/>
            </w:tcBorders>
            <w:shd w:val="clear" w:color="auto" w:fill="auto"/>
            <w:vAlign w:val="center"/>
            <w:hideMark/>
          </w:tcPr>
          <w:p w14:paraId="75BD9D70" w14:textId="77777777" w:rsidR="00FB3D34" w:rsidRPr="007C705C" w:rsidRDefault="00FB3D34" w:rsidP="00BC1449">
            <w:pPr>
              <w:jc w:val="center"/>
              <w:rPr>
                <w:rFonts w:cs="Times New Roman"/>
                <w:color w:val="000000"/>
                <w:sz w:val="18"/>
                <w:szCs w:val="18"/>
                <w:lang w:val="cs-CZ"/>
              </w:rPr>
            </w:pPr>
            <w:r w:rsidRPr="007C705C">
              <w:rPr>
                <w:rFonts w:cs="Times New Roman"/>
                <w:color w:val="000000"/>
                <w:sz w:val="18"/>
                <w:szCs w:val="18"/>
                <w:lang w:val="cs-CZ"/>
              </w:rPr>
              <w:t>-320.0</w:t>
            </w:r>
          </w:p>
        </w:tc>
        <w:tc>
          <w:tcPr>
            <w:tcW w:w="709" w:type="dxa"/>
            <w:tcBorders>
              <w:top w:val="nil"/>
              <w:left w:val="nil"/>
              <w:bottom w:val="single" w:sz="4" w:space="0" w:color="auto"/>
              <w:right w:val="single" w:sz="4" w:space="0" w:color="auto"/>
            </w:tcBorders>
            <w:shd w:val="clear" w:color="auto" w:fill="auto"/>
            <w:vAlign w:val="center"/>
            <w:hideMark/>
          </w:tcPr>
          <w:p w14:paraId="064DBDAA" w14:textId="77777777" w:rsidR="00FB3D34" w:rsidRPr="007C705C" w:rsidRDefault="00FB3D34" w:rsidP="00BC1449">
            <w:pPr>
              <w:jc w:val="center"/>
              <w:rPr>
                <w:rFonts w:cs="Times New Roman"/>
                <w:color w:val="000000"/>
                <w:sz w:val="18"/>
                <w:szCs w:val="18"/>
                <w:lang w:val="cs-CZ"/>
              </w:rPr>
            </w:pPr>
            <w:r w:rsidRPr="007C705C">
              <w:rPr>
                <w:rFonts w:cs="Times New Roman"/>
                <w:color w:val="000000"/>
                <w:sz w:val="18"/>
                <w:szCs w:val="18"/>
                <w:lang w:val="cs-CZ"/>
              </w:rPr>
              <w:t>-336.3</w:t>
            </w:r>
          </w:p>
        </w:tc>
        <w:tc>
          <w:tcPr>
            <w:tcW w:w="709" w:type="dxa"/>
            <w:tcBorders>
              <w:top w:val="nil"/>
              <w:left w:val="nil"/>
              <w:bottom w:val="single" w:sz="4" w:space="0" w:color="auto"/>
              <w:right w:val="single" w:sz="4" w:space="0" w:color="auto"/>
            </w:tcBorders>
            <w:shd w:val="clear" w:color="auto" w:fill="auto"/>
            <w:vAlign w:val="center"/>
            <w:hideMark/>
          </w:tcPr>
          <w:p w14:paraId="6F71CC7E" w14:textId="77777777" w:rsidR="00FB3D34" w:rsidRPr="007C705C" w:rsidRDefault="00FB3D34" w:rsidP="00BC1449">
            <w:pPr>
              <w:jc w:val="center"/>
              <w:rPr>
                <w:rFonts w:cs="Times New Roman"/>
                <w:color w:val="000000"/>
                <w:sz w:val="18"/>
                <w:szCs w:val="18"/>
                <w:lang w:val="cs-CZ"/>
              </w:rPr>
            </w:pPr>
            <w:r w:rsidRPr="007C705C">
              <w:rPr>
                <w:rFonts w:cs="Times New Roman"/>
                <w:color w:val="000000"/>
                <w:sz w:val="18"/>
                <w:szCs w:val="18"/>
                <w:lang w:val="cs-CZ"/>
              </w:rPr>
              <w:t>-317.9</w:t>
            </w:r>
          </w:p>
        </w:tc>
        <w:tc>
          <w:tcPr>
            <w:tcW w:w="709" w:type="dxa"/>
            <w:tcBorders>
              <w:top w:val="nil"/>
              <w:left w:val="nil"/>
              <w:bottom w:val="single" w:sz="4" w:space="0" w:color="auto"/>
              <w:right w:val="single" w:sz="4" w:space="0" w:color="auto"/>
            </w:tcBorders>
            <w:shd w:val="clear" w:color="auto" w:fill="auto"/>
            <w:vAlign w:val="center"/>
            <w:hideMark/>
          </w:tcPr>
          <w:p w14:paraId="7BBEDE47" w14:textId="77777777" w:rsidR="00FB3D34" w:rsidRPr="007C705C" w:rsidRDefault="00FB3D34" w:rsidP="00BC1449">
            <w:pPr>
              <w:jc w:val="center"/>
              <w:rPr>
                <w:rFonts w:cs="Times New Roman"/>
                <w:color w:val="000000"/>
                <w:sz w:val="18"/>
                <w:szCs w:val="18"/>
                <w:lang w:val="cs-CZ"/>
              </w:rPr>
            </w:pPr>
            <w:r w:rsidRPr="007C705C">
              <w:rPr>
                <w:rFonts w:cs="Times New Roman"/>
                <w:color w:val="000000"/>
                <w:sz w:val="18"/>
                <w:szCs w:val="18"/>
                <w:lang w:val="cs-CZ"/>
              </w:rPr>
              <w:t>-302.0</w:t>
            </w:r>
          </w:p>
        </w:tc>
        <w:tc>
          <w:tcPr>
            <w:tcW w:w="709" w:type="dxa"/>
            <w:tcBorders>
              <w:top w:val="nil"/>
              <w:left w:val="nil"/>
              <w:bottom w:val="single" w:sz="4" w:space="0" w:color="auto"/>
              <w:right w:val="single" w:sz="4" w:space="0" w:color="auto"/>
            </w:tcBorders>
            <w:shd w:val="clear" w:color="auto" w:fill="auto"/>
            <w:vAlign w:val="center"/>
            <w:hideMark/>
          </w:tcPr>
          <w:p w14:paraId="64624832" w14:textId="77777777" w:rsidR="00FB3D34" w:rsidRPr="007C705C" w:rsidRDefault="00FB3D34" w:rsidP="00BC1449">
            <w:pPr>
              <w:jc w:val="center"/>
              <w:rPr>
                <w:rFonts w:cs="Times New Roman"/>
                <w:color w:val="000000"/>
                <w:sz w:val="18"/>
                <w:szCs w:val="18"/>
                <w:lang w:val="cs-CZ"/>
              </w:rPr>
            </w:pPr>
            <w:r w:rsidRPr="007C705C">
              <w:rPr>
                <w:rFonts w:cs="Times New Roman"/>
                <w:color w:val="000000"/>
                <w:sz w:val="18"/>
                <w:szCs w:val="18"/>
                <w:lang w:val="cs-CZ"/>
              </w:rPr>
              <w:t>-246.4</w:t>
            </w:r>
          </w:p>
        </w:tc>
        <w:tc>
          <w:tcPr>
            <w:tcW w:w="640" w:type="dxa"/>
            <w:tcBorders>
              <w:top w:val="nil"/>
              <w:left w:val="nil"/>
              <w:bottom w:val="single" w:sz="4" w:space="0" w:color="auto"/>
              <w:right w:val="single" w:sz="4" w:space="0" w:color="auto"/>
            </w:tcBorders>
            <w:shd w:val="clear" w:color="auto" w:fill="auto"/>
            <w:vAlign w:val="center"/>
            <w:hideMark/>
          </w:tcPr>
          <w:p w14:paraId="2978907D" w14:textId="77777777" w:rsidR="00FB3D34" w:rsidRPr="007C705C" w:rsidRDefault="00FB3D34" w:rsidP="00BC1449">
            <w:pPr>
              <w:jc w:val="center"/>
              <w:rPr>
                <w:rFonts w:cs="Times New Roman"/>
                <w:color w:val="000000"/>
                <w:sz w:val="18"/>
                <w:szCs w:val="18"/>
                <w:lang w:val="cs-CZ"/>
              </w:rPr>
            </w:pPr>
            <w:r w:rsidRPr="007C705C">
              <w:rPr>
                <w:rFonts w:cs="Times New Roman"/>
                <w:color w:val="000000"/>
                <w:sz w:val="18"/>
                <w:szCs w:val="18"/>
                <w:lang w:val="cs-CZ"/>
              </w:rPr>
              <w:t>-249.9</w:t>
            </w:r>
          </w:p>
        </w:tc>
        <w:tc>
          <w:tcPr>
            <w:tcW w:w="709" w:type="dxa"/>
            <w:tcBorders>
              <w:top w:val="nil"/>
              <w:left w:val="nil"/>
              <w:bottom w:val="single" w:sz="4" w:space="0" w:color="auto"/>
              <w:right w:val="single" w:sz="4" w:space="0" w:color="auto"/>
            </w:tcBorders>
            <w:shd w:val="clear" w:color="auto" w:fill="auto"/>
            <w:vAlign w:val="center"/>
            <w:hideMark/>
          </w:tcPr>
          <w:p w14:paraId="114BDB96" w14:textId="77777777" w:rsidR="00FB3D34" w:rsidRPr="007C705C" w:rsidRDefault="00FB3D34" w:rsidP="00BC1449">
            <w:pPr>
              <w:jc w:val="center"/>
              <w:rPr>
                <w:rFonts w:cs="Times New Roman"/>
                <w:color w:val="000000"/>
                <w:sz w:val="18"/>
                <w:szCs w:val="18"/>
                <w:lang w:val="cs-CZ"/>
              </w:rPr>
            </w:pPr>
            <w:r w:rsidRPr="007C705C">
              <w:rPr>
                <w:rFonts w:cs="Times New Roman"/>
                <w:color w:val="000000"/>
                <w:sz w:val="18"/>
                <w:szCs w:val="18"/>
                <w:lang w:val="cs-CZ"/>
              </w:rPr>
              <w:t>-264.6</w:t>
            </w:r>
          </w:p>
        </w:tc>
      </w:tr>
      <w:tr w:rsidR="00FB3D34" w:rsidRPr="007C705C" w14:paraId="4420F8D6" w14:textId="77777777" w:rsidTr="00BC1449">
        <w:trPr>
          <w:trHeight w:val="587"/>
        </w:trPr>
        <w:tc>
          <w:tcPr>
            <w:tcW w:w="1228" w:type="dxa"/>
            <w:tcBorders>
              <w:top w:val="nil"/>
              <w:left w:val="single" w:sz="4" w:space="0" w:color="auto"/>
              <w:bottom w:val="single" w:sz="4" w:space="0" w:color="auto"/>
              <w:right w:val="single" w:sz="4" w:space="0" w:color="auto"/>
            </w:tcBorders>
            <w:shd w:val="clear" w:color="auto" w:fill="auto"/>
            <w:vAlign w:val="center"/>
            <w:hideMark/>
          </w:tcPr>
          <w:p w14:paraId="2BF0703B" w14:textId="77777777" w:rsidR="00FB3D34" w:rsidRPr="007C705C" w:rsidRDefault="00FB3D34" w:rsidP="00BC1449">
            <w:pPr>
              <w:ind w:left="99" w:firstLine="30"/>
              <w:jc w:val="center"/>
              <w:rPr>
                <w:rFonts w:cs="Times New Roman"/>
                <w:b/>
                <w:bCs/>
                <w:color w:val="000000"/>
                <w:sz w:val="18"/>
                <w:szCs w:val="18"/>
                <w:lang w:val="cs-CZ"/>
              </w:rPr>
            </w:pPr>
            <w:r w:rsidRPr="007C705C">
              <w:rPr>
                <w:rFonts w:cs="Times New Roman"/>
                <w:b/>
                <w:bCs/>
                <w:color w:val="000000"/>
                <w:sz w:val="18"/>
                <w:szCs w:val="18"/>
                <w:lang w:val="cs-CZ"/>
              </w:rPr>
              <w:t>GHG emissions from agriculture including cropland and grassland</w:t>
            </w:r>
          </w:p>
        </w:tc>
        <w:tc>
          <w:tcPr>
            <w:tcW w:w="1572" w:type="dxa"/>
            <w:tcBorders>
              <w:top w:val="nil"/>
              <w:left w:val="nil"/>
              <w:bottom w:val="single" w:sz="4" w:space="0" w:color="auto"/>
              <w:right w:val="single" w:sz="4" w:space="0" w:color="auto"/>
            </w:tcBorders>
            <w:shd w:val="clear" w:color="auto" w:fill="auto"/>
            <w:vAlign w:val="center"/>
            <w:hideMark/>
          </w:tcPr>
          <w:p w14:paraId="420E4BB2" w14:textId="77777777" w:rsidR="00FB3D34" w:rsidRPr="007C705C" w:rsidRDefault="00FB3D34" w:rsidP="00BC1449">
            <w:pPr>
              <w:jc w:val="center"/>
              <w:rPr>
                <w:rFonts w:cs="Times New Roman"/>
                <w:color w:val="000000"/>
                <w:sz w:val="18"/>
                <w:szCs w:val="18"/>
                <w:lang w:val="cs-CZ"/>
              </w:rPr>
            </w:pPr>
            <w:r w:rsidRPr="007C705C">
              <w:rPr>
                <w:rFonts w:cs="Times New Roman"/>
                <w:color w:val="000000"/>
                <w:sz w:val="18"/>
                <w:szCs w:val="18"/>
                <w:lang w:val="cs-CZ"/>
              </w:rPr>
              <w:t>1 000 t CO</w:t>
            </w:r>
            <w:r w:rsidRPr="007C705C">
              <w:rPr>
                <w:rFonts w:cs="Times New Roman"/>
                <w:color w:val="000000"/>
                <w:sz w:val="18"/>
                <w:szCs w:val="18"/>
                <w:vertAlign w:val="subscript"/>
                <w:lang w:val="cs-CZ"/>
              </w:rPr>
              <w:t>2</w:t>
            </w:r>
            <w:r w:rsidRPr="007C705C">
              <w:rPr>
                <w:rFonts w:cs="Times New Roman"/>
                <w:color w:val="000000"/>
                <w:sz w:val="18"/>
                <w:szCs w:val="18"/>
                <w:lang w:val="cs-CZ"/>
              </w:rPr>
              <w:t xml:space="preserve"> ekvivalentů</w:t>
            </w:r>
          </w:p>
        </w:tc>
        <w:tc>
          <w:tcPr>
            <w:tcW w:w="709" w:type="dxa"/>
            <w:tcBorders>
              <w:top w:val="nil"/>
              <w:left w:val="nil"/>
              <w:bottom w:val="single" w:sz="4" w:space="0" w:color="auto"/>
              <w:right w:val="single" w:sz="4" w:space="0" w:color="auto"/>
            </w:tcBorders>
            <w:shd w:val="clear" w:color="auto" w:fill="auto"/>
            <w:vAlign w:val="center"/>
            <w:hideMark/>
          </w:tcPr>
          <w:p w14:paraId="397AB159" w14:textId="77777777" w:rsidR="00FB3D34" w:rsidRPr="007C705C" w:rsidRDefault="00FB3D34" w:rsidP="00BC1449">
            <w:pPr>
              <w:jc w:val="center"/>
              <w:rPr>
                <w:rFonts w:cs="Times New Roman"/>
                <w:color w:val="000000"/>
                <w:sz w:val="20"/>
                <w:szCs w:val="20"/>
                <w:lang w:val="cs-CZ"/>
              </w:rPr>
            </w:pPr>
            <w:r w:rsidRPr="007C705C">
              <w:rPr>
                <w:rFonts w:cs="Times New Roman"/>
                <w:color w:val="000000"/>
                <w:sz w:val="20"/>
                <w:szCs w:val="20"/>
                <w:lang w:val="cs-CZ"/>
              </w:rPr>
              <w:t>7471,8</w:t>
            </w:r>
          </w:p>
        </w:tc>
        <w:tc>
          <w:tcPr>
            <w:tcW w:w="709" w:type="dxa"/>
            <w:tcBorders>
              <w:top w:val="nil"/>
              <w:left w:val="nil"/>
              <w:bottom w:val="single" w:sz="4" w:space="0" w:color="auto"/>
              <w:right w:val="single" w:sz="4" w:space="0" w:color="auto"/>
            </w:tcBorders>
            <w:shd w:val="clear" w:color="auto" w:fill="auto"/>
            <w:vAlign w:val="center"/>
            <w:hideMark/>
          </w:tcPr>
          <w:p w14:paraId="32F27A53" w14:textId="77777777" w:rsidR="00FB3D34" w:rsidRPr="007C705C" w:rsidRDefault="00FB3D34" w:rsidP="00BC1449">
            <w:pPr>
              <w:jc w:val="center"/>
              <w:rPr>
                <w:rFonts w:cs="Times New Roman"/>
                <w:color w:val="000000"/>
                <w:sz w:val="20"/>
                <w:szCs w:val="20"/>
                <w:lang w:val="cs-CZ"/>
              </w:rPr>
            </w:pPr>
            <w:r w:rsidRPr="007C705C">
              <w:rPr>
                <w:rFonts w:cs="Times New Roman"/>
                <w:color w:val="000000"/>
                <w:sz w:val="20"/>
                <w:szCs w:val="20"/>
                <w:lang w:val="cs-CZ"/>
              </w:rPr>
              <w:t>7364,7</w:t>
            </w:r>
          </w:p>
        </w:tc>
        <w:tc>
          <w:tcPr>
            <w:tcW w:w="709" w:type="dxa"/>
            <w:tcBorders>
              <w:top w:val="nil"/>
              <w:left w:val="nil"/>
              <w:bottom w:val="single" w:sz="4" w:space="0" w:color="auto"/>
              <w:right w:val="single" w:sz="4" w:space="0" w:color="auto"/>
            </w:tcBorders>
            <w:shd w:val="clear" w:color="auto" w:fill="auto"/>
            <w:vAlign w:val="center"/>
            <w:hideMark/>
          </w:tcPr>
          <w:p w14:paraId="1B4B9793" w14:textId="77777777" w:rsidR="00FB3D34" w:rsidRPr="007C705C" w:rsidRDefault="00FB3D34" w:rsidP="00BC1449">
            <w:pPr>
              <w:jc w:val="center"/>
              <w:rPr>
                <w:rFonts w:cs="Times New Roman"/>
                <w:color w:val="000000"/>
                <w:sz w:val="20"/>
                <w:szCs w:val="20"/>
                <w:lang w:val="cs-CZ"/>
              </w:rPr>
            </w:pPr>
            <w:r w:rsidRPr="007C705C">
              <w:rPr>
                <w:rFonts w:cs="Times New Roman"/>
                <w:color w:val="000000"/>
                <w:sz w:val="20"/>
                <w:szCs w:val="20"/>
                <w:lang w:val="cs-CZ"/>
              </w:rPr>
              <w:t>8128,7</w:t>
            </w:r>
          </w:p>
        </w:tc>
        <w:tc>
          <w:tcPr>
            <w:tcW w:w="640" w:type="dxa"/>
            <w:tcBorders>
              <w:top w:val="nil"/>
              <w:left w:val="nil"/>
              <w:bottom w:val="single" w:sz="4" w:space="0" w:color="auto"/>
              <w:right w:val="single" w:sz="4" w:space="0" w:color="auto"/>
            </w:tcBorders>
            <w:shd w:val="clear" w:color="auto" w:fill="auto"/>
            <w:vAlign w:val="center"/>
            <w:hideMark/>
          </w:tcPr>
          <w:p w14:paraId="3E029893" w14:textId="77777777" w:rsidR="00FB3D34" w:rsidRPr="007C705C" w:rsidRDefault="00FB3D34" w:rsidP="00BC1449">
            <w:pPr>
              <w:jc w:val="center"/>
              <w:rPr>
                <w:rFonts w:cs="Times New Roman"/>
                <w:color w:val="000000"/>
                <w:sz w:val="20"/>
                <w:szCs w:val="20"/>
                <w:lang w:val="cs-CZ"/>
              </w:rPr>
            </w:pPr>
            <w:r w:rsidRPr="007C705C">
              <w:rPr>
                <w:rFonts w:cs="Times New Roman"/>
                <w:color w:val="000000"/>
                <w:sz w:val="20"/>
                <w:szCs w:val="20"/>
                <w:lang w:val="cs-CZ"/>
              </w:rPr>
              <w:t>7956</w:t>
            </w:r>
          </w:p>
        </w:tc>
        <w:tc>
          <w:tcPr>
            <w:tcW w:w="709" w:type="dxa"/>
            <w:tcBorders>
              <w:top w:val="nil"/>
              <w:left w:val="nil"/>
              <w:bottom w:val="single" w:sz="4" w:space="0" w:color="auto"/>
              <w:right w:val="single" w:sz="4" w:space="0" w:color="auto"/>
            </w:tcBorders>
            <w:shd w:val="clear" w:color="auto" w:fill="auto"/>
            <w:vAlign w:val="center"/>
            <w:hideMark/>
          </w:tcPr>
          <w:p w14:paraId="04A425C2" w14:textId="77777777" w:rsidR="00FB3D34" w:rsidRPr="007C705C" w:rsidRDefault="00FB3D34" w:rsidP="00BC1449">
            <w:pPr>
              <w:jc w:val="center"/>
              <w:rPr>
                <w:rFonts w:cs="Times New Roman"/>
                <w:color w:val="000000"/>
                <w:sz w:val="20"/>
                <w:szCs w:val="20"/>
                <w:lang w:val="cs-CZ"/>
              </w:rPr>
            </w:pPr>
            <w:r w:rsidRPr="007C705C">
              <w:rPr>
                <w:rFonts w:cs="Times New Roman"/>
                <w:color w:val="000000"/>
                <w:sz w:val="20"/>
                <w:szCs w:val="20"/>
                <w:lang w:val="cs-CZ"/>
              </w:rPr>
              <w:t>7917,8</w:t>
            </w:r>
          </w:p>
        </w:tc>
        <w:tc>
          <w:tcPr>
            <w:tcW w:w="709" w:type="dxa"/>
            <w:tcBorders>
              <w:top w:val="nil"/>
              <w:left w:val="nil"/>
              <w:bottom w:val="single" w:sz="4" w:space="0" w:color="auto"/>
              <w:right w:val="single" w:sz="4" w:space="0" w:color="auto"/>
            </w:tcBorders>
            <w:shd w:val="clear" w:color="auto" w:fill="auto"/>
            <w:vAlign w:val="center"/>
            <w:hideMark/>
          </w:tcPr>
          <w:p w14:paraId="28493B9A" w14:textId="77777777" w:rsidR="00FB3D34" w:rsidRPr="007C705C" w:rsidRDefault="00FB3D34" w:rsidP="00BC1449">
            <w:pPr>
              <w:jc w:val="center"/>
              <w:rPr>
                <w:rFonts w:cs="Times New Roman"/>
                <w:color w:val="000000"/>
                <w:sz w:val="20"/>
                <w:szCs w:val="20"/>
                <w:lang w:val="cs-CZ"/>
              </w:rPr>
            </w:pPr>
            <w:r w:rsidRPr="007C705C">
              <w:rPr>
                <w:rFonts w:cs="Times New Roman"/>
                <w:color w:val="000000"/>
                <w:sz w:val="20"/>
                <w:szCs w:val="20"/>
                <w:lang w:val="cs-CZ"/>
              </w:rPr>
              <w:t>8008,5</w:t>
            </w:r>
          </w:p>
        </w:tc>
        <w:tc>
          <w:tcPr>
            <w:tcW w:w="709" w:type="dxa"/>
            <w:tcBorders>
              <w:top w:val="nil"/>
              <w:left w:val="nil"/>
              <w:bottom w:val="single" w:sz="4" w:space="0" w:color="auto"/>
              <w:right w:val="single" w:sz="4" w:space="0" w:color="auto"/>
            </w:tcBorders>
            <w:shd w:val="clear" w:color="auto" w:fill="auto"/>
            <w:vAlign w:val="center"/>
            <w:hideMark/>
          </w:tcPr>
          <w:p w14:paraId="1C80384C" w14:textId="77777777" w:rsidR="00FB3D34" w:rsidRPr="007C705C" w:rsidRDefault="00FB3D34" w:rsidP="00BC1449">
            <w:pPr>
              <w:jc w:val="center"/>
              <w:rPr>
                <w:rFonts w:cs="Times New Roman"/>
                <w:color w:val="000000"/>
                <w:sz w:val="20"/>
                <w:szCs w:val="20"/>
                <w:lang w:val="cs-CZ"/>
              </w:rPr>
            </w:pPr>
            <w:r w:rsidRPr="007C705C">
              <w:rPr>
                <w:rFonts w:cs="Times New Roman"/>
                <w:color w:val="000000"/>
                <w:sz w:val="20"/>
                <w:szCs w:val="20"/>
                <w:lang w:val="cs-CZ"/>
              </w:rPr>
              <w:t>8594,3</w:t>
            </w:r>
          </w:p>
        </w:tc>
        <w:tc>
          <w:tcPr>
            <w:tcW w:w="709" w:type="dxa"/>
            <w:tcBorders>
              <w:top w:val="nil"/>
              <w:left w:val="nil"/>
              <w:bottom w:val="single" w:sz="4" w:space="0" w:color="auto"/>
              <w:right w:val="single" w:sz="4" w:space="0" w:color="auto"/>
            </w:tcBorders>
            <w:shd w:val="clear" w:color="auto" w:fill="auto"/>
            <w:vAlign w:val="center"/>
            <w:hideMark/>
          </w:tcPr>
          <w:p w14:paraId="7DFC7BAB" w14:textId="77777777" w:rsidR="00FB3D34" w:rsidRPr="007C705C" w:rsidRDefault="00FB3D34" w:rsidP="00BC1449">
            <w:pPr>
              <w:jc w:val="center"/>
              <w:rPr>
                <w:rFonts w:cs="Times New Roman"/>
                <w:color w:val="000000"/>
                <w:sz w:val="20"/>
                <w:szCs w:val="20"/>
                <w:lang w:val="cs-CZ"/>
              </w:rPr>
            </w:pPr>
            <w:r w:rsidRPr="007C705C">
              <w:rPr>
                <w:rFonts w:cs="Times New Roman"/>
                <w:color w:val="000000"/>
                <w:sz w:val="20"/>
                <w:szCs w:val="20"/>
                <w:lang w:val="cs-CZ"/>
              </w:rPr>
              <w:t>8681,2</w:t>
            </w:r>
          </w:p>
        </w:tc>
        <w:tc>
          <w:tcPr>
            <w:tcW w:w="640" w:type="dxa"/>
            <w:tcBorders>
              <w:top w:val="nil"/>
              <w:left w:val="nil"/>
              <w:bottom w:val="single" w:sz="4" w:space="0" w:color="auto"/>
              <w:right w:val="single" w:sz="4" w:space="0" w:color="auto"/>
            </w:tcBorders>
            <w:shd w:val="clear" w:color="auto" w:fill="auto"/>
            <w:vAlign w:val="center"/>
            <w:hideMark/>
          </w:tcPr>
          <w:p w14:paraId="5A215AF0" w14:textId="77777777" w:rsidR="00FB3D34" w:rsidRPr="007C705C" w:rsidRDefault="00FB3D34" w:rsidP="00BC1449">
            <w:pPr>
              <w:jc w:val="center"/>
              <w:rPr>
                <w:rFonts w:cs="Times New Roman"/>
                <w:color w:val="000000"/>
                <w:sz w:val="20"/>
                <w:szCs w:val="20"/>
                <w:lang w:val="cs-CZ"/>
              </w:rPr>
            </w:pPr>
            <w:r w:rsidRPr="007C705C">
              <w:rPr>
                <w:rFonts w:cs="Times New Roman"/>
                <w:color w:val="000000"/>
                <w:sz w:val="20"/>
                <w:szCs w:val="20"/>
                <w:lang w:val="cs-CZ"/>
              </w:rPr>
              <w:t>8608</w:t>
            </w:r>
          </w:p>
        </w:tc>
        <w:tc>
          <w:tcPr>
            <w:tcW w:w="709" w:type="dxa"/>
            <w:tcBorders>
              <w:top w:val="nil"/>
              <w:left w:val="nil"/>
              <w:bottom w:val="single" w:sz="4" w:space="0" w:color="auto"/>
              <w:right w:val="single" w:sz="4" w:space="0" w:color="auto"/>
            </w:tcBorders>
            <w:shd w:val="clear" w:color="auto" w:fill="auto"/>
            <w:vAlign w:val="center"/>
            <w:hideMark/>
          </w:tcPr>
          <w:p w14:paraId="4CAA80EE" w14:textId="77777777" w:rsidR="00FB3D34" w:rsidRPr="007C705C" w:rsidRDefault="00FB3D34" w:rsidP="00BC1449">
            <w:pPr>
              <w:jc w:val="center"/>
              <w:rPr>
                <w:rFonts w:cs="Times New Roman"/>
                <w:color w:val="000000"/>
                <w:sz w:val="20"/>
                <w:szCs w:val="20"/>
                <w:lang w:val="cs-CZ"/>
              </w:rPr>
            </w:pPr>
            <w:r w:rsidRPr="007C705C">
              <w:rPr>
                <w:rFonts w:cs="Times New Roman"/>
                <w:color w:val="000000"/>
                <w:sz w:val="20"/>
                <w:szCs w:val="20"/>
                <w:lang w:val="cs-CZ"/>
              </w:rPr>
              <w:t>8320,7</w:t>
            </w:r>
          </w:p>
        </w:tc>
      </w:tr>
      <w:tr w:rsidR="00FB3D34" w:rsidRPr="007C705C" w14:paraId="010A8D49" w14:textId="77777777" w:rsidTr="00BC1449">
        <w:trPr>
          <w:trHeight w:val="2259"/>
        </w:trPr>
        <w:tc>
          <w:tcPr>
            <w:tcW w:w="1228" w:type="dxa"/>
            <w:tcBorders>
              <w:top w:val="nil"/>
              <w:left w:val="single" w:sz="4" w:space="0" w:color="auto"/>
              <w:bottom w:val="single" w:sz="4" w:space="0" w:color="auto"/>
              <w:right w:val="single" w:sz="4" w:space="0" w:color="auto"/>
            </w:tcBorders>
            <w:shd w:val="clear" w:color="auto" w:fill="auto"/>
            <w:vAlign w:val="center"/>
            <w:hideMark/>
          </w:tcPr>
          <w:p w14:paraId="3FF7036F" w14:textId="77777777" w:rsidR="00FB3D34" w:rsidRPr="007C705C" w:rsidRDefault="00FB3D34" w:rsidP="00BC1449">
            <w:pPr>
              <w:ind w:left="99" w:firstLine="30"/>
              <w:jc w:val="center"/>
              <w:rPr>
                <w:rFonts w:cs="Times New Roman"/>
                <w:b/>
                <w:bCs/>
                <w:color w:val="000000"/>
                <w:sz w:val="18"/>
                <w:szCs w:val="18"/>
                <w:lang w:val="cs-CZ"/>
              </w:rPr>
            </w:pPr>
            <w:r w:rsidRPr="007C705C">
              <w:rPr>
                <w:rFonts w:cs="Times New Roman"/>
                <w:b/>
                <w:bCs/>
                <w:color w:val="000000"/>
                <w:sz w:val="18"/>
                <w:szCs w:val="18"/>
                <w:lang w:val="cs-CZ"/>
              </w:rPr>
              <w:t>Share of GHG emissions from agriculture including cropland and grassland in total GHG emissions</w:t>
            </w:r>
          </w:p>
        </w:tc>
        <w:tc>
          <w:tcPr>
            <w:tcW w:w="1572" w:type="dxa"/>
            <w:tcBorders>
              <w:top w:val="nil"/>
              <w:left w:val="nil"/>
              <w:bottom w:val="single" w:sz="4" w:space="0" w:color="auto"/>
              <w:right w:val="single" w:sz="4" w:space="0" w:color="auto"/>
            </w:tcBorders>
            <w:shd w:val="clear" w:color="auto" w:fill="auto"/>
            <w:vAlign w:val="center"/>
            <w:hideMark/>
          </w:tcPr>
          <w:p w14:paraId="024B7D10" w14:textId="77777777" w:rsidR="00FB3D34" w:rsidRPr="007C705C" w:rsidRDefault="00FB3D34" w:rsidP="00BC1449">
            <w:pPr>
              <w:jc w:val="center"/>
              <w:rPr>
                <w:rFonts w:cs="Times New Roman"/>
                <w:color w:val="000000"/>
                <w:sz w:val="18"/>
                <w:szCs w:val="18"/>
                <w:lang w:val="cs-CZ"/>
              </w:rPr>
            </w:pPr>
            <w:r w:rsidRPr="007C705C">
              <w:rPr>
                <w:rFonts w:cs="Times New Roman"/>
                <w:color w:val="000000"/>
                <w:sz w:val="18"/>
                <w:szCs w:val="18"/>
                <w:lang w:val="cs-CZ"/>
              </w:rPr>
              <w:t>%</w:t>
            </w:r>
          </w:p>
        </w:tc>
        <w:tc>
          <w:tcPr>
            <w:tcW w:w="0" w:type="auto"/>
            <w:tcBorders>
              <w:top w:val="nil"/>
              <w:left w:val="nil"/>
              <w:bottom w:val="single" w:sz="4" w:space="0" w:color="auto"/>
              <w:right w:val="single" w:sz="4" w:space="0" w:color="auto"/>
            </w:tcBorders>
            <w:shd w:val="clear" w:color="auto" w:fill="auto"/>
            <w:noWrap/>
            <w:vAlign w:val="center"/>
            <w:hideMark/>
          </w:tcPr>
          <w:p w14:paraId="25098A15" w14:textId="77777777" w:rsidR="00FB3D34" w:rsidRPr="007C705C" w:rsidRDefault="00FB3D34" w:rsidP="00BC1449">
            <w:pPr>
              <w:jc w:val="center"/>
              <w:rPr>
                <w:rFonts w:cs="Times New Roman"/>
                <w:color w:val="000000"/>
                <w:sz w:val="22"/>
                <w:lang w:val="cs-CZ"/>
              </w:rPr>
            </w:pPr>
            <w:r w:rsidRPr="007C705C">
              <w:rPr>
                <w:rFonts w:cs="Times New Roman"/>
                <w:color w:val="000000"/>
                <w:sz w:val="22"/>
                <w:lang w:val="cs-CZ"/>
              </w:rPr>
              <w:t>6%</w:t>
            </w:r>
          </w:p>
        </w:tc>
        <w:tc>
          <w:tcPr>
            <w:tcW w:w="0" w:type="auto"/>
            <w:tcBorders>
              <w:top w:val="nil"/>
              <w:left w:val="nil"/>
              <w:bottom w:val="single" w:sz="4" w:space="0" w:color="auto"/>
              <w:right w:val="single" w:sz="4" w:space="0" w:color="auto"/>
            </w:tcBorders>
            <w:shd w:val="clear" w:color="auto" w:fill="auto"/>
            <w:noWrap/>
            <w:vAlign w:val="center"/>
            <w:hideMark/>
          </w:tcPr>
          <w:p w14:paraId="7A03151B" w14:textId="77777777" w:rsidR="00FB3D34" w:rsidRPr="007C705C" w:rsidRDefault="00FB3D34" w:rsidP="00BC1449">
            <w:pPr>
              <w:jc w:val="center"/>
              <w:rPr>
                <w:rFonts w:cs="Times New Roman"/>
                <w:color w:val="000000"/>
                <w:sz w:val="22"/>
                <w:lang w:val="cs-CZ"/>
              </w:rPr>
            </w:pPr>
            <w:r w:rsidRPr="007C705C">
              <w:rPr>
                <w:rFonts w:cs="Times New Roman"/>
                <w:color w:val="000000"/>
                <w:sz w:val="22"/>
                <w:lang w:val="cs-CZ"/>
              </w:rPr>
              <w:t>6%</w:t>
            </w:r>
          </w:p>
        </w:tc>
        <w:tc>
          <w:tcPr>
            <w:tcW w:w="0" w:type="auto"/>
            <w:tcBorders>
              <w:top w:val="nil"/>
              <w:left w:val="nil"/>
              <w:bottom w:val="single" w:sz="4" w:space="0" w:color="auto"/>
              <w:right w:val="single" w:sz="4" w:space="0" w:color="auto"/>
            </w:tcBorders>
            <w:shd w:val="clear" w:color="auto" w:fill="auto"/>
            <w:noWrap/>
            <w:vAlign w:val="center"/>
            <w:hideMark/>
          </w:tcPr>
          <w:p w14:paraId="634D969B" w14:textId="77777777" w:rsidR="00FB3D34" w:rsidRPr="007C705C" w:rsidRDefault="00FB3D34" w:rsidP="00BC1449">
            <w:pPr>
              <w:jc w:val="center"/>
              <w:rPr>
                <w:rFonts w:cs="Times New Roman"/>
                <w:color w:val="000000"/>
                <w:sz w:val="22"/>
                <w:lang w:val="cs-CZ"/>
              </w:rPr>
            </w:pPr>
            <w:r w:rsidRPr="007C705C">
              <w:rPr>
                <w:rFonts w:cs="Times New Roman"/>
                <w:color w:val="000000"/>
                <w:sz w:val="22"/>
                <w:lang w:val="cs-CZ"/>
              </w:rPr>
              <w:t>6%</w:t>
            </w:r>
          </w:p>
        </w:tc>
        <w:tc>
          <w:tcPr>
            <w:tcW w:w="0" w:type="auto"/>
            <w:tcBorders>
              <w:top w:val="nil"/>
              <w:left w:val="nil"/>
              <w:bottom w:val="single" w:sz="4" w:space="0" w:color="auto"/>
              <w:right w:val="single" w:sz="4" w:space="0" w:color="auto"/>
            </w:tcBorders>
            <w:shd w:val="clear" w:color="auto" w:fill="auto"/>
            <w:noWrap/>
            <w:vAlign w:val="center"/>
            <w:hideMark/>
          </w:tcPr>
          <w:p w14:paraId="3297A46E" w14:textId="77777777" w:rsidR="00FB3D34" w:rsidRPr="007C705C" w:rsidRDefault="00FB3D34" w:rsidP="00BC1449">
            <w:pPr>
              <w:jc w:val="center"/>
              <w:rPr>
                <w:rFonts w:cs="Times New Roman"/>
                <w:color w:val="000000"/>
                <w:sz w:val="22"/>
                <w:lang w:val="cs-CZ"/>
              </w:rPr>
            </w:pPr>
            <w:r w:rsidRPr="007C705C">
              <w:rPr>
                <w:rFonts w:cs="Times New Roman"/>
                <w:color w:val="000000"/>
                <w:sz w:val="22"/>
                <w:lang w:val="cs-CZ"/>
              </w:rPr>
              <w:t>6%</w:t>
            </w:r>
          </w:p>
        </w:tc>
        <w:tc>
          <w:tcPr>
            <w:tcW w:w="0" w:type="auto"/>
            <w:tcBorders>
              <w:top w:val="nil"/>
              <w:left w:val="nil"/>
              <w:bottom w:val="single" w:sz="4" w:space="0" w:color="auto"/>
              <w:right w:val="single" w:sz="4" w:space="0" w:color="auto"/>
            </w:tcBorders>
            <w:shd w:val="clear" w:color="auto" w:fill="auto"/>
            <w:noWrap/>
            <w:vAlign w:val="center"/>
            <w:hideMark/>
          </w:tcPr>
          <w:p w14:paraId="7E8BEDEB" w14:textId="77777777" w:rsidR="00FB3D34" w:rsidRPr="007C705C" w:rsidRDefault="00FB3D34" w:rsidP="00BC1449">
            <w:pPr>
              <w:jc w:val="center"/>
              <w:rPr>
                <w:rFonts w:cs="Times New Roman"/>
                <w:color w:val="000000"/>
                <w:sz w:val="22"/>
                <w:lang w:val="cs-CZ"/>
              </w:rPr>
            </w:pPr>
            <w:r w:rsidRPr="007C705C">
              <w:rPr>
                <w:rFonts w:cs="Times New Roman"/>
                <w:color w:val="000000"/>
                <w:sz w:val="22"/>
                <w:lang w:val="cs-CZ"/>
              </w:rPr>
              <w:t>7%</w:t>
            </w:r>
          </w:p>
        </w:tc>
        <w:tc>
          <w:tcPr>
            <w:tcW w:w="0" w:type="auto"/>
            <w:tcBorders>
              <w:top w:val="nil"/>
              <w:left w:val="nil"/>
              <w:bottom w:val="single" w:sz="4" w:space="0" w:color="auto"/>
              <w:right w:val="single" w:sz="4" w:space="0" w:color="auto"/>
            </w:tcBorders>
            <w:shd w:val="clear" w:color="auto" w:fill="auto"/>
            <w:noWrap/>
            <w:vAlign w:val="center"/>
            <w:hideMark/>
          </w:tcPr>
          <w:p w14:paraId="59334808" w14:textId="77777777" w:rsidR="00FB3D34" w:rsidRPr="007C705C" w:rsidRDefault="00FB3D34" w:rsidP="00BC1449">
            <w:pPr>
              <w:jc w:val="center"/>
              <w:rPr>
                <w:rFonts w:cs="Times New Roman"/>
                <w:color w:val="000000"/>
                <w:sz w:val="22"/>
                <w:lang w:val="cs-CZ"/>
              </w:rPr>
            </w:pPr>
            <w:r w:rsidRPr="007C705C">
              <w:rPr>
                <w:rFonts w:cs="Times New Roman"/>
                <w:color w:val="000000"/>
                <w:sz w:val="22"/>
                <w:lang w:val="cs-CZ"/>
              </w:rPr>
              <w:t>7%</w:t>
            </w:r>
          </w:p>
        </w:tc>
        <w:tc>
          <w:tcPr>
            <w:tcW w:w="0" w:type="auto"/>
            <w:tcBorders>
              <w:top w:val="nil"/>
              <w:left w:val="nil"/>
              <w:bottom w:val="single" w:sz="4" w:space="0" w:color="auto"/>
              <w:right w:val="single" w:sz="4" w:space="0" w:color="auto"/>
            </w:tcBorders>
            <w:shd w:val="clear" w:color="auto" w:fill="auto"/>
            <w:noWrap/>
            <w:vAlign w:val="center"/>
            <w:hideMark/>
          </w:tcPr>
          <w:p w14:paraId="1F5F37E5" w14:textId="77777777" w:rsidR="00FB3D34" w:rsidRPr="007C705C" w:rsidRDefault="00FB3D34" w:rsidP="00BC1449">
            <w:pPr>
              <w:jc w:val="center"/>
              <w:rPr>
                <w:rFonts w:cs="Times New Roman"/>
                <w:color w:val="000000"/>
                <w:sz w:val="22"/>
                <w:lang w:val="cs-CZ"/>
              </w:rPr>
            </w:pPr>
            <w:r w:rsidRPr="007C705C">
              <w:rPr>
                <w:rFonts w:cs="Times New Roman"/>
                <w:color w:val="000000"/>
                <w:sz w:val="22"/>
                <w:lang w:val="cs-CZ"/>
              </w:rPr>
              <w:t>7%</w:t>
            </w:r>
          </w:p>
        </w:tc>
        <w:tc>
          <w:tcPr>
            <w:tcW w:w="0" w:type="auto"/>
            <w:tcBorders>
              <w:top w:val="nil"/>
              <w:left w:val="nil"/>
              <w:bottom w:val="single" w:sz="4" w:space="0" w:color="auto"/>
              <w:right w:val="single" w:sz="4" w:space="0" w:color="auto"/>
            </w:tcBorders>
            <w:shd w:val="clear" w:color="auto" w:fill="auto"/>
            <w:noWrap/>
            <w:vAlign w:val="center"/>
            <w:hideMark/>
          </w:tcPr>
          <w:p w14:paraId="22F00FA1" w14:textId="77777777" w:rsidR="00FB3D34" w:rsidRPr="007C705C" w:rsidRDefault="00FB3D34" w:rsidP="00BC1449">
            <w:pPr>
              <w:jc w:val="center"/>
              <w:rPr>
                <w:rFonts w:cs="Times New Roman"/>
                <w:color w:val="000000"/>
                <w:sz w:val="22"/>
                <w:lang w:val="cs-CZ"/>
              </w:rPr>
            </w:pPr>
            <w:r w:rsidRPr="007C705C">
              <w:rPr>
                <w:rFonts w:cs="Times New Roman"/>
                <w:color w:val="000000"/>
                <w:sz w:val="22"/>
                <w:lang w:val="cs-CZ"/>
              </w:rPr>
              <w:t>7%</w:t>
            </w:r>
          </w:p>
        </w:tc>
        <w:tc>
          <w:tcPr>
            <w:tcW w:w="0" w:type="auto"/>
            <w:tcBorders>
              <w:top w:val="nil"/>
              <w:left w:val="nil"/>
              <w:bottom w:val="single" w:sz="4" w:space="0" w:color="auto"/>
              <w:right w:val="single" w:sz="4" w:space="0" w:color="auto"/>
            </w:tcBorders>
            <w:shd w:val="clear" w:color="auto" w:fill="auto"/>
            <w:noWrap/>
            <w:vAlign w:val="center"/>
            <w:hideMark/>
          </w:tcPr>
          <w:p w14:paraId="6E94593E" w14:textId="77777777" w:rsidR="00FB3D34" w:rsidRPr="007C705C" w:rsidRDefault="00FB3D34" w:rsidP="00BC1449">
            <w:pPr>
              <w:jc w:val="center"/>
              <w:rPr>
                <w:rFonts w:cs="Times New Roman"/>
                <w:color w:val="000000"/>
                <w:sz w:val="22"/>
                <w:lang w:val="cs-CZ"/>
              </w:rPr>
            </w:pPr>
            <w:r w:rsidRPr="007C705C">
              <w:rPr>
                <w:rFonts w:cs="Times New Roman"/>
                <w:color w:val="000000"/>
                <w:sz w:val="22"/>
                <w:lang w:val="cs-CZ"/>
              </w:rPr>
              <w:t>7%</w:t>
            </w:r>
          </w:p>
        </w:tc>
        <w:tc>
          <w:tcPr>
            <w:tcW w:w="0" w:type="auto"/>
            <w:tcBorders>
              <w:top w:val="nil"/>
              <w:left w:val="nil"/>
              <w:bottom w:val="single" w:sz="4" w:space="0" w:color="auto"/>
              <w:right w:val="single" w:sz="4" w:space="0" w:color="auto"/>
            </w:tcBorders>
            <w:shd w:val="clear" w:color="auto" w:fill="auto"/>
            <w:noWrap/>
            <w:vAlign w:val="center"/>
            <w:hideMark/>
          </w:tcPr>
          <w:p w14:paraId="4C30A3D9" w14:textId="77777777" w:rsidR="00FB3D34" w:rsidRPr="007C705C" w:rsidRDefault="00FB3D34" w:rsidP="00BC1449">
            <w:pPr>
              <w:jc w:val="center"/>
              <w:rPr>
                <w:rFonts w:cs="Times New Roman"/>
                <w:color w:val="000000"/>
                <w:sz w:val="22"/>
                <w:lang w:val="cs-CZ"/>
              </w:rPr>
            </w:pPr>
            <w:r w:rsidRPr="007C705C">
              <w:rPr>
                <w:rFonts w:cs="Times New Roman"/>
                <w:color w:val="000000"/>
                <w:sz w:val="22"/>
                <w:lang w:val="cs-CZ"/>
              </w:rPr>
              <w:t>6%</w:t>
            </w:r>
          </w:p>
        </w:tc>
      </w:tr>
      <w:tr w:rsidR="00FB3D34" w:rsidRPr="007C705C" w14:paraId="11511F61" w14:textId="77777777" w:rsidTr="00BC1449">
        <w:trPr>
          <w:trHeight w:val="752"/>
        </w:trPr>
        <w:tc>
          <w:tcPr>
            <w:tcW w:w="1228" w:type="dxa"/>
            <w:tcBorders>
              <w:top w:val="nil"/>
              <w:left w:val="single" w:sz="4" w:space="0" w:color="auto"/>
              <w:bottom w:val="single" w:sz="4" w:space="0" w:color="auto"/>
              <w:right w:val="single" w:sz="4" w:space="0" w:color="auto"/>
            </w:tcBorders>
            <w:shd w:val="clear" w:color="auto" w:fill="auto"/>
            <w:vAlign w:val="center"/>
            <w:hideMark/>
          </w:tcPr>
          <w:p w14:paraId="0CDAC7A5" w14:textId="77777777" w:rsidR="00FB3D34" w:rsidRPr="007C705C" w:rsidRDefault="00FB3D34" w:rsidP="00BC1449">
            <w:pPr>
              <w:ind w:left="99" w:firstLine="30"/>
              <w:jc w:val="center"/>
              <w:rPr>
                <w:rFonts w:cs="Times New Roman"/>
                <w:b/>
                <w:bCs/>
                <w:color w:val="000000"/>
                <w:sz w:val="18"/>
                <w:szCs w:val="18"/>
                <w:lang w:val="cs-CZ"/>
              </w:rPr>
            </w:pPr>
            <w:r w:rsidRPr="007C705C">
              <w:rPr>
                <w:rFonts w:cs="Times New Roman"/>
                <w:b/>
                <w:bCs/>
                <w:color w:val="000000"/>
                <w:sz w:val="18"/>
                <w:szCs w:val="18"/>
                <w:lang w:val="cs-CZ"/>
              </w:rPr>
              <w:t>GHG emissions from livestock</w:t>
            </w:r>
          </w:p>
        </w:tc>
        <w:tc>
          <w:tcPr>
            <w:tcW w:w="1572" w:type="dxa"/>
            <w:tcBorders>
              <w:top w:val="nil"/>
              <w:left w:val="nil"/>
              <w:bottom w:val="single" w:sz="4" w:space="0" w:color="auto"/>
              <w:right w:val="single" w:sz="4" w:space="0" w:color="auto"/>
            </w:tcBorders>
            <w:shd w:val="clear" w:color="auto" w:fill="auto"/>
            <w:vAlign w:val="center"/>
            <w:hideMark/>
          </w:tcPr>
          <w:p w14:paraId="4029B92B" w14:textId="77777777" w:rsidR="00FB3D34" w:rsidRPr="007C705C" w:rsidRDefault="00FB3D34" w:rsidP="00BC1449">
            <w:pPr>
              <w:jc w:val="center"/>
              <w:rPr>
                <w:rFonts w:cs="Times New Roman"/>
                <w:color w:val="000000"/>
                <w:sz w:val="18"/>
                <w:szCs w:val="18"/>
                <w:lang w:val="cs-CZ"/>
              </w:rPr>
            </w:pPr>
            <w:r w:rsidRPr="007C705C">
              <w:rPr>
                <w:rFonts w:cs="Times New Roman"/>
                <w:color w:val="000000"/>
                <w:sz w:val="18"/>
                <w:szCs w:val="18"/>
                <w:lang w:val="cs-CZ"/>
              </w:rPr>
              <w:t>t CO2 ekvivalentů/ha</w:t>
            </w:r>
          </w:p>
        </w:tc>
        <w:tc>
          <w:tcPr>
            <w:tcW w:w="0" w:type="auto"/>
            <w:tcBorders>
              <w:top w:val="nil"/>
              <w:left w:val="nil"/>
              <w:bottom w:val="single" w:sz="4" w:space="0" w:color="auto"/>
              <w:right w:val="single" w:sz="4" w:space="0" w:color="auto"/>
            </w:tcBorders>
            <w:shd w:val="clear" w:color="auto" w:fill="auto"/>
            <w:noWrap/>
            <w:vAlign w:val="center"/>
            <w:hideMark/>
          </w:tcPr>
          <w:p w14:paraId="1BB17CC1" w14:textId="77777777" w:rsidR="00FB3D34" w:rsidRPr="007C705C" w:rsidRDefault="00FB3D34" w:rsidP="00BC1449">
            <w:pPr>
              <w:jc w:val="center"/>
              <w:rPr>
                <w:rFonts w:cs="Times New Roman"/>
                <w:color w:val="000000"/>
                <w:sz w:val="22"/>
                <w:lang w:val="cs-CZ"/>
              </w:rPr>
            </w:pPr>
            <w:r w:rsidRPr="007C705C">
              <w:rPr>
                <w:rFonts w:cs="Times New Roman"/>
                <w:color w:val="000000"/>
                <w:sz w:val="22"/>
                <w:lang w:val="cs-CZ"/>
              </w:rPr>
              <w:t>1,211</w:t>
            </w:r>
          </w:p>
        </w:tc>
        <w:tc>
          <w:tcPr>
            <w:tcW w:w="0" w:type="auto"/>
            <w:tcBorders>
              <w:top w:val="nil"/>
              <w:left w:val="nil"/>
              <w:bottom w:val="single" w:sz="4" w:space="0" w:color="auto"/>
              <w:right w:val="single" w:sz="4" w:space="0" w:color="auto"/>
            </w:tcBorders>
            <w:shd w:val="clear" w:color="auto" w:fill="auto"/>
            <w:noWrap/>
            <w:vAlign w:val="center"/>
            <w:hideMark/>
          </w:tcPr>
          <w:p w14:paraId="030BB6E8" w14:textId="77777777" w:rsidR="00FB3D34" w:rsidRPr="007C705C" w:rsidRDefault="00FB3D34" w:rsidP="00BC1449">
            <w:pPr>
              <w:jc w:val="center"/>
              <w:rPr>
                <w:rFonts w:cs="Times New Roman"/>
                <w:color w:val="000000"/>
                <w:sz w:val="22"/>
                <w:lang w:val="cs-CZ"/>
              </w:rPr>
            </w:pPr>
            <w:r w:rsidRPr="007C705C">
              <w:rPr>
                <w:rFonts w:cs="Times New Roman"/>
                <w:color w:val="000000"/>
                <w:sz w:val="22"/>
                <w:lang w:val="cs-CZ"/>
              </w:rPr>
              <w:t>1,185</w:t>
            </w:r>
          </w:p>
        </w:tc>
        <w:tc>
          <w:tcPr>
            <w:tcW w:w="0" w:type="auto"/>
            <w:tcBorders>
              <w:top w:val="nil"/>
              <w:left w:val="nil"/>
              <w:bottom w:val="single" w:sz="4" w:space="0" w:color="auto"/>
              <w:right w:val="single" w:sz="4" w:space="0" w:color="auto"/>
            </w:tcBorders>
            <w:shd w:val="clear" w:color="auto" w:fill="auto"/>
            <w:noWrap/>
            <w:vAlign w:val="center"/>
            <w:hideMark/>
          </w:tcPr>
          <w:p w14:paraId="73749DFF" w14:textId="77777777" w:rsidR="00FB3D34" w:rsidRPr="007C705C" w:rsidRDefault="00FB3D34" w:rsidP="00BC1449">
            <w:pPr>
              <w:jc w:val="center"/>
              <w:rPr>
                <w:rFonts w:cs="Times New Roman"/>
                <w:color w:val="000000"/>
                <w:sz w:val="22"/>
                <w:lang w:val="cs-CZ"/>
              </w:rPr>
            </w:pPr>
            <w:r w:rsidRPr="007C705C">
              <w:rPr>
                <w:rFonts w:cs="Times New Roman"/>
                <w:color w:val="000000"/>
                <w:sz w:val="22"/>
                <w:lang w:val="cs-CZ"/>
              </w:rPr>
              <w:t>1,170</w:t>
            </w:r>
          </w:p>
        </w:tc>
        <w:tc>
          <w:tcPr>
            <w:tcW w:w="0" w:type="auto"/>
            <w:tcBorders>
              <w:top w:val="nil"/>
              <w:left w:val="nil"/>
              <w:bottom w:val="single" w:sz="4" w:space="0" w:color="auto"/>
              <w:right w:val="single" w:sz="4" w:space="0" w:color="auto"/>
            </w:tcBorders>
            <w:shd w:val="clear" w:color="auto" w:fill="auto"/>
            <w:noWrap/>
            <w:vAlign w:val="center"/>
            <w:hideMark/>
          </w:tcPr>
          <w:p w14:paraId="5BDE36EC" w14:textId="77777777" w:rsidR="00FB3D34" w:rsidRPr="007C705C" w:rsidRDefault="00FB3D34" w:rsidP="00BC1449">
            <w:pPr>
              <w:jc w:val="center"/>
              <w:rPr>
                <w:rFonts w:cs="Times New Roman"/>
                <w:color w:val="000000"/>
                <w:sz w:val="22"/>
                <w:lang w:val="cs-CZ"/>
              </w:rPr>
            </w:pPr>
            <w:r w:rsidRPr="007C705C">
              <w:rPr>
                <w:rFonts w:cs="Times New Roman"/>
                <w:color w:val="000000"/>
                <w:sz w:val="22"/>
                <w:lang w:val="cs-CZ"/>
              </w:rPr>
              <w:t>1,169</w:t>
            </w:r>
          </w:p>
        </w:tc>
        <w:tc>
          <w:tcPr>
            <w:tcW w:w="0" w:type="auto"/>
            <w:tcBorders>
              <w:top w:val="nil"/>
              <w:left w:val="nil"/>
              <w:bottom w:val="single" w:sz="4" w:space="0" w:color="auto"/>
              <w:right w:val="single" w:sz="4" w:space="0" w:color="auto"/>
            </w:tcBorders>
            <w:shd w:val="clear" w:color="auto" w:fill="auto"/>
            <w:noWrap/>
            <w:vAlign w:val="center"/>
            <w:hideMark/>
          </w:tcPr>
          <w:p w14:paraId="76EDF33E" w14:textId="77777777" w:rsidR="00FB3D34" w:rsidRPr="007C705C" w:rsidRDefault="00FB3D34" w:rsidP="00BC1449">
            <w:pPr>
              <w:jc w:val="center"/>
              <w:rPr>
                <w:rFonts w:cs="Times New Roman"/>
                <w:color w:val="000000"/>
                <w:sz w:val="22"/>
                <w:lang w:val="cs-CZ"/>
              </w:rPr>
            </w:pPr>
            <w:r w:rsidRPr="007C705C">
              <w:rPr>
                <w:rFonts w:cs="Times New Roman"/>
                <w:color w:val="000000"/>
                <w:sz w:val="22"/>
                <w:lang w:val="cs-CZ"/>
              </w:rPr>
              <w:t>1,173</w:t>
            </w:r>
          </w:p>
        </w:tc>
        <w:tc>
          <w:tcPr>
            <w:tcW w:w="0" w:type="auto"/>
            <w:tcBorders>
              <w:top w:val="nil"/>
              <w:left w:val="nil"/>
              <w:bottom w:val="single" w:sz="4" w:space="0" w:color="auto"/>
              <w:right w:val="single" w:sz="4" w:space="0" w:color="auto"/>
            </w:tcBorders>
            <w:shd w:val="clear" w:color="auto" w:fill="auto"/>
            <w:noWrap/>
            <w:vAlign w:val="center"/>
            <w:hideMark/>
          </w:tcPr>
          <w:p w14:paraId="219986DD" w14:textId="77777777" w:rsidR="00FB3D34" w:rsidRPr="007C705C" w:rsidRDefault="00FB3D34" w:rsidP="00BC1449">
            <w:pPr>
              <w:jc w:val="center"/>
              <w:rPr>
                <w:rFonts w:cs="Times New Roman"/>
                <w:color w:val="000000"/>
                <w:sz w:val="22"/>
                <w:lang w:val="cs-CZ"/>
              </w:rPr>
            </w:pPr>
            <w:r w:rsidRPr="007C705C">
              <w:rPr>
                <w:rFonts w:cs="Times New Roman"/>
                <w:color w:val="000000"/>
                <w:sz w:val="22"/>
                <w:lang w:val="cs-CZ"/>
              </w:rPr>
              <w:t>1,183</w:t>
            </w:r>
          </w:p>
        </w:tc>
        <w:tc>
          <w:tcPr>
            <w:tcW w:w="0" w:type="auto"/>
            <w:tcBorders>
              <w:top w:val="nil"/>
              <w:left w:val="nil"/>
              <w:bottom w:val="single" w:sz="4" w:space="0" w:color="auto"/>
              <w:right w:val="single" w:sz="4" w:space="0" w:color="auto"/>
            </w:tcBorders>
            <w:shd w:val="clear" w:color="auto" w:fill="auto"/>
            <w:noWrap/>
            <w:vAlign w:val="center"/>
            <w:hideMark/>
          </w:tcPr>
          <w:p w14:paraId="19D79126" w14:textId="77777777" w:rsidR="00FB3D34" w:rsidRPr="007C705C" w:rsidRDefault="00FB3D34" w:rsidP="00BC1449">
            <w:pPr>
              <w:jc w:val="center"/>
              <w:rPr>
                <w:rFonts w:cs="Times New Roman"/>
                <w:color w:val="000000"/>
                <w:sz w:val="22"/>
                <w:lang w:val="cs-CZ"/>
              </w:rPr>
            </w:pPr>
            <w:r w:rsidRPr="007C705C">
              <w:rPr>
                <w:rFonts w:cs="Times New Roman"/>
                <w:color w:val="000000"/>
                <w:sz w:val="22"/>
                <w:lang w:val="cs-CZ"/>
              </w:rPr>
              <w:t>1,209</w:t>
            </w:r>
          </w:p>
        </w:tc>
        <w:tc>
          <w:tcPr>
            <w:tcW w:w="0" w:type="auto"/>
            <w:tcBorders>
              <w:top w:val="nil"/>
              <w:left w:val="nil"/>
              <w:bottom w:val="single" w:sz="4" w:space="0" w:color="auto"/>
              <w:right w:val="single" w:sz="4" w:space="0" w:color="auto"/>
            </w:tcBorders>
            <w:shd w:val="clear" w:color="auto" w:fill="auto"/>
            <w:noWrap/>
            <w:vAlign w:val="center"/>
            <w:hideMark/>
          </w:tcPr>
          <w:p w14:paraId="7DE80F81" w14:textId="77777777" w:rsidR="00FB3D34" w:rsidRPr="007C705C" w:rsidRDefault="00FB3D34" w:rsidP="00BC1449">
            <w:pPr>
              <w:jc w:val="center"/>
              <w:rPr>
                <w:rFonts w:cs="Times New Roman"/>
                <w:color w:val="000000"/>
                <w:sz w:val="22"/>
                <w:lang w:val="cs-CZ"/>
              </w:rPr>
            </w:pPr>
            <w:r w:rsidRPr="007C705C">
              <w:rPr>
                <w:rFonts w:cs="Times New Roman"/>
                <w:color w:val="000000"/>
                <w:sz w:val="22"/>
                <w:lang w:val="cs-CZ"/>
              </w:rPr>
              <w:t>1,156</w:t>
            </w:r>
          </w:p>
        </w:tc>
        <w:tc>
          <w:tcPr>
            <w:tcW w:w="0" w:type="auto"/>
            <w:tcBorders>
              <w:top w:val="nil"/>
              <w:left w:val="nil"/>
              <w:bottom w:val="single" w:sz="4" w:space="0" w:color="auto"/>
              <w:right w:val="single" w:sz="4" w:space="0" w:color="auto"/>
            </w:tcBorders>
            <w:shd w:val="clear" w:color="auto" w:fill="auto"/>
            <w:noWrap/>
            <w:vAlign w:val="center"/>
            <w:hideMark/>
          </w:tcPr>
          <w:p w14:paraId="4AA7CA9D" w14:textId="77777777" w:rsidR="00FB3D34" w:rsidRPr="007C705C" w:rsidRDefault="00FB3D34" w:rsidP="00BC1449">
            <w:pPr>
              <w:jc w:val="center"/>
              <w:rPr>
                <w:rFonts w:cs="Times New Roman"/>
                <w:color w:val="000000"/>
                <w:sz w:val="22"/>
                <w:lang w:val="cs-CZ"/>
              </w:rPr>
            </w:pPr>
            <w:r w:rsidRPr="007C705C">
              <w:rPr>
                <w:rFonts w:cs="Times New Roman"/>
                <w:color w:val="000000"/>
                <w:sz w:val="22"/>
                <w:lang w:val="cs-CZ"/>
              </w:rPr>
              <w:t>1,160</w:t>
            </w:r>
          </w:p>
        </w:tc>
        <w:tc>
          <w:tcPr>
            <w:tcW w:w="0" w:type="auto"/>
            <w:tcBorders>
              <w:top w:val="nil"/>
              <w:left w:val="nil"/>
              <w:bottom w:val="single" w:sz="4" w:space="0" w:color="auto"/>
              <w:right w:val="single" w:sz="4" w:space="0" w:color="auto"/>
            </w:tcBorders>
            <w:shd w:val="clear" w:color="auto" w:fill="auto"/>
            <w:noWrap/>
            <w:vAlign w:val="center"/>
            <w:hideMark/>
          </w:tcPr>
          <w:p w14:paraId="2214C187" w14:textId="77777777" w:rsidR="00FB3D34" w:rsidRPr="007C705C" w:rsidRDefault="00FB3D34" w:rsidP="00BC1449">
            <w:pPr>
              <w:jc w:val="center"/>
              <w:rPr>
                <w:rFonts w:cs="Times New Roman"/>
                <w:color w:val="000000"/>
                <w:sz w:val="22"/>
                <w:lang w:val="cs-CZ"/>
              </w:rPr>
            </w:pPr>
            <w:r w:rsidRPr="007C705C">
              <w:rPr>
                <w:rFonts w:cs="Times New Roman"/>
                <w:color w:val="000000"/>
                <w:sz w:val="22"/>
                <w:lang w:val="cs-CZ"/>
              </w:rPr>
              <w:t>1,206</w:t>
            </w:r>
          </w:p>
        </w:tc>
      </w:tr>
      <w:tr w:rsidR="00FB3D34" w:rsidRPr="007C705C" w14:paraId="642FD0CB" w14:textId="77777777" w:rsidTr="00BC1449">
        <w:trPr>
          <w:trHeight w:val="752"/>
        </w:trPr>
        <w:tc>
          <w:tcPr>
            <w:tcW w:w="1228" w:type="dxa"/>
            <w:tcBorders>
              <w:top w:val="nil"/>
              <w:left w:val="single" w:sz="4" w:space="0" w:color="auto"/>
              <w:bottom w:val="single" w:sz="4" w:space="0" w:color="auto"/>
              <w:right w:val="single" w:sz="4" w:space="0" w:color="auto"/>
            </w:tcBorders>
            <w:shd w:val="clear" w:color="auto" w:fill="auto"/>
            <w:vAlign w:val="center"/>
            <w:hideMark/>
          </w:tcPr>
          <w:p w14:paraId="702D7CB7" w14:textId="77777777" w:rsidR="00FB3D34" w:rsidRPr="007C705C" w:rsidRDefault="00FB3D34" w:rsidP="00BC1449">
            <w:pPr>
              <w:ind w:left="99" w:firstLine="30"/>
              <w:jc w:val="center"/>
              <w:rPr>
                <w:rFonts w:cs="Times New Roman"/>
                <w:b/>
                <w:bCs/>
                <w:color w:val="000000"/>
                <w:sz w:val="18"/>
                <w:szCs w:val="18"/>
                <w:lang w:val="cs-CZ"/>
              </w:rPr>
            </w:pPr>
            <w:r w:rsidRPr="007C705C">
              <w:rPr>
                <w:rFonts w:cs="Times New Roman"/>
                <w:b/>
                <w:bCs/>
                <w:color w:val="000000"/>
                <w:sz w:val="18"/>
                <w:szCs w:val="18"/>
                <w:lang w:val="cs-CZ"/>
              </w:rPr>
              <w:t>GHG emissions from ruminants</w:t>
            </w:r>
          </w:p>
        </w:tc>
        <w:tc>
          <w:tcPr>
            <w:tcW w:w="1572" w:type="dxa"/>
            <w:tcBorders>
              <w:top w:val="nil"/>
              <w:left w:val="nil"/>
              <w:bottom w:val="single" w:sz="4" w:space="0" w:color="auto"/>
              <w:right w:val="single" w:sz="4" w:space="0" w:color="auto"/>
            </w:tcBorders>
            <w:shd w:val="clear" w:color="auto" w:fill="auto"/>
            <w:vAlign w:val="center"/>
            <w:hideMark/>
          </w:tcPr>
          <w:p w14:paraId="1C166654" w14:textId="77777777" w:rsidR="00FB3D34" w:rsidRPr="007C705C" w:rsidRDefault="00FB3D34" w:rsidP="00BC1449">
            <w:pPr>
              <w:jc w:val="center"/>
              <w:rPr>
                <w:rFonts w:cs="Times New Roman"/>
                <w:color w:val="000000"/>
                <w:sz w:val="18"/>
                <w:szCs w:val="18"/>
                <w:lang w:val="cs-CZ"/>
              </w:rPr>
            </w:pPr>
            <w:r w:rsidRPr="007C705C">
              <w:rPr>
                <w:rFonts w:cs="Times New Roman"/>
                <w:color w:val="000000"/>
                <w:sz w:val="18"/>
                <w:szCs w:val="18"/>
                <w:lang w:val="cs-CZ"/>
              </w:rPr>
              <w:t>t CO2 ekvivalentů/LSU</w:t>
            </w:r>
          </w:p>
        </w:tc>
        <w:tc>
          <w:tcPr>
            <w:tcW w:w="0" w:type="auto"/>
            <w:tcBorders>
              <w:top w:val="nil"/>
              <w:left w:val="nil"/>
              <w:bottom w:val="single" w:sz="4" w:space="0" w:color="auto"/>
              <w:right w:val="single" w:sz="4" w:space="0" w:color="auto"/>
            </w:tcBorders>
            <w:shd w:val="clear" w:color="auto" w:fill="auto"/>
            <w:noWrap/>
            <w:vAlign w:val="center"/>
            <w:hideMark/>
          </w:tcPr>
          <w:p w14:paraId="22606315" w14:textId="77777777" w:rsidR="00FB3D34" w:rsidRPr="007C705C" w:rsidRDefault="00FB3D34" w:rsidP="00BC1449">
            <w:pPr>
              <w:jc w:val="center"/>
              <w:rPr>
                <w:rFonts w:cs="Times New Roman"/>
                <w:color w:val="000000"/>
                <w:sz w:val="22"/>
                <w:lang w:val="cs-CZ"/>
              </w:rPr>
            </w:pPr>
            <w:r w:rsidRPr="007C705C">
              <w:rPr>
                <w:rFonts w:cs="Times New Roman"/>
                <w:color w:val="000000"/>
                <w:sz w:val="22"/>
                <w:lang w:val="cs-CZ"/>
              </w:rPr>
              <w:t>N/A</w:t>
            </w:r>
          </w:p>
        </w:tc>
        <w:tc>
          <w:tcPr>
            <w:tcW w:w="0" w:type="auto"/>
            <w:tcBorders>
              <w:top w:val="nil"/>
              <w:left w:val="nil"/>
              <w:bottom w:val="single" w:sz="4" w:space="0" w:color="auto"/>
              <w:right w:val="single" w:sz="4" w:space="0" w:color="auto"/>
            </w:tcBorders>
            <w:shd w:val="clear" w:color="auto" w:fill="auto"/>
            <w:noWrap/>
            <w:vAlign w:val="center"/>
            <w:hideMark/>
          </w:tcPr>
          <w:p w14:paraId="66C5E9CE" w14:textId="77777777" w:rsidR="00FB3D34" w:rsidRPr="007C705C" w:rsidRDefault="00FB3D34" w:rsidP="00BC1449">
            <w:pPr>
              <w:jc w:val="center"/>
              <w:rPr>
                <w:rFonts w:cs="Times New Roman"/>
                <w:color w:val="000000"/>
                <w:sz w:val="22"/>
                <w:lang w:val="cs-CZ"/>
              </w:rPr>
            </w:pPr>
            <w:r w:rsidRPr="007C705C">
              <w:rPr>
                <w:rFonts w:cs="Times New Roman"/>
                <w:color w:val="000000"/>
                <w:sz w:val="22"/>
                <w:lang w:val="cs-CZ"/>
              </w:rPr>
              <w:t>N/A</w:t>
            </w:r>
          </w:p>
        </w:tc>
        <w:tc>
          <w:tcPr>
            <w:tcW w:w="0" w:type="auto"/>
            <w:tcBorders>
              <w:top w:val="nil"/>
              <w:left w:val="nil"/>
              <w:bottom w:val="single" w:sz="4" w:space="0" w:color="auto"/>
              <w:right w:val="single" w:sz="4" w:space="0" w:color="auto"/>
            </w:tcBorders>
            <w:shd w:val="clear" w:color="auto" w:fill="auto"/>
            <w:noWrap/>
            <w:vAlign w:val="center"/>
            <w:hideMark/>
          </w:tcPr>
          <w:p w14:paraId="51A7611F" w14:textId="77777777" w:rsidR="00FB3D34" w:rsidRPr="007C705C" w:rsidRDefault="00FB3D34" w:rsidP="00BC1449">
            <w:pPr>
              <w:jc w:val="center"/>
              <w:rPr>
                <w:rFonts w:cs="Times New Roman"/>
                <w:color w:val="000000"/>
                <w:sz w:val="22"/>
                <w:lang w:val="cs-CZ"/>
              </w:rPr>
            </w:pPr>
            <w:r w:rsidRPr="007C705C">
              <w:rPr>
                <w:rFonts w:cs="Times New Roman"/>
                <w:color w:val="000000"/>
                <w:sz w:val="22"/>
                <w:lang w:val="cs-CZ"/>
              </w:rPr>
              <w:t>N/A</w:t>
            </w:r>
          </w:p>
        </w:tc>
        <w:tc>
          <w:tcPr>
            <w:tcW w:w="0" w:type="auto"/>
            <w:tcBorders>
              <w:top w:val="nil"/>
              <w:left w:val="nil"/>
              <w:bottom w:val="single" w:sz="4" w:space="0" w:color="auto"/>
              <w:right w:val="single" w:sz="4" w:space="0" w:color="auto"/>
            </w:tcBorders>
            <w:shd w:val="clear" w:color="auto" w:fill="auto"/>
            <w:noWrap/>
            <w:vAlign w:val="center"/>
            <w:hideMark/>
          </w:tcPr>
          <w:p w14:paraId="1D45C193" w14:textId="77777777" w:rsidR="00FB3D34" w:rsidRPr="007C705C" w:rsidRDefault="00FB3D34" w:rsidP="00BC1449">
            <w:pPr>
              <w:jc w:val="center"/>
              <w:rPr>
                <w:rFonts w:cs="Times New Roman"/>
                <w:color w:val="000000"/>
                <w:sz w:val="22"/>
                <w:lang w:val="cs-CZ"/>
              </w:rPr>
            </w:pPr>
            <w:r w:rsidRPr="007C705C">
              <w:rPr>
                <w:rFonts w:cs="Times New Roman"/>
                <w:color w:val="000000"/>
                <w:sz w:val="22"/>
                <w:lang w:val="cs-CZ"/>
              </w:rPr>
              <w:t>N/A</w:t>
            </w:r>
          </w:p>
        </w:tc>
        <w:tc>
          <w:tcPr>
            <w:tcW w:w="0" w:type="auto"/>
            <w:tcBorders>
              <w:top w:val="nil"/>
              <w:left w:val="nil"/>
              <w:bottom w:val="single" w:sz="4" w:space="0" w:color="auto"/>
              <w:right w:val="single" w:sz="4" w:space="0" w:color="auto"/>
            </w:tcBorders>
            <w:shd w:val="clear" w:color="auto" w:fill="auto"/>
            <w:noWrap/>
            <w:vAlign w:val="center"/>
            <w:hideMark/>
          </w:tcPr>
          <w:p w14:paraId="181FD9AE" w14:textId="77777777" w:rsidR="00FB3D34" w:rsidRPr="007C705C" w:rsidRDefault="00FB3D34" w:rsidP="00BC1449">
            <w:pPr>
              <w:jc w:val="center"/>
              <w:rPr>
                <w:rFonts w:cs="Times New Roman"/>
                <w:color w:val="000000"/>
                <w:sz w:val="22"/>
                <w:lang w:val="cs-CZ"/>
              </w:rPr>
            </w:pPr>
            <w:r w:rsidRPr="007C705C">
              <w:rPr>
                <w:rFonts w:cs="Times New Roman"/>
                <w:color w:val="000000"/>
                <w:sz w:val="22"/>
                <w:lang w:val="cs-CZ"/>
              </w:rPr>
              <w:t>2,667</w:t>
            </w:r>
          </w:p>
        </w:tc>
        <w:tc>
          <w:tcPr>
            <w:tcW w:w="0" w:type="auto"/>
            <w:tcBorders>
              <w:top w:val="nil"/>
              <w:left w:val="nil"/>
              <w:bottom w:val="single" w:sz="4" w:space="0" w:color="auto"/>
              <w:right w:val="single" w:sz="4" w:space="0" w:color="auto"/>
            </w:tcBorders>
            <w:shd w:val="clear" w:color="auto" w:fill="auto"/>
            <w:noWrap/>
            <w:vAlign w:val="center"/>
            <w:hideMark/>
          </w:tcPr>
          <w:p w14:paraId="18EEA14F" w14:textId="77777777" w:rsidR="00FB3D34" w:rsidRPr="007C705C" w:rsidRDefault="00FB3D34" w:rsidP="00BC1449">
            <w:pPr>
              <w:jc w:val="center"/>
              <w:rPr>
                <w:rFonts w:cs="Times New Roman"/>
                <w:color w:val="000000"/>
                <w:sz w:val="22"/>
                <w:lang w:val="cs-CZ"/>
              </w:rPr>
            </w:pPr>
            <w:r w:rsidRPr="007C705C">
              <w:rPr>
                <w:rFonts w:cs="Times New Roman"/>
                <w:color w:val="000000"/>
                <w:sz w:val="22"/>
                <w:lang w:val="cs-CZ"/>
              </w:rPr>
              <w:t>N/A</w:t>
            </w:r>
          </w:p>
        </w:tc>
        <w:tc>
          <w:tcPr>
            <w:tcW w:w="0" w:type="auto"/>
            <w:tcBorders>
              <w:top w:val="nil"/>
              <w:left w:val="nil"/>
              <w:bottom w:val="single" w:sz="4" w:space="0" w:color="auto"/>
              <w:right w:val="single" w:sz="4" w:space="0" w:color="auto"/>
            </w:tcBorders>
            <w:shd w:val="clear" w:color="auto" w:fill="auto"/>
            <w:noWrap/>
            <w:vAlign w:val="center"/>
            <w:hideMark/>
          </w:tcPr>
          <w:p w14:paraId="15AF16EA" w14:textId="77777777" w:rsidR="00FB3D34" w:rsidRPr="007C705C" w:rsidRDefault="00FB3D34" w:rsidP="00BC1449">
            <w:pPr>
              <w:jc w:val="center"/>
              <w:rPr>
                <w:rFonts w:cs="Times New Roman"/>
                <w:color w:val="000000"/>
                <w:sz w:val="22"/>
                <w:lang w:val="cs-CZ"/>
              </w:rPr>
            </w:pPr>
            <w:r w:rsidRPr="007C705C">
              <w:rPr>
                <w:rFonts w:cs="Times New Roman"/>
                <w:color w:val="000000"/>
                <w:sz w:val="22"/>
                <w:lang w:val="cs-CZ"/>
              </w:rPr>
              <w:t>N/A</w:t>
            </w:r>
          </w:p>
        </w:tc>
        <w:tc>
          <w:tcPr>
            <w:tcW w:w="0" w:type="auto"/>
            <w:tcBorders>
              <w:top w:val="nil"/>
              <w:left w:val="nil"/>
              <w:bottom w:val="single" w:sz="4" w:space="0" w:color="auto"/>
              <w:right w:val="single" w:sz="4" w:space="0" w:color="auto"/>
            </w:tcBorders>
            <w:shd w:val="clear" w:color="auto" w:fill="auto"/>
            <w:noWrap/>
            <w:vAlign w:val="center"/>
            <w:hideMark/>
          </w:tcPr>
          <w:p w14:paraId="790EBFDC" w14:textId="77777777" w:rsidR="00FB3D34" w:rsidRPr="007C705C" w:rsidRDefault="00FB3D34" w:rsidP="00BC1449">
            <w:pPr>
              <w:jc w:val="center"/>
              <w:rPr>
                <w:rFonts w:cs="Times New Roman"/>
                <w:color w:val="000000"/>
                <w:sz w:val="22"/>
                <w:lang w:val="cs-CZ"/>
              </w:rPr>
            </w:pPr>
            <w:r w:rsidRPr="007C705C">
              <w:rPr>
                <w:rFonts w:cs="Times New Roman"/>
                <w:color w:val="000000"/>
                <w:sz w:val="22"/>
                <w:lang w:val="cs-CZ"/>
              </w:rPr>
              <w:t>2,783</w:t>
            </w:r>
          </w:p>
        </w:tc>
        <w:tc>
          <w:tcPr>
            <w:tcW w:w="0" w:type="auto"/>
            <w:tcBorders>
              <w:top w:val="nil"/>
              <w:left w:val="nil"/>
              <w:bottom w:val="single" w:sz="4" w:space="0" w:color="auto"/>
              <w:right w:val="single" w:sz="4" w:space="0" w:color="auto"/>
            </w:tcBorders>
            <w:shd w:val="clear" w:color="auto" w:fill="auto"/>
            <w:noWrap/>
            <w:vAlign w:val="center"/>
            <w:hideMark/>
          </w:tcPr>
          <w:p w14:paraId="45E3453F" w14:textId="77777777" w:rsidR="00FB3D34" w:rsidRPr="007C705C" w:rsidRDefault="00FB3D34" w:rsidP="00BC1449">
            <w:pPr>
              <w:jc w:val="center"/>
              <w:rPr>
                <w:rFonts w:cs="Times New Roman"/>
                <w:color w:val="000000"/>
                <w:sz w:val="22"/>
                <w:lang w:val="cs-CZ"/>
              </w:rPr>
            </w:pPr>
            <w:r w:rsidRPr="007C705C">
              <w:rPr>
                <w:rFonts w:cs="Times New Roman"/>
                <w:color w:val="000000"/>
                <w:sz w:val="22"/>
                <w:lang w:val="cs-CZ"/>
              </w:rPr>
              <w:t>N/A</w:t>
            </w:r>
          </w:p>
        </w:tc>
        <w:tc>
          <w:tcPr>
            <w:tcW w:w="0" w:type="auto"/>
            <w:tcBorders>
              <w:top w:val="nil"/>
              <w:left w:val="nil"/>
              <w:bottom w:val="single" w:sz="4" w:space="0" w:color="auto"/>
              <w:right w:val="single" w:sz="4" w:space="0" w:color="auto"/>
            </w:tcBorders>
            <w:shd w:val="clear" w:color="auto" w:fill="auto"/>
            <w:noWrap/>
            <w:vAlign w:val="center"/>
            <w:hideMark/>
          </w:tcPr>
          <w:p w14:paraId="3AE45223" w14:textId="77777777" w:rsidR="00FB3D34" w:rsidRPr="007C705C" w:rsidRDefault="00FB3D34" w:rsidP="00BC1449">
            <w:pPr>
              <w:jc w:val="center"/>
              <w:rPr>
                <w:rFonts w:cs="Times New Roman"/>
                <w:color w:val="000000"/>
                <w:sz w:val="22"/>
                <w:lang w:val="cs-CZ"/>
              </w:rPr>
            </w:pPr>
            <w:r w:rsidRPr="007C705C">
              <w:rPr>
                <w:rFonts w:cs="Times New Roman"/>
                <w:color w:val="000000"/>
                <w:sz w:val="22"/>
                <w:lang w:val="cs-CZ"/>
              </w:rPr>
              <w:t>N/A</w:t>
            </w:r>
          </w:p>
        </w:tc>
      </w:tr>
    </w:tbl>
    <w:bookmarkEnd w:id="183"/>
    <w:p w14:paraId="18AF5B59" w14:textId="57D92D50" w:rsidR="003E0F58" w:rsidRPr="007C705C" w:rsidRDefault="003E0F58" w:rsidP="00FB3D34">
      <w:pPr>
        <w:pStyle w:val="UZEIZdroj"/>
      </w:pPr>
      <w:r w:rsidRPr="007C705C">
        <w:t>Zdroj: Eurostat (dopočet ÚZEI)</w:t>
      </w:r>
    </w:p>
    <w:p w14:paraId="1A50113E" w14:textId="104E157B" w:rsidR="003E0F58" w:rsidRDefault="003E0F58" w:rsidP="003E0F58">
      <w:pPr>
        <w:pStyle w:val="Odstavecseseznamem"/>
        <w:ind w:left="0"/>
        <w:rPr>
          <w:rFonts w:eastAsiaTheme="minorEastAsia"/>
        </w:rPr>
      </w:pPr>
    </w:p>
    <w:p w14:paraId="1E9AD9DD" w14:textId="35A4C662" w:rsidR="00BC1449" w:rsidRDefault="00BC1449" w:rsidP="003E0F58">
      <w:pPr>
        <w:pStyle w:val="Odstavecseseznamem"/>
        <w:ind w:left="0"/>
        <w:rPr>
          <w:rFonts w:eastAsiaTheme="minorEastAsia"/>
        </w:rPr>
      </w:pPr>
    </w:p>
    <w:p w14:paraId="0D5B61F1" w14:textId="05C900D8" w:rsidR="00BC1449" w:rsidRDefault="00BC1449" w:rsidP="003E0F58">
      <w:pPr>
        <w:pStyle w:val="Odstavecseseznamem"/>
        <w:ind w:left="0"/>
        <w:rPr>
          <w:rFonts w:eastAsiaTheme="minorEastAsia"/>
        </w:rPr>
      </w:pPr>
    </w:p>
    <w:p w14:paraId="0B320AFB" w14:textId="19DBEE9E" w:rsidR="00BC1449" w:rsidRDefault="00BC1449" w:rsidP="003E0F58">
      <w:pPr>
        <w:pStyle w:val="Odstavecseseznamem"/>
        <w:ind w:left="0"/>
        <w:rPr>
          <w:rFonts w:eastAsiaTheme="minorEastAsia"/>
        </w:rPr>
      </w:pPr>
    </w:p>
    <w:p w14:paraId="255DD60D" w14:textId="1BE98279" w:rsidR="00BC1449" w:rsidRDefault="00BC1449" w:rsidP="003E0F58">
      <w:pPr>
        <w:pStyle w:val="Odstavecseseznamem"/>
        <w:ind w:left="0"/>
        <w:rPr>
          <w:rFonts w:eastAsiaTheme="minorEastAsia"/>
        </w:rPr>
      </w:pPr>
    </w:p>
    <w:p w14:paraId="683F15F3" w14:textId="5739FBBE" w:rsidR="00BC1449" w:rsidRDefault="00BC1449" w:rsidP="003E0F58">
      <w:pPr>
        <w:pStyle w:val="Odstavecseseznamem"/>
        <w:ind w:left="0"/>
        <w:rPr>
          <w:rFonts w:eastAsiaTheme="minorEastAsia"/>
        </w:rPr>
      </w:pPr>
    </w:p>
    <w:p w14:paraId="667B9A83" w14:textId="2EE38269" w:rsidR="00BC1449" w:rsidRDefault="00BC1449" w:rsidP="003E0F58">
      <w:pPr>
        <w:pStyle w:val="Odstavecseseznamem"/>
        <w:ind w:left="0"/>
        <w:rPr>
          <w:rFonts w:eastAsiaTheme="minorEastAsia"/>
        </w:rPr>
      </w:pPr>
    </w:p>
    <w:p w14:paraId="690EC26B" w14:textId="77777777" w:rsidR="00BC1449" w:rsidRPr="007C705C" w:rsidRDefault="00BC1449" w:rsidP="003E0F58">
      <w:pPr>
        <w:pStyle w:val="Odstavecseseznamem"/>
        <w:ind w:left="0"/>
        <w:rPr>
          <w:rFonts w:eastAsiaTheme="minorEastAsia"/>
        </w:rPr>
      </w:pPr>
    </w:p>
    <w:p w14:paraId="0CB23BF0" w14:textId="77777777" w:rsidR="003E0F58" w:rsidRPr="007C705C" w:rsidRDefault="003E0F58" w:rsidP="003E0F58">
      <w:pPr>
        <w:rPr>
          <w:rFonts w:eastAsiaTheme="minorEastAsia" w:cs="Times New Roman"/>
          <w:lang w:val="cs-CZ"/>
        </w:rPr>
      </w:pPr>
      <w:r w:rsidRPr="007C705C">
        <w:rPr>
          <w:rFonts w:eastAsiaTheme="minorEastAsia" w:cs="Times New Roman"/>
          <w:lang w:val="cs-CZ"/>
        </w:rPr>
        <w:lastRenderedPageBreak/>
        <w:t>C.45 Emise amoniaku</w:t>
      </w:r>
    </w:p>
    <w:p w14:paraId="46A0CB2A" w14:textId="5DB376D2" w:rsidR="003E0F58" w:rsidRPr="00BC1449" w:rsidRDefault="003E0F58" w:rsidP="00BC1449">
      <w:pPr>
        <w:rPr>
          <w:rFonts w:eastAsiaTheme="minorEastAsia" w:cs="Times New Roman"/>
          <w:lang w:val="cs-CZ"/>
        </w:rPr>
      </w:pPr>
      <w:r w:rsidRPr="007C705C">
        <w:rPr>
          <w:rFonts w:eastAsiaTheme="minorEastAsia" w:cs="Times New Roman"/>
          <w:lang w:val="cs-CZ"/>
        </w:rPr>
        <w:t>Níže jsou doplněny tabulky charakterizující vývoj emisí NH</w:t>
      </w:r>
      <w:r w:rsidRPr="007C705C">
        <w:rPr>
          <w:rFonts w:eastAsiaTheme="minorEastAsia" w:cs="Times New Roman"/>
          <w:vertAlign w:val="subscript"/>
          <w:lang w:val="cs-CZ"/>
        </w:rPr>
        <w:t>3</w:t>
      </w:r>
      <w:r w:rsidRPr="007C705C">
        <w:rPr>
          <w:rFonts w:eastAsiaTheme="minorEastAsia" w:cs="Times New Roman"/>
          <w:lang w:val="cs-CZ"/>
        </w:rPr>
        <w:t xml:space="preserve"> ze zemědělství.</w:t>
      </w:r>
    </w:p>
    <w:p w14:paraId="219EE06D" w14:textId="3EC359EE" w:rsidR="003E0F58" w:rsidRPr="007C705C" w:rsidRDefault="00BC1449" w:rsidP="00BC1449">
      <w:pPr>
        <w:pStyle w:val="UZEITaB"/>
      </w:pPr>
      <w:bookmarkStart w:id="184" w:name="_Toc77245811"/>
      <w:r>
        <w:t xml:space="preserve">  </w:t>
      </w:r>
      <w:bookmarkStart w:id="185" w:name="_Toc94181569"/>
      <w:r w:rsidR="003E0F58" w:rsidRPr="007C705C">
        <w:t>Celkové roční emise NH</w:t>
      </w:r>
      <w:r w:rsidR="003E0F58" w:rsidRPr="007C705C">
        <w:rPr>
          <w:vertAlign w:val="subscript"/>
        </w:rPr>
        <w:t>3</w:t>
      </w:r>
      <w:r w:rsidR="003E0F58" w:rsidRPr="007C705C">
        <w:t xml:space="preserve"> z minerálních dusíkatých hnojiv v ČR v letech 2009 - 2018</w:t>
      </w:r>
      <w:bookmarkEnd w:id="184"/>
      <w:bookmarkEnd w:id="185"/>
    </w:p>
    <w:tbl>
      <w:tblPr>
        <w:tblW w:w="48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56"/>
        <w:gridCol w:w="851"/>
        <w:gridCol w:w="579"/>
        <w:gridCol w:w="581"/>
        <w:gridCol w:w="581"/>
        <w:gridCol w:w="581"/>
        <w:gridCol w:w="581"/>
        <w:gridCol w:w="581"/>
        <w:gridCol w:w="581"/>
        <w:gridCol w:w="620"/>
        <w:gridCol w:w="581"/>
        <w:gridCol w:w="582"/>
      </w:tblGrid>
      <w:tr w:rsidR="003E0F58" w:rsidRPr="007C705C" w14:paraId="0A92446A" w14:textId="77777777" w:rsidTr="004D2249">
        <w:trPr>
          <w:trHeight w:val="195"/>
        </w:trPr>
        <w:tc>
          <w:tcPr>
            <w:tcW w:w="1219" w:type="pct"/>
            <w:shd w:val="clear" w:color="000000" w:fill="F2F2F2"/>
            <w:vAlign w:val="center"/>
            <w:hideMark/>
          </w:tcPr>
          <w:p w14:paraId="67148B17" w14:textId="77777777" w:rsidR="003E0F58" w:rsidRPr="007C705C" w:rsidRDefault="003E0F58" w:rsidP="004D2249">
            <w:pPr>
              <w:jc w:val="left"/>
              <w:rPr>
                <w:rFonts w:cs="Times New Roman"/>
                <w:b/>
                <w:bCs/>
                <w:color w:val="000000"/>
                <w:sz w:val="18"/>
                <w:szCs w:val="18"/>
                <w:lang w:val="cs-CZ"/>
              </w:rPr>
            </w:pPr>
            <w:r w:rsidRPr="007C705C">
              <w:rPr>
                <w:rFonts w:cs="Times New Roman"/>
                <w:b/>
                <w:bCs/>
                <w:color w:val="000000"/>
                <w:sz w:val="18"/>
                <w:szCs w:val="18"/>
                <w:lang w:val="cs-CZ"/>
              </w:rPr>
              <w:t>Popis</w:t>
            </w:r>
          </w:p>
        </w:tc>
        <w:tc>
          <w:tcPr>
            <w:tcW w:w="481" w:type="pct"/>
            <w:shd w:val="clear" w:color="000000" w:fill="F2F2F2"/>
            <w:vAlign w:val="center"/>
            <w:hideMark/>
          </w:tcPr>
          <w:p w14:paraId="1A28D4DD"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Jednotka</w:t>
            </w:r>
          </w:p>
        </w:tc>
        <w:tc>
          <w:tcPr>
            <w:tcW w:w="330" w:type="pct"/>
            <w:shd w:val="clear" w:color="000000" w:fill="F2F2F2"/>
            <w:vAlign w:val="center"/>
          </w:tcPr>
          <w:p w14:paraId="2B7ADE28"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2009</w:t>
            </w:r>
          </w:p>
        </w:tc>
        <w:tc>
          <w:tcPr>
            <w:tcW w:w="330" w:type="pct"/>
            <w:shd w:val="clear" w:color="000000" w:fill="F2F2F2"/>
            <w:vAlign w:val="center"/>
          </w:tcPr>
          <w:p w14:paraId="23A95D07"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2010</w:t>
            </w:r>
          </w:p>
        </w:tc>
        <w:tc>
          <w:tcPr>
            <w:tcW w:w="330" w:type="pct"/>
            <w:shd w:val="clear" w:color="000000" w:fill="F2F2F2"/>
            <w:vAlign w:val="center"/>
          </w:tcPr>
          <w:p w14:paraId="3362ADBC"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2011</w:t>
            </w:r>
          </w:p>
        </w:tc>
        <w:tc>
          <w:tcPr>
            <w:tcW w:w="330" w:type="pct"/>
            <w:shd w:val="clear" w:color="000000" w:fill="F2F2F2"/>
            <w:vAlign w:val="center"/>
          </w:tcPr>
          <w:p w14:paraId="6BAFD71E"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2012</w:t>
            </w:r>
          </w:p>
        </w:tc>
        <w:tc>
          <w:tcPr>
            <w:tcW w:w="330" w:type="pct"/>
            <w:shd w:val="clear" w:color="000000" w:fill="F2F2F2"/>
            <w:vAlign w:val="center"/>
          </w:tcPr>
          <w:p w14:paraId="53DC8139"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2013</w:t>
            </w:r>
          </w:p>
        </w:tc>
        <w:tc>
          <w:tcPr>
            <w:tcW w:w="330" w:type="pct"/>
            <w:shd w:val="clear" w:color="000000" w:fill="F2F2F2"/>
            <w:vAlign w:val="center"/>
          </w:tcPr>
          <w:p w14:paraId="4D565421"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2014</w:t>
            </w:r>
          </w:p>
        </w:tc>
        <w:tc>
          <w:tcPr>
            <w:tcW w:w="330" w:type="pct"/>
            <w:shd w:val="clear" w:color="000000" w:fill="F2F2F2"/>
            <w:vAlign w:val="center"/>
          </w:tcPr>
          <w:p w14:paraId="03E64976"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2015</w:t>
            </w:r>
          </w:p>
        </w:tc>
        <w:tc>
          <w:tcPr>
            <w:tcW w:w="330" w:type="pct"/>
            <w:shd w:val="clear" w:color="000000" w:fill="F2F2F2"/>
            <w:vAlign w:val="center"/>
          </w:tcPr>
          <w:p w14:paraId="349CF4AE" w14:textId="77777777" w:rsidR="003E0F58" w:rsidRPr="007C705C" w:rsidRDefault="003E0F58" w:rsidP="004D2249">
            <w:pPr>
              <w:jc w:val="center"/>
              <w:rPr>
                <w:rFonts w:cs="Times New Roman"/>
                <w:b/>
                <w:bCs/>
                <w:color w:val="000000"/>
                <w:sz w:val="18"/>
                <w:szCs w:val="18"/>
                <w:lang w:val="cs-CZ"/>
              </w:rPr>
            </w:pPr>
            <w:r w:rsidRPr="007C705C">
              <w:rPr>
                <w:rFonts w:cs="Times New Roman"/>
                <w:lang w:val="cs-CZ"/>
              </w:rPr>
              <w:t>2016</w:t>
            </w:r>
          </w:p>
        </w:tc>
        <w:tc>
          <w:tcPr>
            <w:tcW w:w="330" w:type="pct"/>
            <w:shd w:val="clear" w:color="000000" w:fill="F2F2F2"/>
            <w:vAlign w:val="center"/>
            <w:hideMark/>
          </w:tcPr>
          <w:p w14:paraId="046395A0"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2017</w:t>
            </w:r>
          </w:p>
        </w:tc>
        <w:tc>
          <w:tcPr>
            <w:tcW w:w="330" w:type="pct"/>
            <w:shd w:val="clear" w:color="000000" w:fill="F2F2F2"/>
            <w:vAlign w:val="center"/>
            <w:hideMark/>
          </w:tcPr>
          <w:p w14:paraId="7B6FC981"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2018</w:t>
            </w:r>
          </w:p>
        </w:tc>
      </w:tr>
      <w:tr w:rsidR="003E0F58" w:rsidRPr="007C705C" w14:paraId="186E5D13" w14:textId="77777777" w:rsidTr="004D2249">
        <w:trPr>
          <w:trHeight w:val="341"/>
        </w:trPr>
        <w:tc>
          <w:tcPr>
            <w:tcW w:w="1219" w:type="pct"/>
            <w:shd w:val="clear" w:color="auto" w:fill="auto"/>
            <w:vAlign w:val="center"/>
          </w:tcPr>
          <w:p w14:paraId="28575560" w14:textId="77777777" w:rsidR="003E0F58" w:rsidRPr="007C705C" w:rsidRDefault="003E0F58" w:rsidP="004D2249">
            <w:pPr>
              <w:jc w:val="left"/>
              <w:rPr>
                <w:rFonts w:cs="Times New Roman"/>
                <w:sz w:val="18"/>
                <w:szCs w:val="18"/>
                <w:lang w:val="cs-CZ"/>
              </w:rPr>
            </w:pPr>
            <w:r w:rsidRPr="007C705C">
              <w:rPr>
                <w:rFonts w:cs="Times New Roman"/>
                <w:sz w:val="18"/>
                <w:szCs w:val="18"/>
                <w:lang w:val="cs-CZ"/>
              </w:rPr>
              <w:t>Celkové roční emise NH</w:t>
            </w:r>
            <w:r w:rsidRPr="007C705C">
              <w:rPr>
                <w:rFonts w:cs="Times New Roman"/>
                <w:sz w:val="18"/>
                <w:szCs w:val="18"/>
                <w:vertAlign w:val="subscript"/>
                <w:lang w:val="cs-CZ"/>
              </w:rPr>
              <w:t>3</w:t>
            </w:r>
            <w:r w:rsidRPr="007C705C">
              <w:rPr>
                <w:rFonts w:cs="Times New Roman"/>
                <w:sz w:val="18"/>
                <w:szCs w:val="18"/>
                <w:lang w:val="cs-CZ"/>
              </w:rPr>
              <w:t xml:space="preserve"> z minerálních dusíkatých hnojiv (NFR subsektor 3D a1)</w:t>
            </w:r>
          </w:p>
        </w:tc>
        <w:tc>
          <w:tcPr>
            <w:tcW w:w="481" w:type="pct"/>
            <w:shd w:val="clear" w:color="auto" w:fill="auto"/>
            <w:vAlign w:val="center"/>
          </w:tcPr>
          <w:p w14:paraId="39730690" w14:textId="77777777" w:rsidR="003E0F58" w:rsidRPr="007C705C" w:rsidRDefault="003E0F58" w:rsidP="004D2249">
            <w:pPr>
              <w:jc w:val="center"/>
              <w:rPr>
                <w:rFonts w:cs="Times New Roman"/>
                <w:sz w:val="18"/>
                <w:szCs w:val="18"/>
                <w:lang w:val="cs-CZ"/>
              </w:rPr>
            </w:pPr>
            <w:r w:rsidRPr="007C705C">
              <w:rPr>
                <w:rFonts w:cs="Times New Roman"/>
                <w:sz w:val="18"/>
                <w:szCs w:val="18"/>
                <w:lang w:val="cs-CZ"/>
              </w:rPr>
              <w:t>1 000 t NH</w:t>
            </w:r>
            <w:r w:rsidRPr="007C705C">
              <w:rPr>
                <w:rFonts w:cs="Times New Roman"/>
                <w:sz w:val="18"/>
                <w:szCs w:val="18"/>
                <w:vertAlign w:val="subscript"/>
                <w:lang w:val="cs-CZ"/>
              </w:rPr>
              <w:t>3</w:t>
            </w:r>
          </w:p>
        </w:tc>
        <w:tc>
          <w:tcPr>
            <w:tcW w:w="330" w:type="pct"/>
            <w:vAlign w:val="center"/>
          </w:tcPr>
          <w:p w14:paraId="0CCF8F1E" w14:textId="77777777" w:rsidR="003E0F58" w:rsidRPr="007C705C" w:rsidRDefault="003E0F58" w:rsidP="004D2249">
            <w:pPr>
              <w:jc w:val="center"/>
              <w:rPr>
                <w:rFonts w:cs="Times New Roman"/>
                <w:sz w:val="20"/>
                <w:lang w:val="cs-CZ"/>
              </w:rPr>
            </w:pPr>
            <w:r w:rsidRPr="007C705C">
              <w:rPr>
                <w:rFonts w:cs="Times New Roman"/>
                <w:sz w:val="20"/>
                <w:lang w:val="cs-CZ"/>
              </w:rPr>
              <w:t>15,</w:t>
            </w:r>
            <w:r w:rsidRPr="007C705C">
              <w:rPr>
                <w:rFonts w:cs="Times New Roman"/>
                <w:sz w:val="18"/>
                <w:szCs w:val="18"/>
                <w:lang w:val="cs-CZ"/>
              </w:rPr>
              <w:t>2</w:t>
            </w:r>
          </w:p>
        </w:tc>
        <w:tc>
          <w:tcPr>
            <w:tcW w:w="330" w:type="pct"/>
            <w:vAlign w:val="center"/>
          </w:tcPr>
          <w:p w14:paraId="11B22C58" w14:textId="77777777" w:rsidR="003E0F58" w:rsidRPr="007C705C" w:rsidRDefault="003E0F58" w:rsidP="004D2249">
            <w:pPr>
              <w:jc w:val="center"/>
              <w:rPr>
                <w:rFonts w:cs="Times New Roman"/>
                <w:sz w:val="20"/>
                <w:lang w:val="cs-CZ"/>
              </w:rPr>
            </w:pPr>
            <w:r w:rsidRPr="007C705C">
              <w:rPr>
                <w:rFonts w:cs="Times New Roman"/>
                <w:sz w:val="20"/>
                <w:lang w:val="cs-CZ"/>
              </w:rPr>
              <w:t>15,5</w:t>
            </w:r>
          </w:p>
        </w:tc>
        <w:tc>
          <w:tcPr>
            <w:tcW w:w="330" w:type="pct"/>
            <w:vAlign w:val="center"/>
          </w:tcPr>
          <w:p w14:paraId="7B5BF984" w14:textId="77777777" w:rsidR="003E0F58" w:rsidRPr="007C705C" w:rsidRDefault="003E0F58" w:rsidP="004D2249">
            <w:pPr>
              <w:jc w:val="center"/>
              <w:rPr>
                <w:rFonts w:cs="Times New Roman"/>
                <w:sz w:val="20"/>
                <w:lang w:val="cs-CZ"/>
              </w:rPr>
            </w:pPr>
            <w:r w:rsidRPr="007C705C">
              <w:rPr>
                <w:rFonts w:cs="Times New Roman"/>
                <w:sz w:val="20"/>
                <w:lang w:val="cs-CZ"/>
              </w:rPr>
              <w:t>16,3</w:t>
            </w:r>
          </w:p>
        </w:tc>
        <w:tc>
          <w:tcPr>
            <w:tcW w:w="330" w:type="pct"/>
            <w:vAlign w:val="center"/>
          </w:tcPr>
          <w:p w14:paraId="12803D15" w14:textId="77777777" w:rsidR="003E0F58" w:rsidRPr="007C705C" w:rsidRDefault="003E0F58" w:rsidP="004D2249">
            <w:pPr>
              <w:jc w:val="center"/>
              <w:rPr>
                <w:rFonts w:cs="Times New Roman"/>
                <w:sz w:val="20"/>
                <w:lang w:val="cs-CZ"/>
              </w:rPr>
            </w:pPr>
            <w:r w:rsidRPr="007C705C">
              <w:rPr>
                <w:rFonts w:cs="Times New Roman"/>
                <w:sz w:val="20"/>
                <w:lang w:val="cs-CZ"/>
              </w:rPr>
              <w:t>17,0</w:t>
            </w:r>
          </w:p>
        </w:tc>
        <w:tc>
          <w:tcPr>
            <w:tcW w:w="330" w:type="pct"/>
            <w:vAlign w:val="center"/>
          </w:tcPr>
          <w:p w14:paraId="5CB4197B" w14:textId="77777777" w:rsidR="003E0F58" w:rsidRPr="007C705C" w:rsidRDefault="003E0F58" w:rsidP="004D2249">
            <w:pPr>
              <w:jc w:val="center"/>
              <w:rPr>
                <w:rFonts w:cs="Times New Roman"/>
                <w:sz w:val="20"/>
                <w:lang w:val="cs-CZ"/>
              </w:rPr>
            </w:pPr>
            <w:r w:rsidRPr="007C705C">
              <w:rPr>
                <w:rFonts w:cs="Times New Roman"/>
                <w:sz w:val="20"/>
                <w:lang w:val="cs-CZ"/>
              </w:rPr>
              <w:t>17,9</w:t>
            </w:r>
          </w:p>
        </w:tc>
        <w:tc>
          <w:tcPr>
            <w:tcW w:w="330" w:type="pct"/>
            <w:vAlign w:val="center"/>
          </w:tcPr>
          <w:p w14:paraId="04426F22" w14:textId="77777777" w:rsidR="003E0F58" w:rsidRPr="007C705C" w:rsidRDefault="003E0F58" w:rsidP="004D2249">
            <w:pPr>
              <w:jc w:val="center"/>
              <w:rPr>
                <w:rFonts w:cs="Times New Roman"/>
                <w:sz w:val="20"/>
                <w:lang w:val="cs-CZ"/>
              </w:rPr>
            </w:pPr>
            <w:r w:rsidRPr="007C705C">
              <w:rPr>
                <w:rFonts w:cs="Times New Roman"/>
                <w:sz w:val="18"/>
                <w:szCs w:val="18"/>
                <w:lang w:val="cs-CZ"/>
              </w:rPr>
              <w:t>18,4</w:t>
            </w:r>
          </w:p>
        </w:tc>
        <w:tc>
          <w:tcPr>
            <w:tcW w:w="330" w:type="pct"/>
            <w:vAlign w:val="center"/>
          </w:tcPr>
          <w:p w14:paraId="03AE30F7" w14:textId="77777777" w:rsidR="003E0F58" w:rsidRPr="007C705C" w:rsidRDefault="003E0F58" w:rsidP="004D2249">
            <w:pPr>
              <w:jc w:val="center"/>
              <w:rPr>
                <w:rFonts w:cs="Times New Roman"/>
                <w:sz w:val="20"/>
                <w:lang w:val="cs-CZ"/>
              </w:rPr>
            </w:pPr>
            <w:r w:rsidRPr="007C705C">
              <w:rPr>
                <w:rFonts w:cs="Times New Roman"/>
                <w:sz w:val="18"/>
                <w:szCs w:val="18"/>
                <w:lang w:val="cs-CZ"/>
              </w:rPr>
              <w:t>18,5</w:t>
            </w:r>
          </w:p>
        </w:tc>
        <w:tc>
          <w:tcPr>
            <w:tcW w:w="330" w:type="pct"/>
            <w:vAlign w:val="center"/>
          </w:tcPr>
          <w:p w14:paraId="4C991D64" w14:textId="77777777" w:rsidR="003E0F58" w:rsidRPr="007C705C" w:rsidRDefault="003E0F58" w:rsidP="004D2249">
            <w:pPr>
              <w:jc w:val="center"/>
              <w:rPr>
                <w:rFonts w:cs="Times New Roman"/>
                <w:sz w:val="20"/>
                <w:lang w:val="cs-CZ"/>
              </w:rPr>
            </w:pPr>
            <w:r w:rsidRPr="007C705C">
              <w:rPr>
                <w:rFonts w:cs="Times New Roman"/>
                <w:sz w:val="18"/>
                <w:szCs w:val="18"/>
                <w:lang w:val="cs-CZ"/>
              </w:rPr>
              <w:t>20,02</w:t>
            </w:r>
          </w:p>
        </w:tc>
        <w:tc>
          <w:tcPr>
            <w:tcW w:w="330" w:type="pct"/>
            <w:shd w:val="clear" w:color="auto" w:fill="auto"/>
            <w:vAlign w:val="center"/>
          </w:tcPr>
          <w:p w14:paraId="29095EDF" w14:textId="77777777" w:rsidR="003E0F58" w:rsidRPr="007C705C" w:rsidRDefault="003E0F58" w:rsidP="004D2249">
            <w:pPr>
              <w:jc w:val="center"/>
              <w:rPr>
                <w:rFonts w:cs="Times New Roman"/>
                <w:sz w:val="20"/>
                <w:lang w:val="cs-CZ"/>
              </w:rPr>
            </w:pPr>
            <w:r w:rsidRPr="007C705C">
              <w:rPr>
                <w:rFonts w:cs="Times New Roman"/>
                <w:sz w:val="18"/>
                <w:szCs w:val="18"/>
                <w:lang w:val="cs-CZ"/>
              </w:rPr>
              <w:t>19,54</w:t>
            </w:r>
          </w:p>
        </w:tc>
        <w:tc>
          <w:tcPr>
            <w:tcW w:w="330" w:type="pct"/>
            <w:shd w:val="clear" w:color="auto" w:fill="auto"/>
            <w:vAlign w:val="center"/>
          </w:tcPr>
          <w:p w14:paraId="678946CF" w14:textId="77777777" w:rsidR="003E0F58" w:rsidRPr="007C705C" w:rsidRDefault="003E0F58" w:rsidP="004D2249">
            <w:pPr>
              <w:jc w:val="center"/>
              <w:rPr>
                <w:rFonts w:cs="Times New Roman"/>
                <w:sz w:val="18"/>
                <w:szCs w:val="18"/>
                <w:lang w:val="cs-CZ"/>
              </w:rPr>
            </w:pPr>
            <w:r w:rsidRPr="007C705C">
              <w:rPr>
                <w:rFonts w:cs="Times New Roman"/>
                <w:sz w:val="18"/>
                <w:szCs w:val="18"/>
                <w:lang w:val="cs-CZ"/>
              </w:rPr>
              <w:t>23,15</w:t>
            </w:r>
          </w:p>
        </w:tc>
      </w:tr>
      <w:tr w:rsidR="003E0F58" w:rsidRPr="007C705C" w14:paraId="551B8B7E" w14:textId="77777777" w:rsidTr="004D2249">
        <w:trPr>
          <w:trHeight w:val="341"/>
        </w:trPr>
        <w:tc>
          <w:tcPr>
            <w:tcW w:w="1219" w:type="pct"/>
            <w:shd w:val="clear" w:color="auto" w:fill="auto"/>
            <w:vAlign w:val="center"/>
          </w:tcPr>
          <w:p w14:paraId="5CF56EA1" w14:textId="77777777" w:rsidR="003E0F58" w:rsidRPr="007C705C" w:rsidRDefault="003E0F58" w:rsidP="004D2249">
            <w:pPr>
              <w:jc w:val="left"/>
              <w:rPr>
                <w:rFonts w:cs="Times New Roman"/>
                <w:sz w:val="18"/>
                <w:szCs w:val="18"/>
                <w:lang w:val="cs-CZ"/>
              </w:rPr>
            </w:pPr>
            <w:r w:rsidRPr="007C705C">
              <w:rPr>
                <w:rFonts w:cs="Times New Roman"/>
                <w:sz w:val="18"/>
                <w:szCs w:val="18"/>
                <w:lang w:val="cs-CZ"/>
              </w:rPr>
              <w:t>Celkové roční emise NH</w:t>
            </w:r>
            <w:r w:rsidRPr="007C705C">
              <w:rPr>
                <w:rFonts w:cs="Times New Roman"/>
                <w:sz w:val="18"/>
                <w:szCs w:val="18"/>
                <w:vertAlign w:val="subscript"/>
                <w:lang w:val="cs-CZ"/>
              </w:rPr>
              <w:t>3</w:t>
            </w:r>
            <w:r w:rsidRPr="007C705C">
              <w:rPr>
                <w:rFonts w:cs="Times New Roman"/>
                <w:sz w:val="18"/>
                <w:szCs w:val="18"/>
                <w:lang w:val="cs-CZ"/>
              </w:rPr>
              <w:t xml:space="preserve"> z dojeného skotu (NFR subsektor 3B1a)</w:t>
            </w:r>
          </w:p>
        </w:tc>
        <w:tc>
          <w:tcPr>
            <w:tcW w:w="481" w:type="pct"/>
            <w:shd w:val="clear" w:color="auto" w:fill="auto"/>
            <w:vAlign w:val="center"/>
          </w:tcPr>
          <w:p w14:paraId="4EA1F054" w14:textId="77777777" w:rsidR="003E0F58" w:rsidRPr="007C705C" w:rsidRDefault="003E0F58" w:rsidP="004D2249">
            <w:pPr>
              <w:jc w:val="center"/>
              <w:rPr>
                <w:rFonts w:cs="Times New Roman"/>
                <w:sz w:val="18"/>
                <w:szCs w:val="18"/>
                <w:lang w:val="cs-CZ"/>
              </w:rPr>
            </w:pPr>
            <w:r w:rsidRPr="007C705C">
              <w:rPr>
                <w:rFonts w:cs="Times New Roman"/>
                <w:sz w:val="18"/>
                <w:szCs w:val="18"/>
                <w:lang w:val="cs-CZ"/>
              </w:rPr>
              <w:t>1 000 t NH</w:t>
            </w:r>
            <w:r w:rsidRPr="007C705C">
              <w:rPr>
                <w:rFonts w:cs="Times New Roman"/>
                <w:sz w:val="18"/>
                <w:szCs w:val="18"/>
                <w:vertAlign w:val="subscript"/>
                <w:lang w:val="cs-CZ"/>
              </w:rPr>
              <w:t>3</w:t>
            </w:r>
          </w:p>
        </w:tc>
        <w:tc>
          <w:tcPr>
            <w:tcW w:w="330" w:type="pct"/>
            <w:vAlign w:val="center"/>
          </w:tcPr>
          <w:p w14:paraId="358D9830" w14:textId="77777777" w:rsidR="003E0F58" w:rsidRPr="007C705C" w:rsidRDefault="003E0F58" w:rsidP="004D2249">
            <w:pPr>
              <w:jc w:val="center"/>
              <w:rPr>
                <w:rFonts w:cs="Times New Roman"/>
                <w:sz w:val="20"/>
                <w:lang w:val="cs-CZ"/>
              </w:rPr>
            </w:pPr>
            <w:r w:rsidRPr="007C705C">
              <w:rPr>
                <w:rFonts w:cs="Times New Roman"/>
                <w:sz w:val="20"/>
                <w:lang w:val="cs-CZ"/>
              </w:rPr>
              <w:t>8,</w:t>
            </w:r>
            <w:r w:rsidRPr="007C705C">
              <w:rPr>
                <w:rFonts w:cs="Times New Roman"/>
                <w:sz w:val="18"/>
                <w:szCs w:val="18"/>
                <w:lang w:val="cs-CZ"/>
              </w:rPr>
              <w:t>7</w:t>
            </w:r>
          </w:p>
        </w:tc>
        <w:tc>
          <w:tcPr>
            <w:tcW w:w="330" w:type="pct"/>
            <w:vAlign w:val="center"/>
          </w:tcPr>
          <w:p w14:paraId="141442D4" w14:textId="77777777" w:rsidR="003E0F58" w:rsidRPr="007C705C" w:rsidRDefault="003E0F58" w:rsidP="004D2249">
            <w:pPr>
              <w:jc w:val="center"/>
              <w:rPr>
                <w:rFonts w:cs="Times New Roman"/>
                <w:sz w:val="20"/>
                <w:lang w:val="cs-CZ"/>
              </w:rPr>
            </w:pPr>
            <w:r w:rsidRPr="007C705C">
              <w:rPr>
                <w:rFonts w:cs="Times New Roman"/>
                <w:sz w:val="20"/>
                <w:lang w:val="cs-CZ"/>
              </w:rPr>
              <w:t>8,</w:t>
            </w:r>
            <w:r w:rsidRPr="007C705C">
              <w:rPr>
                <w:rFonts w:cs="Times New Roman"/>
                <w:sz w:val="18"/>
                <w:szCs w:val="18"/>
                <w:lang w:val="cs-CZ"/>
              </w:rPr>
              <w:t>3</w:t>
            </w:r>
          </w:p>
        </w:tc>
        <w:tc>
          <w:tcPr>
            <w:tcW w:w="330" w:type="pct"/>
            <w:vAlign w:val="center"/>
          </w:tcPr>
          <w:p w14:paraId="68548D3D" w14:textId="77777777" w:rsidR="003E0F58" w:rsidRPr="007C705C" w:rsidRDefault="003E0F58" w:rsidP="004D2249">
            <w:pPr>
              <w:jc w:val="center"/>
              <w:rPr>
                <w:rFonts w:cs="Times New Roman"/>
                <w:sz w:val="20"/>
                <w:lang w:val="cs-CZ"/>
              </w:rPr>
            </w:pPr>
            <w:r w:rsidRPr="007C705C">
              <w:rPr>
                <w:rFonts w:cs="Times New Roman"/>
                <w:sz w:val="20"/>
                <w:lang w:val="cs-CZ"/>
              </w:rPr>
              <w:t>8,</w:t>
            </w:r>
            <w:r w:rsidRPr="007C705C">
              <w:rPr>
                <w:rFonts w:cs="Times New Roman"/>
                <w:sz w:val="18"/>
                <w:szCs w:val="18"/>
                <w:lang w:val="cs-CZ"/>
              </w:rPr>
              <w:t>1</w:t>
            </w:r>
          </w:p>
        </w:tc>
        <w:tc>
          <w:tcPr>
            <w:tcW w:w="330" w:type="pct"/>
            <w:vAlign w:val="center"/>
          </w:tcPr>
          <w:p w14:paraId="0EBB4F47" w14:textId="77777777" w:rsidR="003E0F58" w:rsidRPr="007C705C" w:rsidRDefault="003E0F58" w:rsidP="004D2249">
            <w:pPr>
              <w:jc w:val="center"/>
              <w:rPr>
                <w:rFonts w:cs="Times New Roman"/>
                <w:sz w:val="20"/>
                <w:lang w:val="cs-CZ"/>
              </w:rPr>
            </w:pPr>
            <w:r w:rsidRPr="007C705C">
              <w:rPr>
                <w:rFonts w:cs="Times New Roman"/>
                <w:sz w:val="20"/>
                <w:lang w:val="cs-CZ"/>
              </w:rPr>
              <w:t>8,</w:t>
            </w:r>
            <w:r w:rsidRPr="007C705C">
              <w:rPr>
                <w:rFonts w:cs="Times New Roman"/>
                <w:sz w:val="18"/>
                <w:szCs w:val="18"/>
                <w:lang w:val="cs-CZ"/>
              </w:rPr>
              <w:t>1</w:t>
            </w:r>
          </w:p>
        </w:tc>
        <w:tc>
          <w:tcPr>
            <w:tcW w:w="330" w:type="pct"/>
            <w:vAlign w:val="center"/>
          </w:tcPr>
          <w:p w14:paraId="42DD22C5" w14:textId="77777777" w:rsidR="003E0F58" w:rsidRPr="007C705C" w:rsidRDefault="003E0F58" w:rsidP="004D2249">
            <w:pPr>
              <w:jc w:val="center"/>
              <w:rPr>
                <w:rFonts w:cs="Times New Roman"/>
                <w:sz w:val="20"/>
                <w:lang w:val="cs-CZ"/>
              </w:rPr>
            </w:pPr>
            <w:r w:rsidRPr="007C705C">
              <w:rPr>
                <w:rFonts w:cs="Times New Roman"/>
                <w:sz w:val="20"/>
                <w:lang w:val="cs-CZ"/>
              </w:rPr>
              <w:t>8,</w:t>
            </w:r>
            <w:r w:rsidRPr="007C705C">
              <w:rPr>
                <w:rFonts w:cs="Times New Roman"/>
                <w:sz w:val="18"/>
                <w:szCs w:val="18"/>
                <w:lang w:val="cs-CZ"/>
              </w:rPr>
              <w:t>0</w:t>
            </w:r>
          </w:p>
        </w:tc>
        <w:tc>
          <w:tcPr>
            <w:tcW w:w="330" w:type="pct"/>
            <w:vAlign w:val="center"/>
          </w:tcPr>
          <w:p w14:paraId="388BC073" w14:textId="77777777" w:rsidR="003E0F58" w:rsidRPr="007C705C" w:rsidRDefault="003E0F58" w:rsidP="004D2249">
            <w:pPr>
              <w:jc w:val="center"/>
              <w:rPr>
                <w:rFonts w:cs="Times New Roman"/>
                <w:sz w:val="20"/>
                <w:lang w:val="cs-CZ"/>
              </w:rPr>
            </w:pPr>
            <w:r w:rsidRPr="007C705C">
              <w:rPr>
                <w:rFonts w:cs="Times New Roman"/>
                <w:sz w:val="20"/>
                <w:lang w:val="cs-CZ"/>
              </w:rPr>
              <w:t>8,1</w:t>
            </w:r>
          </w:p>
        </w:tc>
        <w:tc>
          <w:tcPr>
            <w:tcW w:w="330" w:type="pct"/>
            <w:vAlign w:val="center"/>
          </w:tcPr>
          <w:p w14:paraId="6462D04B" w14:textId="77777777" w:rsidR="003E0F58" w:rsidRPr="007C705C" w:rsidRDefault="003E0F58" w:rsidP="004D2249">
            <w:pPr>
              <w:jc w:val="center"/>
              <w:rPr>
                <w:rFonts w:cs="Times New Roman"/>
                <w:sz w:val="20"/>
                <w:lang w:val="cs-CZ"/>
              </w:rPr>
            </w:pPr>
            <w:r w:rsidRPr="007C705C">
              <w:rPr>
                <w:rFonts w:cs="Times New Roman"/>
                <w:sz w:val="20"/>
                <w:lang w:val="cs-CZ"/>
              </w:rPr>
              <w:t>8,</w:t>
            </w:r>
            <w:r w:rsidRPr="007C705C">
              <w:rPr>
                <w:rFonts w:cs="Times New Roman"/>
                <w:sz w:val="18"/>
                <w:szCs w:val="18"/>
                <w:lang w:val="cs-CZ"/>
              </w:rPr>
              <w:t>1</w:t>
            </w:r>
          </w:p>
        </w:tc>
        <w:tc>
          <w:tcPr>
            <w:tcW w:w="330" w:type="pct"/>
            <w:vAlign w:val="center"/>
          </w:tcPr>
          <w:p w14:paraId="3DDDC941" w14:textId="77777777" w:rsidR="003E0F58" w:rsidRPr="007C705C" w:rsidRDefault="003E0F58" w:rsidP="004D2249">
            <w:pPr>
              <w:jc w:val="center"/>
              <w:rPr>
                <w:rFonts w:cs="Times New Roman"/>
                <w:sz w:val="20"/>
                <w:lang w:val="cs-CZ"/>
              </w:rPr>
            </w:pPr>
            <w:r w:rsidRPr="007C705C">
              <w:rPr>
                <w:rFonts w:cs="Times New Roman"/>
                <w:sz w:val="20"/>
                <w:lang w:val="cs-CZ"/>
              </w:rPr>
              <w:t>8,1</w:t>
            </w:r>
          </w:p>
        </w:tc>
        <w:tc>
          <w:tcPr>
            <w:tcW w:w="330" w:type="pct"/>
            <w:shd w:val="clear" w:color="auto" w:fill="auto"/>
            <w:vAlign w:val="center"/>
          </w:tcPr>
          <w:p w14:paraId="007E8DB2" w14:textId="77777777" w:rsidR="003E0F58" w:rsidRPr="007C705C" w:rsidRDefault="003E0F58" w:rsidP="004D2249">
            <w:pPr>
              <w:jc w:val="center"/>
              <w:rPr>
                <w:rFonts w:cs="Times New Roman"/>
                <w:sz w:val="20"/>
                <w:lang w:val="cs-CZ"/>
              </w:rPr>
            </w:pPr>
            <w:r w:rsidRPr="007C705C">
              <w:rPr>
                <w:rFonts w:cs="Times New Roman"/>
                <w:sz w:val="20"/>
                <w:lang w:val="cs-CZ"/>
              </w:rPr>
              <w:t>8,</w:t>
            </w:r>
            <w:r w:rsidRPr="007C705C">
              <w:rPr>
                <w:rFonts w:cs="Times New Roman"/>
                <w:sz w:val="18"/>
                <w:szCs w:val="18"/>
                <w:lang w:val="cs-CZ"/>
              </w:rPr>
              <w:t>0</w:t>
            </w:r>
          </w:p>
        </w:tc>
        <w:tc>
          <w:tcPr>
            <w:tcW w:w="330" w:type="pct"/>
            <w:shd w:val="clear" w:color="auto" w:fill="auto"/>
            <w:vAlign w:val="center"/>
          </w:tcPr>
          <w:p w14:paraId="120E994B" w14:textId="77777777" w:rsidR="003E0F58" w:rsidRPr="007C705C" w:rsidRDefault="003E0F58" w:rsidP="004D2249">
            <w:pPr>
              <w:jc w:val="center"/>
              <w:rPr>
                <w:rFonts w:cs="Times New Roman"/>
                <w:sz w:val="18"/>
                <w:szCs w:val="18"/>
                <w:lang w:val="cs-CZ"/>
              </w:rPr>
            </w:pPr>
            <w:r w:rsidRPr="007C705C">
              <w:rPr>
                <w:rFonts w:cs="Times New Roman"/>
                <w:sz w:val="18"/>
                <w:szCs w:val="18"/>
                <w:lang w:val="cs-CZ"/>
              </w:rPr>
              <w:t>7,9</w:t>
            </w:r>
          </w:p>
        </w:tc>
      </w:tr>
      <w:tr w:rsidR="003E0F58" w:rsidRPr="007C705C" w14:paraId="00460BFA" w14:textId="77777777" w:rsidTr="004D2249">
        <w:trPr>
          <w:trHeight w:val="341"/>
        </w:trPr>
        <w:tc>
          <w:tcPr>
            <w:tcW w:w="1219" w:type="pct"/>
            <w:shd w:val="clear" w:color="auto" w:fill="auto"/>
            <w:vAlign w:val="center"/>
          </w:tcPr>
          <w:p w14:paraId="1CC33D6D" w14:textId="77777777" w:rsidR="003E0F58" w:rsidRPr="007C705C" w:rsidRDefault="003E0F58" w:rsidP="004D2249">
            <w:pPr>
              <w:jc w:val="left"/>
              <w:rPr>
                <w:rFonts w:cs="Times New Roman"/>
                <w:sz w:val="18"/>
                <w:szCs w:val="18"/>
                <w:lang w:val="cs-CZ"/>
              </w:rPr>
            </w:pPr>
            <w:r w:rsidRPr="007C705C">
              <w:rPr>
                <w:rFonts w:cs="Times New Roman"/>
                <w:sz w:val="18"/>
                <w:szCs w:val="18"/>
                <w:lang w:val="cs-CZ"/>
              </w:rPr>
              <w:t>Celkové roční emise NH</w:t>
            </w:r>
            <w:r w:rsidRPr="007C705C">
              <w:rPr>
                <w:rFonts w:cs="Times New Roman"/>
                <w:sz w:val="18"/>
                <w:szCs w:val="18"/>
                <w:vertAlign w:val="subscript"/>
                <w:lang w:val="cs-CZ"/>
              </w:rPr>
              <w:t>3</w:t>
            </w:r>
            <w:r w:rsidRPr="007C705C">
              <w:rPr>
                <w:rFonts w:cs="Times New Roman"/>
                <w:sz w:val="18"/>
                <w:szCs w:val="18"/>
                <w:lang w:val="cs-CZ"/>
              </w:rPr>
              <w:t xml:space="preserve"> z nedojeného skotu (NFR subsektor 3B1b)</w:t>
            </w:r>
          </w:p>
        </w:tc>
        <w:tc>
          <w:tcPr>
            <w:tcW w:w="481" w:type="pct"/>
            <w:shd w:val="clear" w:color="auto" w:fill="auto"/>
            <w:vAlign w:val="center"/>
          </w:tcPr>
          <w:p w14:paraId="091835E6" w14:textId="77777777" w:rsidR="003E0F58" w:rsidRPr="007C705C" w:rsidRDefault="003E0F58" w:rsidP="004D2249">
            <w:pPr>
              <w:jc w:val="center"/>
              <w:rPr>
                <w:rFonts w:cs="Times New Roman"/>
                <w:sz w:val="18"/>
                <w:szCs w:val="18"/>
                <w:lang w:val="cs-CZ"/>
              </w:rPr>
            </w:pPr>
            <w:r w:rsidRPr="007C705C">
              <w:rPr>
                <w:rFonts w:cs="Times New Roman"/>
                <w:sz w:val="18"/>
                <w:szCs w:val="18"/>
                <w:lang w:val="cs-CZ"/>
              </w:rPr>
              <w:t>1 000 t NH</w:t>
            </w:r>
            <w:r w:rsidRPr="007C705C">
              <w:rPr>
                <w:rFonts w:cs="Times New Roman"/>
                <w:sz w:val="18"/>
                <w:szCs w:val="18"/>
                <w:vertAlign w:val="subscript"/>
                <w:lang w:val="cs-CZ"/>
              </w:rPr>
              <w:t>3</w:t>
            </w:r>
          </w:p>
        </w:tc>
        <w:tc>
          <w:tcPr>
            <w:tcW w:w="330" w:type="pct"/>
            <w:vAlign w:val="center"/>
          </w:tcPr>
          <w:p w14:paraId="00D86DFC" w14:textId="77777777" w:rsidR="003E0F58" w:rsidRPr="007C705C" w:rsidRDefault="003E0F58" w:rsidP="004D2249">
            <w:pPr>
              <w:jc w:val="center"/>
              <w:rPr>
                <w:rFonts w:cs="Times New Roman"/>
                <w:sz w:val="20"/>
                <w:lang w:val="cs-CZ"/>
              </w:rPr>
            </w:pPr>
            <w:r w:rsidRPr="007C705C">
              <w:rPr>
                <w:rFonts w:cs="Times New Roman"/>
                <w:sz w:val="20"/>
                <w:lang w:val="cs-CZ"/>
              </w:rPr>
              <w:t>10,2</w:t>
            </w:r>
          </w:p>
        </w:tc>
        <w:tc>
          <w:tcPr>
            <w:tcW w:w="330" w:type="pct"/>
            <w:vAlign w:val="center"/>
          </w:tcPr>
          <w:p w14:paraId="09FFFD38" w14:textId="77777777" w:rsidR="003E0F58" w:rsidRPr="007C705C" w:rsidRDefault="003E0F58" w:rsidP="004D2249">
            <w:pPr>
              <w:jc w:val="center"/>
              <w:rPr>
                <w:rFonts w:cs="Times New Roman"/>
                <w:sz w:val="20"/>
                <w:lang w:val="cs-CZ"/>
              </w:rPr>
            </w:pPr>
            <w:r w:rsidRPr="007C705C">
              <w:rPr>
                <w:rFonts w:cs="Times New Roman"/>
                <w:sz w:val="20"/>
                <w:lang w:val="cs-CZ"/>
              </w:rPr>
              <w:t>10,</w:t>
            </w:r>
            <w:r w:rsidRPr="007C705C">
              <w:rPr>
                <w:rFonts w:cs="Times New Roman"/>
                <w:sz w:val="18"/>
                <w:szCs w:val="18"/>
                <w:lang w:val="cs-CZ"/>
              </w:rPr>
              <w:t>4</w:t>
            </w:r>
          </w:p>
        </w:tc>
        <w:tc>
          <w:tcPr>
            <w:tcW w:w="330" w:type="pct"/>
            <w:vAlign w:val="center"/>
          </w:tcPr>
          <w:p w14:paraId="3CA20850" w14:textId="77777777" w:rsidR="003E0F58" w:rsidRPr="007C705C" w:rsidRDefault="003E0F58" w:rsidP="004D2249">
            <w:pPr>
              <w:jc w:val="center"/>
              <w:rPr>
                <w:rFonts w:cs="Times New Roman"/>
                <w:sz w:val="20"/>
                <w:lang w:val="cs-CZ"/>
              </w:rPr>
            </w:pPr>
            <w:r w:rsidRPr="007C705C">
              <w:rPr>
                <w:rFonts w:cs="Times New Roman"/>
                <w:sz w:val="20"/>
                <w:lang w:val="cs-CZ"/>
              </w:rPr>
              <w:t>10,</w:t>
            </w:r>
            <w:r w:rsidRPr="007C705C">
              <w:rPr>
                <w:rFonts w:cs="Times New Roman"/>
                <w:sz w:val="18"/>
                <w:szCs w:val="18"/>
                <w:lang w:val="cs-CZ"/>
              </w:rPr>
              <w:t>7</w:t>
            </w:r>
          </w:p>
        </w:tc>
        <w:tc>
          <w:tcPr>
            <w:tcW w:w="330" w:type="pct"/>
            <w:vAlign w:val="center"/>
          </w:tcPr>
          <w:p w14:paraId="2F25C888" w14:textId="77777777" w:rsidR="003E0F58" w:rsidRPr="007C705C" w:rsidRDefault="003E0F58" w:rsidP="004D2249">
            <w:pPr>
              <w:jc w:val="center"/>
              <w:rPr>
                <w:rFonts w:cs="Times New Roman"/>
                <w:sz w:val="20"/>
                <w:lang w:val="cs-CZ"/>
              </w:rPr>
            </w:pPr>
            <w:r w:rsidRPr="007C705C">
              <w:rPr>
                <w:rFonts w:cs="Times New Roman"/>
                <w:sz w:val="20"/>
                <w:lang w:val="cs-CZ"/>
              </w:rPr>
              <w:t>10,</w:t>
            </w:r>
            <w:r w:rsidRPr="007C705C">
              <w:rPr>
                <w:rFonts w:cs="Times New Roman"/>
                <w:sz w:val="18"/>
                <w:szCs w:val="18"/>
                <w:lang w:val="cs-CZ"/>
              </w:rPr>
              <w:t>8</w:t>
            </w:r>
          </w:p>
        </w:tc>
        <w:tc>
          <w:tcPr>
            <w:tcW w:w="330" w:type="pct"/>
            <w:vAlign w:val="center"/>
          </w:tcPr>
          <w:p w14:paraId="578AD4EF" w14:textId="77777777" w:rsidR="003E0F58" w:rsidRPr="007C705C" w:rsidRDefault="003E0F58" w:rsidP="004D2249">
            <w:pPr>
              <w:jc w:val="center"/>
              <w:rPr>
                <w:rFonts w:cs="Times New Roman"/>
                <w:sz w:val="20"/>
                <w:lang w:val="cs-CZ"/>
              </w:rPr>
            </w:pPr>
            <w:r w:rsidRPr="007C705C">
              <w:rPr>
                <w:rFonts w:cs="Times New Roman"/>
                <w:sz w:val="18"/>
                <w:szCs w:val="18"/>
                <w:lang w:val="cs-CZ"/>
              </w:rPr>
              <w:t>11,0</w:t>
            </w:r>
          </w:p>
        </w:tc>
        <w:tc>
          <w:tcPr>
            <w:tcW w:w="330" w:type="pct"/>
            <w:vAlign w:val="center"/>
          </w:tcPr>
          <w:p w14:paraId="0417B244" w14:textId="77777777" w:rsidR="003E0F58" w:rsidRPr="007C705C" w:rsidRDefault="003E0F58" w:rsidP="004D2249">
            <w:pPr>
              <w:jc w:val="center"/>
              <w:rPr>
                <w:rFonts w:cs="Times New Roman"/>
                <w:sz w:val="20"/>
                <w:lang w:val="cs-CZ"/>
              </w:rPr>
            </w:pPr>
            <w:r w:rsidRPr="007C705C">
              <w:rPr>
                <w:rFonts w:cs="Times New Roman"/>
                <w:sz w:val="18"/>
                <w:szCs w:val="18"/>
                <w:lang w:val="cs-CZ"/>
              </w:rPr>
              <w:t>11,2</w:t>
            </w:r>
          </w:p>
        </w:tc>
        <w:tc>
          <w:tcPr>
            <w:tcW w:w="330" w:type="pct"/>
            <w:vAlign w:val="center"/>
          </w:tcPr>
          <w:p w14:paraId="1C1E7B39" w14:textId="77777777" w:rsidR="003E0F58" w:rsidRPr="007C705C" w:rsidRDefault="003E0F58" w:rsidP="004D2249">
            <w:pPr>
              <w:jc w:val="center"/>
              <w:rPr>
                <w:rFonts w:cs="Times New Roman"/>
                <w:sz w:val="20"/>
                <w:lang w:val="cs-CZ"/>
              </w:rPr>
            </w:pPr>
            <w:r w:rsidRPr="007C705C">
              <w:rPr>
                <w:rFonts w:cs="Times New Roman"/>
                <w:sz w:val="20"/>
                <w:lang w:val="cs-CZ"/>
              </w:rPr>
              <w:t>11,</w:t>
            </w:r>
            <w:r w:rsidRPr="007C705C">
              <w:rPr>
                <w:rFonts w:cs="Times New Roman"/>
                <w:sz w:val="18"/>
                <w:szCs w:val="18"/>
                <w:lang w:val="cs-CZ"/>
              </w:rPr>
              <w:t>7</w:t>
            </w:r>
          </w:p>
        </w:tc>
        <w:tc>
          <w:tcPr>
            <w:tcW w:w="330" w:type="pct"/>
            <w:vAlign w:val="center"/>
          </w:tcPr>
          <w:p w14:paraId="586A0D1A" w14:textId="77777777" w:rsidR="003E0F58" w:rsidRPr="007C705C" w:rsidRDefault="003E0F58" w:rsidP="004D2249">
            <w:pPr>
              <w:jc w:val="center"/>
              <w:rPr>
                <w:rFonts w:cs="Times New Roman"/>
                <w:sz w:val="20"/>
                <w:lang w:val="cs-CZ"/>
              </w:rPr>
            </w:pPr>
            <w:r w:rsidRPr="007C705C">
              <w:rPr>
                <w:rFonts w:cs="Times New Roman"/>
                <w:sz w:val="20"/>
                <w:lang w:val="cs-CZ"/>
              </w:rPr>
              <w:t>12,0</w:t>
            </w:r>
          </w:p>
        </w:tc>
        <w:tc>
          <w:tcPr>
            <w:tcW w:w="330" w:type="pct"/>
            <w:shd w:val="clear" w:color="auto" w:fill="auto"/>
            <w:vAlign w:val="center"/>
          </w:tcPr>
          <w:p w14:paraId="77857EA6" w14:textId="77777777" w:rsidR="003E0F58" w:rsidRPr="007C705C" w:rsidRDefault="003E0F58" w:rsidP="004D2249">
            <w:pPr>
              <w:jc w:val="center"/>
              <w:rPr>
                <w:rFonts w:cs="Times New Roman"/>
                <w:sz w:val="20"/>
                <w:lang w:val="cs-CZ"/>
              </w:rPr>
            </w:pPr>
            <w:r w:rsidRPr="007C705C">
              <w:rPr>
                <w:rFonts w:cs="Times New Roman"/>
                <w:sz w:val="18"/>
                <w:szCs w:val="18"/>
                <w:lang w:val="cs-CZ"/>
              </w:rPr>
              <w:t>10,1</w:t>
            </w:r>
          </w:p>
        </w:tc>
        <w:tc>
          <w:tcPr>
            <w:tcW w:w="330" w:type="pct"/>
            <w:shd w:val="clear" w:color="auto" w:fill="auto"/>
            <w:vAlign w:val="center"/>
          </w:tcPr>
          <w:p w14:paraId="5758AF33" w14:textId="77777777" w:rsidR="003E0F58" w:rsidRPr="007C705C" w:rsidRDefault="003E0F58" w:rsidP="004D2249">
            <w:pPr>
              <w:jc w:val="center"/>
              <w:rPr>
                <w:rFonts w:cs="Times New Roman"/>
                <w:sz w:val="18"/>
                <w:szCs w:val="18"/>
                <w:lang w:val="cs-CZ"/>
              </w:rPr>
            </w:pPr>
            <w:r w:rsidRPr="007C705C">
              <w:rPr>
                <w:rFonts w:cs="Times New Roman"/>
                <w:sz w:val="18"/>
                <w:szCs w:val="18"/>
                <w:lang w:val="cs-CZ"/>
              </w:rPr>
              <w:t>9,9</w:t>
            </w:r>
          </w:p>
        </w:tc>
      </w:tr>
      <w:tr w:rsidR="003E0F58" w:rsidRPr="007C705C" w14:paraId="67279DA6" w14:textId="77777777" w:rsidTr="004D2249">
        <w:trPr>
          <w:trHeight w:val="341"/>
        </w:trPr>
        <w:tc>
          <w:tcPr>
            <w:tcW w:w="1219" w:type="pct"/>
            <w:shd w:val="clear" w:color="auto" w:fill="auto"/>
            <w:vAlign w:val="center"/>
          </w:tcPr>
          <w:p w14:paraId="1A461E22" w14:textId="77777777" w:rsidR="003E0F58" w:rsidRPr="007C705C" w:rsidRDefault="003E0F58" w:rsidP="004D2249">
            <w:pPr>
              <w:jc w:val="left"/>
              <w:rPr>
                <w:rFonts w:cs="Times New Roman"/>
                <w:sz w:val="18"/>
                <w:szCs w:val="18"/>
                <w:lang w:val="cs-CZ"/>
              </w:rPr>
            </w:pPr>
            <w:r w:rsidRPr="007C705C">
              <w:rPr>
                <w:rFonts w:cs="Times New Roman"/>
                <w:sz w:val="18"/>
                <w:szCs w:val="18"/>
                <w:lang w:val="cs-CZ"/>
              </w:rPr>
              <w:t>Celkové roční emise NH</w:t>
            </w:r>
            <w:r w:rsidRPr="007C705C">
              <w:rPr>
                <w:rFonts w:cs="Times New Roman"/>
                <w:sz w:val="18"/>
                <w:szCs w:val="18"/>
                <w:vertAlign w:val="subscript"/>
                <w:lang w:val="cs-CZ"/>
              </w:rPr>
              <w:t>3</w:t>
            </w:r>
            <w:r w:rsidRPr="007C705C">
              <w:rPr>
                <w:rFonts w:cs="Times New Roman"/>
                <w:sz w:val="18"/>
                <w:szCs w:val="18"/>
                <w:lang w:val="cs-CZ"/>
              </w:rPr>
              <w:t xml:space="preserve"> z prasat (NFR subsektor 3B3)</w:t>
            </w:r>
          </w:p>
        </w:tc>
        <w:tc>
          <w:tcPr>
            <w:tcW w:w="481" w:type="pct"/>
            <w:shd w:val="clear" w:color="auto" w:fill="auto"/>
            <w:vAlign w:val="center"/>
          </w:tcPr>
          <w:p w14:paraId="0EFECD8E" w14:textId="77777777" w:rsidR="003E0F58" w:rsidRPr="007C705C" w:rsidRDefault="003E0F58" w:rsidP="004D2249">
            <w:pPr>
              <w:jc w:val="center"/>
              <w:rPr>
                <w:rFonts w:cs="Times New Roman"/>
                <w:sz w:val="18"/>
                <w:szCs w:val="18"/>
                <w:lang w:val="cs-CZ"/>
              </w:rPr>
            </w:pPr>
            <w:r w:rsidRPr="007C705C">
              <w:rPr>
                <w:rFonts w:cs="Times New Roman"/>
                <w:sz w:val="18"/>
                <w:szCs w:val="18"/>
                <w:lang w:val="cs-CZ"/>
              </w:rPr>
              <w:t>1 000 t NH</w:t>
            </w:r>
            <w:r w:rsidRPr="007C705C">
              <w:rPr>
                <w:rFonts w:cs="Times New Roman"/>
                <w:sz w:val="18"/>
                <w:szCs w:val="18"/>
                <w:vertAlign w:val="subscript"/>
                <w:lang w:val="cs-CZ"/>
              </w:rPr>
              <w:t>3</w:t>
            </w:r>
          </w:p>
        </w:tc>
        <w:tc>
          <w:tcPr>
            <w:tcW w:w="330" w:type="pct"/>
            <w:vAlign w:val="center"/>
          </w:tcPr>
          <w:p w14:paraId="60208234" w14:textId="77777777" w:rsidR="003E0F58" w:rsidRPr="007C705C" w:rsidRDefault="003E0F58" w:rsidP="004D2249">
            <w:pPr>
              <w:jc w:val="center"/>
              <w:rPr>
                <w:rFonts w:cs="Times New Roman"/>
                <w:sz w:val="20"/>
                <w:lang w:val="cs-CZ"/>
              </w:rPr>
            </w:pPr>
            <w:r w:rsidRPr="007C705C">
              <w:rPr>
                <w:rFonts w:cs="Times New Roman"/>
                <w:sz w:val="18"/>
                <w:szCs w:val="18"/>
                <w:lang w:val="cs-CZ"/>
              </w:rPr>
              <w:t>6,0</w:t>
            </w:r>
          </w:p>
        </w:tc>
        <w:tc>
          <w:tcPr>
            <w:tcW w:w="330" w:type="pct"/>
            <w:vAlign w:val="center"/>
          </w:tcPr>
          <w:p w14:paraId="5A2FEB13" w14:textId="77777777" w:rsidR="003E0F58" w:rsidRPr="007C705C" w:rsidRDefault="003E0F58" w:rsidP="004D2249">
            <w:pPr>
              <w:jc w:val="center"/>
              <w:rPr>
                <w:rFonts w:cs="Times New Roman"/>
                <w:sz w:val="20"/>
                <w:lang w:val="cs-CZ"/>
              </w:rPr>
            </w:pPr>
            <w:r w:rsidRPr="007C705C">
              <w:rPr>
                <w:rFonts w:cs="Times New Roman"/>
                <w:sz w:val="18"/>
                <w:szCs w:val="18"/>
                <w:lang w:val="cs-CZ"/>
              </w:rPr>
              <w:t>5,</w:t>
            </w:r>
            <w:r w:rsidRPr="007C705C">
              <w:rPr>
                <w:rFonts w:cs="Times New Roman"/>
                <w:sz w:val="20"/>
                <w:lang w:val="cs-CZ"/>
              </w:rPr>
              <w:t>7</w:t>
            </w:r>
          </w:p>
        </w:tc>
        <w:tc>
          <w:tcPr>
            <w:tcW w:w="330" w:type="pct"/>
            <w:vAlign w:val="center"/>
          </w:tcPr>
          <w:p w14:paraId="7B5A1050" w14:textId="77777777" w:rsidR="003E0F58" w:rsidRPr="007C705C" w:rsidRDefault="003E0F58" w:rsidP="004D2249">
            <w:pPr>
              <w:jc w:val="center"/>
              <w:rPr>
                <w:rFonts w:cs="Times New Roman"/>
                <w:sz w:val="20"/>
                <w:lang w:val="cs-CZ"/>
              </w:rPr>
            </w:pPr>
            <w:r w:rsidRPr="007C705C">
              <w:rPr>
                <w:rFonts w:cs="Times New Roman"/>
                <w:sz w:val="18"/>
                <w:szCs w:val="18"/>
                <w:lang w:val="cs-CZ"/>
              </w:rPr>
              <w:t>5</w:t>
            </w:r>
            <w:r w:rsidRPr="007C705C">
              <w:rPr>
                <w:rFonts w:cs="Times New Roman"/>
                <w:sz w:val="20"/>
                <w:lang w:val="cs-CZ"/>
              </w:rPr>
              <w:t>,0</w:t>
            </w:r>
          </w:p>
        </w:tc>
        <w:tc>
          <w:tcPr>
            <w:tcW w:w="330" w:type="pct"/>
            <w:vAlign w:val="center"/>
          </w:tcPr>
          <w:p w14:paraId="4930DA27" w14:textId="77777777" w:rsidR="003E0F58" w:rsidRPr="007C705C" w:rsidRDefault="003E0F58" w:rsidP="004D2249">
            <w:pPr>
              <w:jc w:val="center"/>
              <w:rPr>
                <w:rFonts w:cs="Times New Roman"/>
                <w:sz w:val="20"/>
                <w:lang w:val="cs-CZ"/>
              </w:rPr>
            </w:pPr>
            <w:r w:rsidRPr="007C705C">
              <w:rPr>
                <w:rFonts w:cs="Times New Roman"/>
                <w:sz w:val="18"/>
                <w:szCs w:val="18"/>
                <w:lang w:val="cs-CZ"/>
              </w:rPr>
              <w:t>4</w:t>
            </w:r>
            <w:r w:rsidRPr="007C705C">
              <w:rPr>
                <w:rFonts w:cs="Times New Roman"/>
                <w:sz w:val="20"/>
                <w:lang w:val="cs-CZ"/>
              </w:rPr>
              <w:t>,7</w:t>
            </w:r>
          </w:p>
        </w:tc>
        <w:tc>
          <w:tcPr>
            <w:tcW w:w="330" w:type="pct"/>
            <w:vAlign w:val="center"/>
          </w:tcPr>
          <w:p w14:paraId="722DE534" w14:textId="77777777" w:rsidR="003E0F58" w:rsidRPr="007C705C" w:rsidRDefault="003E0F58" w:rsidP="004D2249">
            <w:pPr>
              <w:jc w:val="center"/>
              <w:rPr>
                <w:rFonts w:cs="Times New Roman"/>
                <w:sz w:val="20"/>
                <w:lang w:val="cs-CZ"/>
              </w:rPr>
            </w:pPr>
            <w:r w:rsidRPr="007C705C">
              <w:rPr>
                <w:rFonts w:cs="Times New Roman"/>
                <w:sz w:val="18"/>
                <w:szCs w:val="18"/>
                <w:lang w:val="cs-CZ"/>
              </w:rPr>
              <w:t>4,8</w:t>
            </w:r>
          </w:p>
        </w:tc>
        <w:tc>
          <w:tcPr>
            <w:tcW w:w="330" w:type="pct"/>
            <w:vAlign w:val="center"/>
          </w:tcPr>
          <w:p w14:paraId="65BEF054" w14:textId="77777777" w:rsidR="003E0F58" w:rsidRPr="007C705C" w:rsidRDefault="003E0F58" w:rsidP="004D2249">
            <w:pPr>
              <w:jc w:val="center"/>
              <w:rPr>
                <w:rFonts w:cs="Times New Roman"/>
                <w:sz w:val="20"/>
                <w:lang w:val="cs-CZ"/>
              </w:rPr>
            </w:pPr>
            <w:r w:rsidRPr="007C705C">
              <w:rPr>
                <w:rFonts w:cs="Times New Roman"/>
                <w:sz w:val="20"/>
                <w:lang w:val="cs-CZ"/>
              </w:rPr>
              <w:t>4,</w:t>
            </w:r>
            <w:r w:rsidRPr="007C705C">
              <w:rPr>
                <w:rFonts w:cs="Times New Roman"/>
                <w:sz w:val="18"/>
                <w:szCs w:val="18"/>
                <w:lang w:val="cs-CZ"/>
              </w:rPr>
              <w:t>8</w:t>
            </w:r>
          </w:p>
        </w:tc>
        <w:tc>
          <w:tcPr>
            <w:tcW w:w="330" w:type="pct"/>
            <w:vAlign w:val="center"/>
          </w:tcPr>
          <w:p w14:paraId="6916AAD8" w14:textId="77777777" w:rsidR="003E0F58" w:rsidRPr="007C705C" w:rsidRDefault="003E0F58" w:rsidP="004D2249">
            <w:pPr>
              <w:jc w:val="center"/>
              <w:rPr>
                <w:rFonts w:cs="Times New Roman"/>
                <w:sz w:val="20"/>
                <w:lang w:val="cs-CZ"/>
              </w:rPr>
            </w:pPr>
            <w:r w:rsidRPr="007C705C">
              <w:rPr>
                <w:rFonts w:cs="Times New Roman"/>
                <w:sz w:val="20"/>
                <w:lang w:val="cs-CZ"/>
              </w:rPr>
              <w:t>4,</w:t>
            </w:r>
            <w:r w:rsidRPr="007C705C">
              <w:rPr>
                <w:rFonts w:cs="Times New Roman"/>
                <w:sz w:val="18"/>
                <w:szCs w:val="18"/>
                <w:lang w:val="cs-CZ"/>
              </w:rPr>
              <w:t>7</w:t>
            </w:r>
          </w:p>
        </w:tc>
        <w:tc>
          <w:tcPr>
            <w:tcW w:w="330" w:type="pct"/>
            <w:vAlign w:val="center"/>
          </w:tcPr>
          <w:p w14:paraId="25A502A0" w14:textId="77777777" w:rsidR="003E0F58" w:rsidRPr="007C705C" w:rsidRDefault="003E0F58" w:rsidP="004D2249">
            <w:pPr>
              <w:jc w:val="center"/>
              <w:rPr>
                <w:rFonts w:cs="Times New Roman"/>
                <w:sz w:val="20"/>
                <w:lang w:val="cs-CZ"/>
              </w:rPr>
            </w:pPr>
            <w:r w:rsidRPr="007C705C">
              <w:rPr>
                <w:rFonts w:cs="Times New Roman"/>
                <w:sz w:val="20"/>
                <w:lang w:val="cs-CZ"/>
              </w:rPr>
              <w:t>4,</w:t>
            </w:r>
            <w:r w:rsidRPr="007C705C">
              <w:rPr>
                <w:rFonts w:cs="Times New Roman"/>
                <w:sz w:val="18"/>
                <w:szCs w:val="18"/>
                <w:lang w:val="cs-CZ"/>
              </w:rPr>
              <w:t>7</w:t>
            </w:r>
          </w:p>
        </w:tc>
        <w:tc>
          <w:tcPr>
            <w:tcW w:w="330" w:type="pct"/>
            <w:shd w:val="clear" w:color="auto" w:fill="auto"/>
            <w:vAlign w:val="center"/>
          </w:tcPr>
          <w:p w14:paraId="46628C04" w14:textId="77777777" w:rsidR="003E0F58" w:rsidRPr="007C705C" w:rsidRDefault="003E0F58" w:rsidP="004D2249">
            <w:pPr>
              <w:jc w:val="center"/>
              <w:rPr>
                <w:rFonts w:cs="Times New Roman"/>
                <w:sz w:val="20"/>
                <w:lang w:val="cs-CZ"/>
              </w:rPr>
            </w:pPr>
            <w:r w:rsidRPr="007C705C">
              <w:rPr>
                <w:rFonts w:cs="Times New Roman"/>
                <w:sz w:val="20"/>
                <w:lang w:val="cs-CZ"/>
              </w:rPr>
              <w:t>4,</w:t>
            </w:r>
            <w:r w:rsidRPr="007C705C">
              <w:rPr>
                <w:rFonts w:cs="Times New Roman"/>
                <w:sz w:val="18"/>
                <w:szCs w:val="18"/>
                <w:lang w:val="cs-CZ"/>
              </w:rPr>
              <w:t>4</w:t>
            </w:r>
          </w:p>
        </w:tc>
        <w:tc>
          <w:tcPr>
            <w:tcW w:w="330" w:type="pct"/>
            <w:shd w:val="clear" w:color="auto" w:fill="auto"/>
            <w:vAlign w:val="center"/>
          </w:tcPr>
          <w:p w14:paraId="4DA251C4" w14:textId="77777777" w:rsidR="003E0F58" w:rsidRPr="007C705C" w:rsidRDefault="003E0F58" w:rsidP="004D2249">
            <w:pPr>
              <w:jc w:val="center"/>
              <w:rPr>
                <w:rFonts w:cs="Times New Roman"/>
                <w:sz w:val="18"/>
                <w:szCs w:val="18"/>
                <w:lang w:val="cs-CZ"/>
              </w:rPr>
            </w:pPr>
            <w:r w:rsidRPr="007C705C">
              <w:rPr>
                <w:rFonts w:cs="Times New Roman"/>
                <w:sz w:val="20"/>
                <w:lang w:val="cs-CZ"/>
              </w:rPr>
              <w:t>4,</w:t>
            </w:r>
            <w:r w:rsidRPr="007C705C">
              <w:rPr>
                <w:rFonts w:cs="Times New Roman"/>
                <w:sz w:val="18"/>
                <w:szCs w:val="18"/>
                <w:lang w:val="cs-CZ"/>
              </w:rPr>
              <w:t>6</w:t>
            </w:r>
          </w:p>
        </w:tc>
      </w:tr>
      <w:tr w:rsidR="003E0F58" w:rsidRPr="007C705C" w14:paraId="5ECBFA5E" w14:textId="77777777" w:rsidTr="004D2249">
        <w:trPr>
          <w:trHeight w:val="341"/>
        </w:trPr>
        <w:tc>
          <w:tcPr>
            <w:tcW w:w="1219" w:type="pct"/>
            <w:shd w:val="clear" w:color="auto" w:fill="auto"/>
            <w:vAlign w:val="center"/>
          </w:tcPr>
          <w:p w14:paraId="75D7D426" w14:textId="77777777" w:rsidR="003E0F58" w:rsidRPr="007C705C" w:rsidRDefault="003E0F58" w:rsidP="004D2249">
            <w:pPr>
              <w:jc w:val="left"/>
              <w:rPr>
                <w:rFonts w:cs="Times New Roman"/>
                <w:sz w:val="18"/>
                <w:szCs w:val="18"/>
                <w:lang w:val="cs-CZ"/>
              </w:rPr>
            </w:pPr>
            <w:r w:rsidRPr="007C705C">
              <w:rPr>
                <w:rFonts w:cs="Times New Roman"/>
                <w:sz w:val="18"/>
                <w:szCs w:val="18"/>
                <w:lang w:val="cs-CZ"/>
              </w:rPr>
              <w:t>Celkové roční emise NH</w:t>
            </w:r>
            <w:r w:rsidRPr="007C705C">
              <w:rPr>
                <w:rFonts w:cs="Times New Roman"/>
                <w:sz w:val="18"/>
                <w:szCs w:val="18"/>
                <w:vertAlign w:val="subscript"/>
                <w:lang w:val="cs-CZ"/>
              </w:rPr>
              <w:t>3</w:t>
            </w:r>
            <w:r w:rsidRPr="007C705C">
              <w:rPr>
                <w:rFonts w:cs="Times New Roman"/>
                <w:sz w:val="18"/>
                <w:szCs w:val="18"/>
                <w:lang w:val="cs-CZ"/>
              </w:rPr>
              <w:t xml:space="preserve"> ze slepic (NFR subsektor 3B4gi)</w:t>
            </w:r>
          </w:p>
        </w:tc>
        <w:tc>
          <w:tcPr>
            <w:tcW w:w="481" w:type="pct"/>
            <w:shd w:val="clear" w:color="auto" w:fill="auto"/>
            <w:vAlign w:val="center"/>
          </w:tcPr>
          <w:p w14:paraId="73F2B6C1" w14:textId="77777777" w:rsidR="003E0F58" w:rsidRPr="007C705C" w:rsidRDefault="003E0F58" w:rsidP="004D2249">
            <w:pPr>
              <w:jc w:val="center"/>
              <w:rPr>
                <w:rFonts w:cs="Times New Roman"/>
                <w:sz w:val="18"/>
                <w:szCs w:val="18"/>
                <w:lang w:val="cs-CZ"/>
              </w:rPr>
            </w:pPr>
            <w:r w:rsidRPr="007C705C">
              <w:rPr>
                <w:rFonts w:cs="Times New Roman"/>
                <w:sz w:val="18"/>
                <w:szCs w:val="18"/>
                <w:lang w:val="cs-CZ"/>
              </w:rPr>
              <w:t>1 000 t NH</w:t>
            </w:r>
            <w:r w:rsidRPr="007C705C">
              <w:rPr>
                <w:rFonts w:cs="Times New Roman"/>
                <w:sz w:val="18"/>
                <w:szCs w:val="18"/>
                <w:vertAlign w:val="subscript"/>
                <w:lang w:val="cs-CZ"/>
              </w:rPr>
              <w:t>3</w:t>
            </w:r>
          </w:p>
        </w:tc>
        <w:tc>
          <w:tcPr>
            <w:tcW w:w="330" w:type="pct"/>
            <w:vAlign w:val="center"/>
          </w:tcPr>
          <w:p w14:paraId="4159FB2E" w14:textId="77777777" w:rsidR="003E0F58" w:rsidRPr="007C705C" w:rsidRDefault="003E0F58" w:rsidP="004D2249">
            <w:pPr>
              <w:jc w:val="center"/>
              <w:rPr>
                <w:rFonts w:cs="Times New Roman"/>
                <w:sz w:val="20"/>
                <w:lang w:val="cs-CZ"/>
              </w:rPr>
            </w:pPr>
            <w:r w:rsidRPr="007C705C">
              <w:rPr>
                <w:rFonts w:cs="Times New Roman"/>
                <w:sz w:val="18"/>
                <w:szCs w:val="18"/>
                <w:lang w:val="cs-CZ"/>
              </w:rPr>
              <w:t>2,6</w:t>
            </w:r>
          </w:p>
        </w:tc>
        <w:tc>
          <w:tcPr>
            <w:tcW w:w="330" w:type="pct"/>
            <w:vAlign w:val="center"/>
          </w:tcPr>
          <w:p w14:paraId="3405F14C" w14:textId="77777777" w:rsidR="003E0F58" w:rsidRPr="007C705C" w:rsidRDefault="003E0F58" w:rsidP="004D2249">
            <w:pPr>
              <w:jc w:val="center"/>
              <w:rPr>
                <w:rFonts w:cs="Times New Roman"/>
                <w:sz w:val="20"/>
                <w:lang w:val="cs-CZ"/>
              </w:rPr>
            </w:pPr>
            <w:r w:rsidRPr="007C705C">
              <w:rPr>
                <w:rFonts w:cs="Times New Roman"/>
                <w:sz w:val="18"/>
                <w:szCs w:val="18"/>
                <w:lang w:val="cs-CZ"/>
              </w:rPr>
              <w:t>2</w:t>
            </w:r>
            <w:r w:rsidRPr="007C705C">
              <w:rPr>
                <w:rFonts w:cs="Times New Roman"/>
                <w:sz w:val="20"/>
                <w:lang w:val="cs-CZ"/>
              </w:rPr>
              <w:t>,4</w:t>
            </w:r>
          </w:p>
        </w:tc>
        <w:tc>
          <w:tcPr>
            <w:tcW w:w="330" w:type="pct"/>
            <w:vAlign w:val="center"/>
          </w:tcPr>
          <w:p w14:paraId="6306C56D" w14:textId="77777777" w:rsidR="003E0F58" w:rsidRPr="007C705C" w:rsidRDefault="003E0F58" w:rsidP="004D2249">
            <w:pPr>
              <w:jc w:val="center"/>
              <w:rPr>
                <w:rFonts w:cs="Times New Roman"/>
                <w:sz w:val="20"/>
                <w:lang w:val="cs-CZ"/>
              </w:rPr>
            </w:pPr>
            <w:r w:rsidRPr="007C705C">
              <w:rPr>
                <w:rFonts w:cs="Times New Roman"/>
                <w:sz w:val="20"/>
                <w:lang w:val="cs-CZ"/>
              </w:rPr>
              <w:t>1,</w:t>
            </w:r>
            <w:r w:rsidRPr="007C705C">
              <w:rPr>
                <w:rFonts w:cs="Times New Roman"/>
                <w:sz w:val="18"/>
                <w:szCs w:val="18"/>
                <w:lang w:val="cs-CZ"/>
              </w:rPr>
              <w:t>9</w:t>
            </w:r>
          </w:p>
        </w:tc>
        <w:tc>
          <w:tcPr>
            <w:tcW w:w="330" w:type="pct"/>
            <w:vAlign w:val="center"/>
          </w:tcPr>
          <w:p w14:paraId="15D0D81E" w14:textId="77777777" w:rsidR="003E0F58" w:rsidRPr="007C705C" w:rsidRDefault="003E0F58" w:rsidP="004D2249">
            <w:pPr>
              <w:jc w:val="center"/>
              <w:rPr>
                <w:rFonts w:cs="Times New Roman"/>
                <w:sz w:val="20"/>
                <w:lang w:val="cs-CZ"/>
              </w:rPr>
            </w:pPr>
            <w:r w:rsidRPr="007C705C">
              <w:rPr>
                <w:rFonts w:cs="Times New Roman"/>
                <w:sz w:val="18"/>
                <w:szCs w:val="18"/>
                <w:lang w:val="cs-CZ"/>
              </w:rPr>
              <w:t>2,0</w:t>
            </w:r>
          </w:p>
        </w:tc>
        <w:tc>
          <w:tcPr>
            <w:tcW w:w="330" w:type="pct"/>
            <w:vAlign w:val="center"/>
          </w:tcPr>
          <w:p w14:paraId="07FFB17F" w14:textId="77777777" w:rsidR="003E0F58" w:rsidRPr="007C705C" w:rsidRDefault="003E0F58" w:rsidP="004D2249">
            <w:pPr>
              <w:jc w:val="center"/>
              <w:rPr>
                <w:rFonts w:cs="Times New Roman"/>
                <w:sz w:val="20"/>
                <w:lang w:val="cs-CZ"/>
              </w:rPr>
            </w:pPr>
            <w:r w:rsidRPr="007C705C">
              <w:rPr>
                <w:rFonts w:cs="Times New Roman"/>
                <w:sz w:val="18"/>
                <w:szCs w:val="18"/>
                <w:lang w:val="cs-CZ"/>
              </w:rPr>
              <w:t>2,0</w:t>
            </w:r>
          </w:p>
        </w:tc>
        <w:tc>
          <w:tcPr>
            <w:tcW w:w="330" w:type="pct"/>
            <w:vAlign w:val="center"/>
          </w:tcPr>
          <w:p w14:paraId="77490A42" w14:textId="77777777" w:rsidR="003E0F58" w:rsidRPr="007C705C" w:rsidRDefault="003E0F58" w:rsidP="004D2249">
            <w:pPr>
              <w:jc w:val="center"/>
              <w:rPr>
                <w:rFonts w:cs="Times New Roman"/>
                <w:sz w:val="20"/>
                <w:lang w:val="cs-CZ"/>
              </w:rPr>
            </w:pPr>
            <w:r w:rsidRPr="007C705C">
              <w:rPr>
                <w:rFonts w:cs="Times New Roman"/>
                <w:sz w:val="20"/>
                <w:lang w:val="cs-CZ"/>
              </w:rPr>
              <w:t>1,</w:t>
            </w:r>
            <w:r w:rsidRPr="007C705C">
              <w:rPr>
                <w:rFonts w:cs="Times New Roman"/>
                <w:sz w:val="18"/>
                <w:szCs w:val="18"/>
                <w:lang w:val="cs-CZ"/>
              </w:rPr>
              <w:t>9</w:t>
            </w:r>
          </w:p>
        </w:tc>
        <w:tc>
          <w:tcPr>
            <w:tcW w:w="330" w:type="pct"/>
            <w:vAlign w:val="center"/>
          </w:tcPr>
          <w:p w14:paraId="481B7DDD" w14:textId="77777777" w:rsidR="003E0F58" w:rsidRPr="007C705C" w:rsidRDefault="003E0F58" w:rsidP="004D2249">
            <w:pPr>
              <w:jc w:val="center"/>
              <w:rPr>
                <w:rFonts w:cs="Times New Roman"/>
                <w:sz w:val="20"/>
                <w:lang w:val="cs-CZ"/>
              </w:rPr>
            </w:pPr>
            <w:r w:rsidRPr="007C705C">
              <w:rPr>
                <w:rFonts w:cs="Times New Roman"/>
                <w:sz w:val="18"/>
                <w:szCs w:val="18"/>
                <w:lang w:val="cs-CZ"/>
              </w:rPr>
              <w:t>2,0</w:t>
            </w:r>
          </w:p>
        </w:tc>
        <w:tc>
          <w:tcPr>
            <w:tcW w:w="330" w:type="pct"/>
            <w:vAlign w:val="center"/>
          </w:tcPr>
          <w:p w14:paraId="61B852BC" w14:textId="77777777" w:rsidR="003E0F58" w:rsidRPr="007C705C" w:rsidRDefault="003E0F58" w:rsidP="004D2249">
            <w:pPr>
              <w:jc w:val="center"/>
              <w:rPr>
                <w:rFonts w:cs="Times New Roman"/>
                <w:sz w:val="20"/>
                <w:lang w:val="cs-CZ"/>
              </w:rPr>
            </w:pPr>
            <w:r w:rsidRPr="007C705C">
              <w:rPr>
                <w:rFonts w:cs="Times New Roman"/>
                <w:sz w:val="20"/>
                <w:lang w:val="cs-CZ"/>
              </w:rPr>
              <w:t>1,</w:t>
            </w:r>
            <w:r w:rsidRPr="007C705C">
              <w:rPr>
                <w:rFonts w:cs="Times New Roman"/>
                <w:sz w:val="18"/>
                <w:szCs w:val="18"/>
                <w:lang w:val="cs-CZ"/>
              </w:rPr>
              <w:t>9</w:t>
            </w:r>
          </w:p>
        </w:tc>
        <w:tc>
          <w:tcPr>
            <w:tcW w:w="330" w:type="pct"/>
            <w:shd w:val="clear" w:color="auto" w:fill="auto"/>
            <w:vAlign w:val="center"/>
          </w:tcPr>
          <w:p w14:paraId="774AF320" w14:textId="77777777" w:rsidR="003E0F58" w:rsidRPr="007C705C" w:rsidRDefault="003E0F58" w:rsidP="004D2249">
            <w:pPr>
              <w:jc w:val="center"/>
              <w:rPr>
                <w:rFonts w:cs="Times New Roman"/>
                <w:sz w:val="20"/>
                <w:lang w:val="cs-CZ"/>
              </w:rPr>
            </w:pPr>
            <w:r w:rsidRPr="007C705C">
              <w:rPr>
                <w:rFonts w:cs="Times New Roman"/>
                <w:sz w:val="20"/>
                <w:lang w:val="cs-CZ"/>
              </w:rPr>
              <w:t>1,</w:t>
            </w:r>
            <w:r w:rsidRPr="007C705C">
              <w:rPr>
                <w:rFonts w:cs="Times New Roman"/>
                <w:sz w:val="18"/>
                <w:szCs w:val="18"/>
                <w:lang w:val="cs-CZ"/>
              </w:rPr>
              <w:t>8</w:t>
            </w:r>
          </w:p>
        </w:tc>
        <w:tc>
          <w:tcPr>
            <w:tcW w:w="330" w:type="pct"/>
            <w:shd w:val="clear" w:color="auto" w:fill="auto"/>
            <w:vAlign w:val="center"/>
          </w:tcPr>
          <w:p w14:paraId="115E03FF" w14:textId="77777777" w:rsidR="003E0F58" w:rsidRPr="007C705C" w:rsidRDefault="003E0F58" w:rsidP="004D2249">
            <w:pPr>
              <w:jc w:val="center"/>
              <w:rPr>
                <w:rFonts w:cs="Times New Roman"/>
                <w:sz w:val="18"/>
                <w:szCs w:val="18"/>
                <w:lang w:val="cs-CZ"/>
              </w:rPr>
            </w:pPr>
            <w:r w:rsidRPr="007C705C">
              <w:rPr>
                <w:rFonts w:cs="Times New Roman"/>
                <w:sz w:val="20"/>
                <w:lang w:val="cs-CZ"/>
              </w:rPr>
              <w:t>1,</w:t>
            </w:r>
            <w:r w:rsidRPr="007C705C">
              <w:rPr>
                <w:rFonts w:cs="Times New Roman"/>
                <w:sz w:val="18"/>
                <w:szCs w:val="18"/>
                <w:lang w:val="cs-CZ"/>
              </w:rPr>
              <w:t>9</w:t>
            </w:r>
          </w:p>
        </w:tc>
      </w:tr>
      <w:tr w:rsidR="003E0F58" w:rsidRPr="007C705C" w14:paraId="11AE3483" w14:textId="77777777" w:rsidTr="004D2249">
        <w:trPr>
          <w:trHeight w:val="341"/>
        </w:trPr>
        <w:tc>
          <w:tcPr>
            <w:tcW w:w="1219" w:type="pct"/>
            <w:shd w:val="clear" w:color="auto" w:fill="auto"/>
            <w:vAlign w:val="center"/>
          </w:tcPr>
          <w:p w14:paraId="5250D2D8" w14:textId="77777777" w:rsidR="003E0F58" w:rsidRPr="007C705C" w:rsidRDefault="003E0F58" w:rsidP="004D2249">
            <w:pPr>
              <w:jc w:val="left"/>
              <w:rPr>
                <w:rFonts w:cs="Times New Roman"/>
                <w:sz w:val="18"/>
                <w:szCs w:val="18"/>
                <w:lang w:val="cs-CZ"/>
              </w:rPr>
            </w:pPr>
            <w:r w:rsidRPr="007C705C">
              <w:rPr>
                <w:rFonts w:cs="Times New Roman"/>
                <w:sz w:val="18"/>
                <w:szCs w:val="18"/>
                <w:lang w:val="cs-CZ"/>
              </w:rPr>
              <w:t>Celkové roční emise NH</w:t>
            </w:r>
            <w:r w:rsidRPr="007C705C">
              <w:rPr>
                <w:rFonts w:cs="Times New Roman"/>
                <w:sz w:val="18"/>
                <w:szCs w:val="18"/>
                <w:vertAlign w:val="subscript"/>
                <w:lang w:val="cs-CZ"/>
              </w:rPr>
              <w:t>3</w:t>
            </w:r>
            <w:r w:rsidRPr="007C705C">
              <w:rPr>
                <w:rFonts w:cs="Times New Roman"/>
                <w:sz w:val="18"/>
                <w:szCs w:val="18"/>
                <w:lang w:val="cs-CZ"/>
              </w:rPr>
              <w:t xml:space="preserve"> z broilerů (NFR subsektor 3B4gii)</w:t>
            </w:r>
          </w:p>
        </w:tc>
        <w:tc>
          <w:tcPr>
            <w:tcW w:w="481" w:type="pct"/>
            <w:shd w:val="clear" w:color="auto" w:fill="auto"/>
            <w:vAlign w:val="center"/>
          </w:tcPr>
          <w:p w14:paraId="01B59B7D" w14:textId="77777777" w:rsidR="003E0F58" w:rsidRPr="007C705C" w:rsidRDefault="003E0F58" w:rsidP="004D2249">
            <w:pPr>
              <w:jc w:val="center"/>
              <w:rPr>
                <w:rFonts w:cs="Times New Roman"/>
                <w:sz w:val="18"/>
                <w:szCs w:val="18"/>
                <w:lang w:val="cs-CZ"/>
              </w:rPr>
            </w:pPr>
            <w:r w:rsidRPr="007C705C">
              <w:rPr>
                <w:rFonts w:cs="Times New Roman"/>
                <w:sz w:val="18"/>
                <w:szCs w:val="18"/>
                <w:lang w:val="cs-CZ"/>
              </w:rPr>
              <w:t>1 000 t NH</w:t>
            </w:r>
            <w:r w:rsidRPr="007C705C">
              <w:rPr>
                <w:rFonts w:cs="Times New Roman"/>
                <w:sz w:val="18"/>
                <w:szCs w:val="18"/>
                <w:vertAlign w:val="subscript"/>
                <w:lang w:val="cs-CZ"/>
              </w:rPr>
              <w:t>3</w:t>
            </w:r>
          </w:p>
        </w:tc>
        <w:tc>
          <w:tcPr>
            <w:tcW w:w="330" w:type="pct"/>
            <w:vAlign w:val="center"/>
          </w:tcPr>
          <w:p w14:paraId="2F1AB6EB" w14:textId="77777777" w:rsidR="003E0F58" w:rsidRPr="007C705C" w:rsidRDefault="003E0F58" w:rsidP="004D2249">
            <w:pPr>
              <w:jc w:val="center"/>
              <w:rPr>
                <w:rFonts w:cs="Times New Roman"/>
                <w:sz w:val="20"/>
                <w:lang w:val="cs-CZ"/>
              </w:rPr>
            </w:pPr>
            <w:r w:rsidRPr="007C705C">
              <w:rPr>
                <w:rFonts w:cs="Times New Roman"/>
                <w:sz w:val="18"/>
                <w:szCs w:val="18"/>
                <w:lang w:val="cs-CZ"/>
              </w:rPr>
              <w:t>1,4</w:t>
            </w:r>
          </w:p>
        </w:tc>
        <w:tc>
          <w:tcPr>
            <w:tcW w:w="330" w:type="pct"/>
            <w:vAlign w:val="center"/>
          </w:tcPr>
          <w:p w14:paraId="2EE82B2B" w14:textId="77777777" w:rsidR="003E0F58" w:rsidRPr="007C705C" w:rsidRDefault="003E0F58" w:rsidP="004D2249">
            <w:pPr>
              <w:jc w:val="center"/>
              <w:rPr>
                <w:rFonts w:cs="Times New Roman"/>
                <w:sz w:val="20"/>
                <w:lang w:val="cs-CZ"/>
              </w:rPr>
            </w:pPr>
            <w:r w:rsidRPr="007C705C">
              <w:rPr>
                <w:rFonts w:cs="Times New Roman"/>
                <w:sz w:val="18"/>
                <w:szCs w:val="18"/>
                <w:lang w:val="cs-CZ"/>
              </w:rPr>
              <w:t>1,4</w:t>
            </w:r>
          </w:p>
        </w:tc>
        <w:tc>
          <w:tcPr>
            <w:tcW w:w="330" w:type="pct"/>
            <w:vAlign w:val="center"/>
          </w:tcPr>
          <w:p w14:paraId="1BCCDA47" w14:textId="77777777" w:rsidR="003E0F58" w:rsidRPr="007C705C" w:rsidRDefault="003E0F58" w:rsidP="004D2249">
            <w:pPr>
              <w:jc w:val="center"/>
              <w:rPr>
                <w:rFonts w:cs="Times New Roman"/>
                <w:sz w:val="20"/>
                <w:lang w:val="cs-CZ"/>
              </w:rPr>
            </w:pPr>
            <w:r w:rsidRPr="007C705C">
              <w:rPr>
                <w:rFonts w:cs="Times New Roman"/>
                <w:sz w:val="18"/>
                <w:szCs w:val="18"/>
                <w:lang w:val="cs-CZ"/>
              </w:rPr>
              <w:t>1,4</w:t>
            </w:r>
          </w:p>
        </w:tc>
        <w:tc>
          <w:tcPr>
            <w:tcW w:w="330" w:type="pct"/>
            <w:vAlign w:val="center"/>
          </w:tcPr>
          <w:p w14:paraId="1CDE9E7A" w14:textId="77777777" w:rsidR="003E0F58" w:rsidRPr="007C705C" w:rsidRDefault="003E0F58" w:rsidP="004D2249">
            <w:pPr>
              <w:jc w:val="center"/>
              <w:rPr>
                <w:rFonts w:cs="Times New Roman"/>
                <w:sz w:val="20"/>
                <w:lang w:val="cs-CZ"/>
              </w:rPr>
            </w:pPr>
            <w:r w:rsidRPr="007C705C">
              <w:rPr>
                <w:rFonts w:cs="Times New Roman"/>
                <w:sz w:val="18"/>
                <w:szCs w:val="18"/>
                <w:lang w:val="cs-CZ"/>
              </w:rPr>
              <w:t>1,</w:t>
            </w:r>
            <w:r w:rsidRPr="007C705C">
              <w:rPr>
                <w:rFonts w:cs="Times New Roman"/>
                <w:sz w:val="20"/>
                <w:lang w:val="cs-CZ"/>
              </w:rPr>
              <w:t>2</w:t>
            </w:r>
          </w:p>
        </w:tc>
        <w:tc>
          <w:tcPr>
            <w:tcW w:w="330" w:type="pct"/>
            <w:vAlign w:val="center"/>
          </w:tcPr>
          <w:p w14:paraId="23726924" w14:textId="77777777" w:rsidR="003E0F58" w:rsidRPr="007C705C" w:rsidRDefault="003E0F58" w:rsidP="004D2249">
            <w:pPr>
              <w:jc w:val="center"/>
              <w:rPr>
                <w:rFonts w:cs="Times New Roman"/>
                <w:sz w:val="20"/>
                <w:lang w:val="cs-CZ"/>
              </w:rPr>
            </w:pPr>
            <w:r w:rsidRPr="007C705C">
              <w:rPr>
                <w:rFonts w:cs="Times New Roman"/>
                <w:sz w:val="20"/>
                <w:lang w:val="cs-CZ"/>
              </w:rPr>
              <w:t>1,</w:t>
            </w:r>
            <w:r w:rsidRPr="007C705C">
              <w:rPr>
                <w:rFonts w:cs="Times New Roman"/>
                <w:sz w:val="18"/>
                <w:szCs w:val="18"/>
                <w:lang w:val="cs-CZ"/>
              </w:rPr>
              <w:t>6</w:t>
            </w:r>
          </w:p>
        </w:tc>
        <w:tc>
          <w:tcPr>
            <w:tcW w:w="330" w:type="pct"/>
            <w:vAlign w:val="center"/>
          </w:tcPr>
          <w:p w14:paraId="7738541B" w14:textId="77777777" w:rsidR="003E0F58" w:rsidRPr="007C705C" w:rsidRDefault="003E0F58" w:rsidP="004D2249">
            <w:pPr>
              <w:jc w:val="center"/>
              <w:rPr>
                <w:rFonts w:cs="Times New Roman"/>
                <w:sz w:val="20"/>
                <w:lang w:val="cs-CZ"/>
              </w:rPr>
            </w:pPr>
            <w:r w:rsidRPr="007C705C">
              <w:rPr>
                <w:rFonts w:cs="Times New Roman"/>
                <w:sz w:val="18"/>
                <w:szCs w:val="18"/>
                <w:lang w:val="cs-CZ"/>
              </w:rPr>
              <w:t>1,5</w:t>
            </w:r>
          </w:p>
        </w:tc>
        <w:tc>
          <w:tcPr>
            <w:tcW w:w="330" w:type="pct"/>
            <w:vAlign w:val="center"/>
          </w:tcPr>
          <w:p w14:paraId="46FF7B55" w14:textId="77777777" w:rsidR="003E0F58" w:rsidRPr="007C705C" w:rsidRDefault="003E0F58" w:rsidP="004D2249">
            <w:pPr>
              <w:jc w:val="center"/>
              <w:rPr>
                <w:rFonts w:cs="Times New Roman"/>
                <w:sz w:val="20"/>
                <w:lang w:val="cs-CZ"/>
              </w:rPr>
            </w:pPr>
            <w:r w:rsidRPr="007C705C">
              <w:rPr>
                <w:rFonts w:cs="Times New Roman"/>
                <w:sz w:val="18"/>
                <w:szCs w:val="18"/>
                <w:lang w:val="cs-CZ"/>
              </w:rPr>
              <w:t>1,4</w:t>
            </w:r>
          </w:p>
        </w:tc>
        <w:tc>
          <w:tcPr>
            <w:tcW w:w="330" w:type="pct"/>
            <w:vAlign w:val="center"/>
          </w:tcPr>
          <w:p w14:paraId="522B3888" w14:textId="77777777" w:rsidR="003E0F58" w:rsidRPr="007C705C" w:rsidRDefault="003E0F58" w:rsidP="004D2249">
            <w:pPr>
              <w:jc w:val="center"/>
              <w:rPr>
                <w:rFonts w:cs="Times New Roman"/>
                <w:sz w:val="20"/>
                <w:lang w:val="cs-CZ"/>
              </w:rPr>
            </w:pPr>
            <w:r w:rsidRPr="007C705C">
              <w:rPr>
                <w:rFonts w:cs="Times New Roman"/>
                <w:sz w:val="20"/>
                <w:lang w:val="cs-CZ"/>
              </w:rPr>
              <w:t>1,</w:t>
            </w:r>
            <w:r w:rsidRPr="007C705C">
              <w:rPr>
                <w:rFonts w:cs="Times New Roman"/>
                <w:sz w:val="18"/>
                <w:szCs w:val="18"/>
                <w:lang w:val="cs-CZ"/>
              </w:rPr>
              <w:t>4</w:t>
            </w:r>
          </w:p>
        </w:tc>
        <w:tc>
          <w:tcPr>
            <w:tcW w:w="330" w:type="pct"/>
            <w:shd w:val="clear" w:color="auto" w:fill="auto"/>
            <w:vAlign w:val="center"/>
          </w:tcPr>
          <w:p w14:paraId="5F248C46" w14:textId="77777777" w:rsidR="003E0F58" w:rsidRPr="007C705C" w:rsidRDefault="003E0F58" w:rsidP="004D2249">
            <w:pPr>
              <w:jc w:val="center"/>
              <w:rPr>
                <w:rFonts w:cs="Times New Roman"/>
                <w:sz w:val="20"/>
                <w:lang w:val="cs-CZ"/>
              </w:rPr>
            </w:pPr>
            <w:r w:rsidRPr="007C705C">
              <w:rPr>
                <w:rFonts w:cs="Times New Roman"/>
                <w:sz w:val="18"/>
                <w:szCs w:val="18"/>
                <w:lang w:val="cs-CZ"/>
              </w:rPr>
              <w:t>1,4</w:t>
            </w:r>
          </w:p>
        </w:tc>
        <w:tc>
          <w:tcPr>
            <w:tcW w:w="330" w:type="pct"/>
            <w:shd w:val="clear" w:color="auto" w:fill="auto"/>
            <w:vAlign w:val="center"/>
          </w:tcPr>
          <w:p w14:paraId="18265597" w14:textId="77777777" w:rsidR="003E0F58" w:rsidRPr="007C705C" w:rsidRDefault="003E0F58" w:rsidP="004D2249">
            <w:pPr>
              <w:jc w:val="center"/>
              <w:rPr>
                <w:rFonts w:cs="Times New Roman"/>
                <w:sz w:val="18"/>
                <w:szCs w:val="18"/>
                <w:lang w:val="cs-CZ"/>
              </w:rPr>
            </w:pPr>
            <w:r w:rsidRPr="007C705C">
              <w:rPr>
                <w:rFonts w:cs="Times New Roman"/>
                <w:sz w:val="20"/>
                <w:lang w:val="cs-CZ"/>
              </w:rPr>
              <w:t>1,</w:t>
            </w:r>
            <w:r w:rsidRPr="007C705C">
              <w:rPr>
                <w:rFonts w:cs="Times New Roman"/>
                <w:sz w:val="18"/>
                <w:szCs w:val="18"/>
                <w:lang w:val="cs-CZ"/>
              </w:rPr>
              <w:t>8</w:t>
            </w:r>
          </w:p>
        </w:tc>
      </w:tr>
    </w:tbl>
    <w:p w14:paraId="632130F9" w14:textId="77777777" w:rsidR="003E0F58" w:rsidRPr="007C705C" w:rsidRDefault="003E0F58" w:rsidP="00BC1449">
      <w:pPr>
        <w:pStyle w:val="UZEIZdroj"/>
        <w:rPr>
          <w:rFonts w:eastAsiaTheme="minorEastAsia"/>
        </w:rPr>
      </w:pPr>
      <w:r w:rsidRPr="007C705C">
        <w:rPr>
          <w:rFonts w:eastAsiaTheme="minorEastAsia"/>
        </w:rPr>
        <w:t xml:space="preserve">Zdroj: </w:t>
      </w:r>
      <w:hyperlink r:id="rId11" w:history="1">
        <w:r w:rsidRPr="007C705C">
          <w:rPr>
            <w:rStyle w:val="Hypertextovodkaz"/>
            <w:rFonts w:eastAsiaTheme="minorEastAsia"/>
          </w:rPr>
          <w:t>http://www.ceip.at/ms/ceip_home1/ceip_home/status_reporting/2018_submissions/</w:t>
        </w:r>
      </w:hyperlink>
    </w:p>
    <w:p w14:paraId="632EE0B9" w14:textId="3DFC53D6" w:rsidR="003E0F58" w:rsidRPr="007C705C" w:rsidRDefault="003E0F58" w:rsidP="003E0F58">
      <w:pPr>
        <w:pStyle w:val="Odstavecseseznamem"/>
        <w:ind w:left="0"/>
        <w:rPr>
          <w:rFonts w:eastAsiaTheme="minorEastAsia"/>
        </w:rPr>
      </w:pPr>
      <w:r w:rsidRPr="007C705C">
        <w:rPr>
          <w:rFonts w:eastAsiaTheme="minorEastAsia"/>
        </w:rPr>
        <w:t>Celkové roční emise NH</w:t>
      </w:r>
      <w:r w:rsidRPr="007C705C">
        <w:rPr>
          <w:rFonts w:eastAsiaTheme="minorEastAsia"/>
          <w:vertAlign w:val="subscript"/>
        </w:rPr>
        <w:t>3</w:t>
      </w:r>
      <w:r w:rsidRPr="007C705C">
        <w:rPr>
          <w:rFonts w:eastAsiaTheme="minorEastAsia"/>
        </w:rPr>
        <w:t xml:space="preserve"> ze zemědělství (NFR subsektor 4 B1-9 vyjma 4B5 + 4B13 + 4D1a + 4D2a, b, c + 4F + 4G)</w:t>
      </w:r>
    </w:p>
    <w:p w14:paraId="18700BDA" w14:textId="039A8BAB" w:rsidR="003E0F58" w:rsidRPr="007C705C" w:rsidRDefault="00BC1449" w:rsidP="00BC1449">
      <w:pPr>
        <w:pStyle w:val="UZEITaB"/>
      </w:pPr>
      <w:bookmarkStart w:id="186" w:name="_Toc77245812"/>
      <w:r>
        <w:t xml:space="preserve"> </w:t>
      </w:r>
      <w:bookmarkStart w:id="187" w:name="_Toc94181570"/>
      <w:r w:rsidR="003E0F58" w:rsidRPr="007C705C">
        <w:t>Celkové roční emise NH</w:t>
      </w:r>
      <w:r w:rsidR="003E0F58" w:rsidRPr="007C705C">
        <w:rPr>
          <w:vertAlign w:val="subscript"/>
        </w:rPr>
        <w:t>3</w:t>
      </w:r>
      <w:r w:rsidR="003E0F58" w:rsidRPr="007C705C">
        <w:t xml:space="preserve"> ze zemědělství v ČR v letech 2009 - 2018</w:t>
      </w:r>
      <w:bookmarkEnd w:id="186"/>
      <w:bookmarkEnd w:id="187"/>
    </w:p>
    <w:tbl>
      <w:tblPr>
        <w:tblW w:w="49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49"/>
        <w:gridCol w:w="863"/>
        <w:gridCol w:w="638"/>
        <w:gridCol w:w="638"/>
        <w:gridCol w:w="638"/>
        <w:gridCol w:w="638"/>
        <w:gridCol w:w="638"/>
        <w:gridCol w:w="638"/>
        <w:gridCol w:w="638"/>
        <w:gridCol w:w="638"/>
        <w:gridCol w:w="638"/>
        <w:gridCol w:w="629"/>
      </w:tblGrid>
      <w:tr w:rsidR="003E0F58" w:rsidRPr="007C705C" w14:paraId="196D3B35" w14:textId="77777777" w:rsidTr="004D2249">
        <w:trPr>
          <w:trHeight w:val="346"/>
        </w:trPr>
        <w:tc>
          <w:tcPr>
            <w:tcW w:w="928" w:type="pct"/>
            <w:shd w:val="clear" w:color="000000" w:fill="F2F2F2"/>
            <w:vAlign w:val="center"/>
            <w:hideMark/>
          </w:tcPr>
          <w:p w14:paraId="1D835A3A" w14:textId="77777777" w:rsidR="003E0F58" w:rsidRPr="007C705C" w:rsidRDefault="003E0F58" w:rsidP="004D2249">
            <w:pPr>
              <w:jc w:val="left"/>
              <w:rPr>
                <w:rFonts w:cs="Times New Roman"/>
                <w:b/>
                <w:bCs/>
                <w:color w:val="000000"/>
                <w:sz w:val="18"/>
                <w:szCs w:val="18"/>
                <w:lang w:val="cs-CZ"/>
              </w:rPr>
            </w:pPr>
            <w:r w:rsidRPr="007C705C">
              <w:rPr>
                <w:rFonts w:cs="Times New Roman"/>
                <w:b/>
                <w:bCs/>
                <w:color w:val="000000"/>
                <w:sz w:val="18"/>
                <w:szCs w:val="18"/>
                <w:lang w:val="cs-CZ"/>
              </w:rPr>
              <w:t>Popis</w:t>
            </w:r>
          </w:p>
        </w:tc>
        <w:tc>
          <w:tcPr>
            <w:tcW w:w="486" w:type="pct"/>
            <w:shd w:val="clear" w:color="000000" w:fill="F2F2F2"/>
            <w:vAlign w:val="center"/>
            <w:hideMark/>
          </w:tcPr>
          <w:p w14:paraId="5329271B"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Jednotka</w:t>
            </w:r>
          </w:p>
        </w:tc>
        <w:tc>
          <w:tcPr>
            <w:tcW w:w="359" w:type="pct"/>
            <w:shd w:val="clear" w:color="000000" w:fill="F2F2F2"/>
            <w:vAlign w:val="center"/>
          </w:tcPr>
          <w:p w14:paraId="6CCE0DF3"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2009</w:t>
            </w:r>
          </w:p>
        </w:tc>
        <w:tc>
          <w:tcPr>
            <w:tcW w:w="359" w:type="pct"/>
            <w:shd w:val="clear" w:color="000000" w:fill="F2F2F2"/>
            <w:vAlign w:val="center"/>
          </w:tcPr>
          <w:p w14:paraId="37FA06A2"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2010</w:t>
            </w:r>
          </w:p>
        </w:tc>
        <w:tc>
          <w:tcPr>
            <w:tcW w:w="359" w:type="pct"/>
            <w:shd w:val="clear" w:color="000000" w:fill="F2F2F2"/>
            <w:vAlign w:val="center"/>
          </w:tcPr>
          <w:p w14:paraId="0DDD494D"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2011</w:t>
            </w:r>
          </w:p>
        </w:tc>
        <w:tc>
          <w:tcPr>
            <w:tcW w:w="359" w:type="pct"/>
            <w:shd w:val="clear" w:color="000000" w:fill="F2F2F2"/>
            <w:vAlign w:val="center"/>
          </w:tcPr>
          <w:p w14:paraId="7D51B748"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2012</w:t>
            </w:r>
          </w:p>
        </w:tc>
        <w:tc>
          <w:tcPr>
            <w:tcW w:w="359" w:type="pct"/>
            <w:shd w:val="clear" w:color="000000" w:fill="F2F2F2"/>
            <w:vAlign w:val="center"/>
          </w:tcPr>
          <w:p w14:paraId="42F13AB8"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2013</w:t>
            </w:r>
          </w:p>
        </w:tc>
        <w:tc>
          <w:tcPr>
            <w:tcW w:w="359" w:type="pct"/>
            <w:shd w:val="clear" w:color="000000" w:fill="F2F2F2"/>
            <w:vAlign w:val="center"/>
          </w:tcPr>
          <w:p w14:paraId="3B667E89"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2014</w:t>
            </w:r>
          </w:p>
        </w:tc>
        <w:tc>
          <w:tcPr>
            <w:tcW w:w="359" w:type="pct"/>
            <w:shd w:val="clear" w:color="000000" w:fill="F2F2F2"/>
            <w:vAlign w:val="center"/>
          </w:tcPr>
          <w:p w14:paraId="66111181"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2015</w:t>
            </w:r>
          </w:p>
        </w:tc>
        <w:tc>
          <w:tcPr>
            <w:tcW w:w="359" w:type="pct"/>
            <w:shd w:val="clear" w:color="000000" w:fill="F2F2F2"/>
            <w:vAlign w:val="center"/>
          </w:tcPr>
          <w:p w14:paraId="37D9637F"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2016</w:t>
            </w:r>
          </w:p>
        </w:tc>
        <w:tc>
          <w:tcPr>
            <w:tcW w:w="359" w:type="pct"/>
            <w:shd w:val="clear" w:color="000000" w:fill="F2F2F2"/>
            <w:vAlign w:val="center"/>
            <w:hideMark/>
          </w:tcPr>
          <w:p w14:paraId="29CACC9D"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2017</w:t>
            </w:r>
          </w:p>
        </w:tc>
        <w:tc>
          <w:tcPr>
            <w:tcW w:w="354" w:type="pct"/>
            <w:shd w:val="clear" w:color="000000" w:fill="F2F2F2"/>
            <w:vAlign w:val="center"/>
            <w:hideMark/>
          </w:tcPr>
          <w:p w14:paraId="641875D4"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2018</w:t>
            </w:r>
          </w:p>
        </w:tc>
      </w:tr>
      <w:tr w:rsidR="003E0F58" w:rsidRPr="007C705C" w14:paraId="7FD447A9" w14:textId="77777777" w:rsidTr="004D2249">
        <w:trPr>
          <w:trHeight w:val="425"/>
        </w:trPr>
        <w:tc>
          <w:tcPr>
            <w:tcW w:w="928" w:type="pct"/>
            <w:shd w:val="clear" w:color="auto" w:fill="auto"/>
            <w:vAlign w:val="center"/>
            <w:hideMark/>
          </w:tcPr>
          <w:p w14:paraId="0E851708" w14:textId="77777777" w:rsidR="003E0F58" w:rsidRPr="007C705C" w:rsidRDefault="003E0F58" w:rsidP="004D2249">
            <w:pPr>
              <w:jc w:val="left"/>
              <w:rPr>
                <w:rFonts w:cs="Times New Roman"/>
                <w:sz w:val="18"/>
                <w:szCs w:val="18"/>
                <w:lang w:val="cs-CZ"/>
              </w:rPr>
            </w:pPr>
            <w:r w:rsidRPr="007C705C">
              <w:rPr>
                <w:rFonts w:cs="Times New Roman"/>
                <w:sz w:val="18"/>
                <w:szCs w:val="18"/>
                <w:lang w:val="cs-CZ"/>
              </w:rPr>
              <w:t>Celkové roční emise NH</w:t>
            </w:r>
            <w:r w:rsidRPr="007C705C">
              <w:rPr>
                <w:rFonts w:cs="Times New Roman"/>
                <w:sz w:val="18"/>
                <w:szCs w:val="18"/>
                <w:vertAlign w:val="subscript"/>
                <w:lang w:val="cs-CZ"/>
              </w:rPr>
              <w:t>3</w:t>
            </w:r>
            <w:r w:rsidRPr="007C705C">
              <w:rPr>
                <w:rFonts w:cs="Times New Roman"/>
                <w:sz w:val="18"/>
                <w:szCs w:val="18"/>
                <w:lang w:val="cs-CZ"/>
              </w:rPr>
              <w:t xml:space="preserve"> ze zemědělství (NFR subsektor 4 B1-9 vyjma 4B5 + 4B13 + 4D1a + 4D2a,b,c + 4F + 4G)</w:t>
            </w:r>
          </w:p>
        </w:tc>
        <w:tc>
          <w:tcPr>
            <w:tcW w:w="486" w:type="pct"/>
            <w:shd w:val="clear" w:color="auto" w:fill="auto"/>
            <w:vAlign w:val="center"/>
            <w:hideMark/>
          </w:tcPr>
          <w:p w14:paraId="22D138EB" w14:textId="77777777" w:rsidR="003E0F58" w:rsidRPr="007C705C" w:rsidRDefault="003E0F58" w:rsidP="004D2249">
            <w:pPr>
              <w:jc w:val="center"/>
              <w:rPr>
                <w:rFonts w:cs="Times New Roman"/>
                <w:sz w:val="18"/>
                <w:szCs w:val="18"/>
                <w:lang w:val="cs-CZ"/>
              </w:rPr>
            </w:pPr>
            <w:r w:rsidRPr="007C705C">
              <w:rPr>
                <w:rFonts w:cs="Times New Roman"/>
                <w:sz w:val="18"/>
                <w:szCs w:val="18"/>
                <w:lang w:val="cs-CZ"/>
              </w:rPr>
              <w:t>1 000 t NH</w:t>
            </w:r>
            <w:r w:rsidRPr="007C705C">
              <w:rPr>
                <w:rFonts w:cs="Times New Roman"/>
                <w:sz w:val="18"/>
                <w:szCs w:val="18"/>
                <w:vertAlign w:val="subscript"/>
                <w:lang w:val="cs-CZ"/>
              </w:rPr>
              <w:t>3</w:t>
            </w:r>
          </w:p>
        </w:tc>
        <w:tc>
          <w:tcPr>
            <w:tcW w:w="359" w:type="pct"/>
            <w:vAlign w:val="center"/>
          </w:tcPr>
          <w:p w14:paraId="4F814CE3" w14:textId="77777777" w:rsidR="003E0F58" w:rsidRPr="007C705C" w:rsidRDefault="003E0F58" w:rsidP="004D2249">
            <w:pPr>
              <w:jc w:val="center"/>
              <w:rPr>
                <w:rFonts w:cs="Times New Roman"/>
                <w:sz w:val="18"/>
                <w:szCs w:val="18"/>
                <w:lang w:val="cs-CZ"/>
              </w:rPr>
            </w:pPr>
            <w:r w:rsidRPr="007C705C">
              <w:rPr>
                <w:rFonts w:cs="Times New Roman"/>
                <w:sz w:val="18"/>
                <w:szCs w:val="18"/>
                <w:lang w:val="cs-CZ"/>
              </w:rPr>
              <w:t>66,0</w:t>
            </w:r>
          </w:p>
        </w:tc>
        <w:tc>
          <w:tcPr>
            <w:tcW w:w="359" w:type="pct"/>
            <w:vAlign w:val="center"/>
          </w:tcPr>
          <w:p w14:paraId="2E6F7F2D" w14:textId="77777777" w:rsidR="003E0F58" w:rsidRPr="007C705C" w:rsidRDefault="003E0F58" w:rsidP="004D2249">
            <w:pPr>
              <w:jc w:val="center"/>
              <w:rPr>
                <w:rFonts w:cs="Times New Roman"/>
                <w:sz w:val="18"/>
                <w:szCs w:val="18"/>
                <w:lang w:val="cs-CZ"/>
              </w:rPr>
            </w:pPr>
            <w:r w:rsidRPr="007C705C">
              <w:rPr>
                <w:rFonts w:cs="Times New Roman"/>
                <w:sz w:val="18"/>
                <w:szCs w:val="18"/>
                <w:lang w:val="cs-CZ"/>
              </w:rPr>
              <w:t>65,0</w:t>
            </w:r>
          </w:p>
        </w:tc>
        <w:tc>
          <w:tcPr>
            <w:tcW w:w="359" w:type="pct"/>
            <w:vAlign w:val="center"/>
          </w:tcPr>
          <w:p w14:paraId="066EAB9B" w14:textId="77777777" w:rsidR="003E0F58" w:rsidRPr="007C705C" w:rsidRDefault="003E0F58" w:rsidP="004D2249">
            <w:pPr>
              <w:jc w:val="center"/>
              <w:rPr>
                <w:rFonts w:cs="Times New Roman"/>
                <w:sz w:val="18"/>
                <w:szCs w:val="18"/>
                <w:lang w:val="cs-CZ"/>
              </w:rPr>
            </w:pPr>
            <w:r w:rsidRPr="007C705C">
              <w:rPr>
                <w:rFonts w:cs="Times New Roman"/>
                <w:sz w:val="18"/>
                <w:szCs w:val="18"/>
                <w:lang w:val="cs-CZ"/>
              </w:rPr>
              <w:t>64,1</w:t>
            </w:r>
          </w:p>
        </w:tc>
        <w:tc>
          <w:tcPr>
            <w:tcW w:w="359" w:type="pct"/>
            <w:vAlign w:val="center"/>
          </w:tcPr>
          <w:p w14:paraId="5EBA0D02" w14:textId="77777777" w:rsidR="003E0F58" w:rsidRPr="007C705C" w:rsidRDefault="003E0F58" w:rsidP="004D2249">
            <w:pPr>
              <w:jc w:val="center"/>
              <w:rPr>
                <w:rFonts w:cs="Times New Roman"/>
                <w:sz w:val="18"/>
                <w:szCs w:val="18"/>
                <w:lang w:val="cs-CZ"/>
              </w:rPr>
            </w:pPr>
            <w:r w:rsidRPr="007C705C">
              <w:rPr>
                <w:rFonts w:cs="Times New Roman"/>
                <w:sz w:val="18"/>
                <w:szCs w:val="18"/>
                <w:lang w:val="cs-CZ"/>
              </w:rPr>
              <w:t>64,1</w:t>
            </w:r>
          </w:p>
        </w:tc>
        <w:tc>
          <w:tcPr>
            <w:tcW w:w="359" w:type="pct"/>
            <w:vAlign w:val="center"/>
          </w:tcPr>
          <w:p w14:paraId="2291EC4E" w14:textId="77777777" w:rsidR="003E0F58" w:rsidRPr="007C705C" w:rsidRDefault="003E0F58" w:rsidP="004D2249">
            <w:pPr>
              <w:jc w:val="center"/>
              <w:rPr>
                <w:rFonts w:cs="Times New Roman"/>
                <w:sz w:val="18"/>
                <w:szCs w:val="18"/>
                <w:lang w:val="cs-CZ"/>
              </w:rPr>
            </w:pPr>
            <w:r w:rsidRPr="007C705C">
              <w:rPr>
                <w:rFonts w:cs="Times New Roman"/>
                <w:sz w:val="18"/>
                <w:szCs w:val="18"/>
                <w:lang w:val="cs-CZ"/>
              </w:rPr>
              <w:t>66,1</w:t>
            </w:r>
          </w:p>
        </w:tc>
        <w:tc>
          <w:tcPr>
            <w:tcW w:w="359" w:type="pct"/>
            <w:vAlign w:val="center"/>
          </w:tcPr>
          <w:p w14:paraId="5323395D" w14:textId="77777777" w:rsidR="003E0F58" w:rsidRPr="007C705C" w:rsidRDefault="003E0F58" w:rsidP="004D2249">
            <w:pPr>
              <w:jc w:val="center"/>
              <w:rPr>
                <w:rFonts w:cs="Times New Roman"/>
                <w:sz w:val="18"/>
                <w:szCs w:val="18"/>
                <w:lang w:val="cs-CZ"/>
              </w:rPr>
            </w:pPr>
            <w:r w:rsidRPr="007C705C">
              <w:rPr>
                <w:rFonts w:cs="Times New Roman"/>
                <w:sz w:val="18"/>
                <w:szCs w:val="18"/>
                <w:lang w:val="cs-CZ"/>
              </w:rPr>
              <w:t>66,8</w:t>
            </w:r>
          </w:p>
        </w:tc>
        <w:tc>
          <w:tcPr>
            <w:tcW w:w="359" w:type="pct"/>
            <w:vAlign w:val="center"/>
          </w:tcPr>
          <w:p w14:paraId="095C7423" w14:textId="77777777" w:rsidR="003E0F58" w:rsidRPr="007C705C" w:rsidRDefault="003E0F58" w:rsidP="004D2249">
            <w:pPr>
              <w:jc w:val="center"/>
              <w:rPr>
                <w:rFonts w:cs="Times New Roman"/>
                <w:sz w:val="18"/>
                <w:szCs w:val="18"/>
                <w:lang w:val="cs-CZ"/>
              </w:rPr>
            </w:pPr>
            <w:r w:rsidRPr="007C705C">
              <w:rPr>
                <w:rFonts w:cs="Times New Roman"/>
                <w:sz w:val="18"/>
                <w:szCs w:val="18"/>
                <w:lang w:val="cs-CZ"/>
              </w:rPr>
              <w:t>67,3</w:t>
            </w:r>
          </w:p>
        </w:tc>
        <w:tc>
          <w:tcPr>
            <w:tcW w:w="359" w:type="pct"/>
            <w:vAlign w:val="center"/>
          </w:tcPr>
          <w:p w14:paraId="3AE023E7" w14:textId="77777777" w:rsidR="003E0F58" w:rsidRPr="007C705C" w:rsidRDefault="003E0F58" w:rsidP="004D2249">
            <w:pPr>
              <w:jc w:val="center"/>
              <w:rPr>
                <w:rFonts w:cs="Times New Roman"/>
                <w:sz w:val="18"/>
                <w:szCs w:val="18"/>
                <w:lang w:val="cs-CZ"/>
              </w:rPr>
            </w:pPr>
            <w:r w:rsidRPr="007C705C">
              <w:rPr>
                <w:rFonts w:cs="Times New Roman"/>
                <w:sz w:val="18"/>
                <w:szCs w:val="18"/>
                <w:lang w:val="cs-CZ"/>
              </w:rPr>
              <w:t>65,5</w:t>
            </w:r>
          </w:p>
        </w:tc>
        <w:tc>
          <w:tcPr>
            <w:tcW w:w="359" w:type="pct"/>
            <w:shd w:val="clear" w:color="auto" w:fill="auto"/>
            <w:vAlign w:val="center"/>
            <w:hideMark/>
          </w:tcPr>
          <w:p w14:paraId="43CE2FCE" w14:textId="77777777" w:rsidR="003E0F58" w:rsidRPr="007C705C" w:rsidRDefault="003E0F58" w:rsidP="004D2249">
            <w:pPr>
              <w:jc w:val="center"/>
              <w:rPr>
                <w:rFonts w:cs="Times New Roman"/>
                <w:sz w:val="18"/>
                <w:szCs w:val="18"/>
                <w:lang w:val="cs-CZ"/>
              </w:rPr>
            </w:pPr>
            <w:r w:rsidRPr="007C705C">
              <w:rPr>
                <w:rFonts w:cs="Times New Roman"/>
                <w:sz w:val="18"/>
                <w:szCs w:val="18"/>
                <w:lang w:val="cs-CZ"/>
              </w:rPr>
              <w:t>60,65</w:t>
            </w:r>
          </w:p>
        </w:tc>
        <w:tc>
          <w:tcPr>
            <w:tcW w:w="354" w:type="pct"/>
            <w:shd w:val="clear" w:color="auto" w:fill="auto"/>
            <w:vAlign w:val="center"/>
            <w:hideMark/>
          </w:tcPr>
          <w:p w14:paraId="580CD856" w14:textId="77777777" w:rsidR="003E0F58" w:rsidRPr="007C705C" w:rsidRDefault="003E0F58" w:rsidP="004D2249">
            <w:pPr>
              <w:jc w:val="center"/>
              <w:rPr>
                <w:rFonts w:cs="Times New Roman"/>
                <w:sz w:val="20"/>
                <w:lang w:val="cs-CZ"/>
              </w:rPr>
            </w:pPr>
            <w:r w:rsidRPr="007C705C">
              <w:rPr>
                <w:rFonts w:cs="Times New Roman"/>
                <w:sz w:val="18"/>
                <w:szCs w:val="18"/>
                <w:lang w:val="cs-CZ"/>
              </w:rPr>
              <w:t>64,77</w:t>
            </w:r>
          </w:p>
        </w:tc>
      </w:tr>
    </w:tbl>
    <w:p w14:paraId="0D0D1F0B" w14:textId="02AD75BE" w:rsidR="003E0F58" w:rsidRPr="007C705C" w:rsidRDefault="003E0F58" w:rsidP="00BC1449">
      <w:pPr>
        <w:pStyle w:val="UZEIZdroj"/>
        <w:rPr>
          <w:rStyle w:val="Hypertextovodkaz"/>
          <w:rFonts w:eastAsiaTheme="minorEastAsia"/>
        </w:rPr>
      </w:pPr>
      <w:r w:rsidRPr="007C705C">
        <w:rPr>
          <w:rFonts w:eastAsiaTheme="minorEastAsia"/>
        </w:rPr>
        <w:t xml:space="preserve">Zdroj: </w:t>
      </w:r>
      <w:hyperlink r:id="rId12" w:history="1">
        <w:r w:rsidRPr="007C705C">
          <w:rPr>
            <w:rStyle w:val="Hypertextovodkaz"/>
            <w:rFonts w:eastAsiaTheme="minorEastAsia"/>
          </w:rPr>
          <w:t>http://www.ceip.at/ms/ceip_home1/ceip_home/status_reporting/2018_submissions/</w:t>
        </w:r>
      </w:hyperlink>
    </w:p>
    <w:p w14:paraId="4B6C8F22" w14:textId="58DCA052" w:rsidR="003E0F58" w:rsidRPr="007C705C" w:rsidRDefault="00BC1449" w:rsidP="00BC1449">
      <w:pPr>
        <w:pStyle w:val="UZEITaB"/>
      </w:pPr>
      <w:bookmarkStart w:id="188" w:name="_Toc77245813"/>
      <w:r>
        <w:t xml:space="preserve"> </w:t>
      </w:r>
      <w:bookmarkStart w:id="189" w:name="_Toc94181571"/>
      <w:r w:rsidR="003E0F58" w:rsidRPr="007C705C">
        <w:t>Change in ammonia emissions compared to 2005</w:t>
      </w:r>
      <w:bookmarkEnd w:id="188"/>
      <w:bookmarkEnd w:id="189"/>
    </w:p>
    <w:tbl>
      <w:tblPr>
        <w:tblW w:w="9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15"/>
        <w:gridCol w:w="773"/>
        <w:gridCol w:w="773"/>
        <w:gridCol w:w="773"/>
        <w:gridCol w:w="773"/>
        <w:gridCol w:w="773"/>
        <w:gridCol w:w="773"/>
        <w:gridCol w:w="773"/>
        <w:gridCol w:w="773"/>
        <w:gridCol w:w="773"/>
        <w:gridCol w:w="773"/>
        <w:gridCol w:w="773"/>
      </w:tblGrid>
      <w:tr w:rsidR="003E0F58" w:rsidRPr="007C705C" w14:paraId="6E3BF2F6" w14:textId="77777777" w:rsidTr="00BC1449">
        <w:trPr>
          <w:trHeight w:val="226"/>
        </w:trPr>
        <w:tc>
          <w:tcPr>
            <w:tcW w:w="1015" w:type="dxa"/>
            <w:shd w:val="clear" w:color="auto" w:fill="auto"/>
            <w:noWrap/>
            <w:vAlign w:val="bottom"/>
            <w:hideMark/>
          </w:tcPr>
          <w:p w14:paraId="1EBBF6A7" w14:textId="77777777" w:rsidR="003E0F58" w:rsidRPr="007C705C" w:rsidRDefault="003E0F58" w:rsidP="004D2249">
            <w:pPr>
              <w:jc w:val="left"/>
              <w:rPr>
                <w:rFonts w:cs="Times New Roman"/>
                <w:sz w:val="20"/>
                <w:szCs w:val="20"/>
                <w:lang w:val="cs-CZ"/>
              </w:rPr>
            </w:pPr>
          </w:p>
        </w:tc>
        <w:tc>
          <w:tcPr>
            <w:tcW w:w="773" w:type="dxa"/>
            <w:shd w:val="clear" w:color="000000" w:fill="F2F2F2"/>
            <w:vAlign w:val="center"/>
            <w:hideMark/>
          </w:tcPr>
          <w:p w14:paraId="2BF21C57"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2005</w:t>
            </w:r>
          </w:p>
        </w:tc>
        <w:tc>
          <w:tcPr>
            <w:tcW w:w="773" w:type="dxa"/>
            <w:shd w:val="clear" w:color="000000" w:fill="F2F2F2"/>
            <w:vAlign w:val="center"/>
            <w:hideMark/>
          </w:tcPr>
          <w:p w14:paraId="02360DE0"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2009</w:t>
            </w:r>
          </w:p>
        </w:tc>
        <w:tc>
          <w:tcPr>
            <w:tcW w:w="773" w:type="dxa"/>
            <w:shd w:val="clear" w:color="000000" w:fill="F2F2F2"/>
            <w:vAlign w:val="center"/>
            <w:hideMark/>
          </w:tcPr>
          <w:p w14:paraId="6EBEFCCD"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2010</w:t>
            </w:r>
          </w:p>
        </w:tc>
        <w:tc>
          <w:tcPr>
            <w:tcW w:w="773" w:type="dxa"/>
            <w:shd w:val="clear" w:color="000000" w:fill="F2F2F2"/>
            <w:vAlign w:val="center"/>
            <w:hideMark/>
          </w:tcPr>
          <w:p w14:paraId="2FF527AE"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2011</w:t>
            </w:r>
          </w:p>
        </w:tc>
        <w:tc>
          <w:tcPr>
            <w:tcW w:w="773" w:type="dxa"/>
            <w:shd w:val="clear" w:color="000000" w:fill="F2F2F2"/>
            <w:vAlign w:val="center"/>
            <w:hideMark/>
          </w:tcPr>
          <w:p w14:paraId="6B001BA5"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2012</w:t>
            </w:r>
          </w:p>
        </w:tc>
        <w:tc>
          <w:tcPr>
            <w:tcW w:w="773" w:type="dxa"/>
            <w:shd w:val="clear" w:color="000000" w:fill="F2F2F2"/>
            <w:vAlign w:val="center"/>
            <w:hideMark/>
          </w:tcPr>
          <w:p w14:paraId="7E31762F"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2013</w:t>
            </w:r>
          </w:p>
        </w:tc>
        <w:tc>
          <w:tcPr>
            <w:tcW w:w="773" w:type="dxa"/>
            <w:shd w:val="clear" w:color="000000" w:fill="F2F2F2"/>
            <w:vAlign w:val="center"/>
            <w:hideMark/>
          </w:tcPr>
          <w:p w14:paraId="4A8FE2FB"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2014</w:t>
            </w:r>
          </w:p>
        </w:tc>
        <w:tc>
          <w:tcPr>
            <w:tcW w:w="773" w:type="dxa"/>
            <w:shd w:val="clear" w:color="000000" w:fill="F2F2F2"/>
            <w:vAlign w:val="center"/>
            <w:hideMark/>
          </w:tcPr>
          <w:p w14:paraId="0D03A568"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2015</w:t>
            </w:r>
          </w:p>
        </w:tc>
        <w:tc>
          <w:tcPr>
            <w:tcW w:w="773" w:type="dxa"/>
            <w:shd w:val="clear" w:color="000000" w:fill="F2F2F2"/>
            <w:vAlign w:val="center"/>
            <w:hideMark/>
          </w:tcPr>
          <w:p w14:paraId="5FED41AC"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2016</w:t>
            </w:r>
          </w:p>
        </w:tc>
        <w:tc>
          <w:tcPr>
            <w:tcW w:w="773" w:type="dxa"/>
            <w:shd w:val="clear" w:color="000000" w:fill="F2F2F2"/>
            <w:vAlign w:val="center"/>
            <w:hideMark/>
          </w:tcPr>
          <w:p w14:paraId="2BFD5AD9"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2017</w:t>
            </w:r>
          </w:p>
        </w:tc>
        <w:tc>
          <w:tcPr>
            <w:tcW w:w="773" w:type="dxa"/>
            <w:shd w:val="clear" w:color="000000" w:fill="F2F2F2"/>
            <w:vAlign w:val="center"/>
            <w:hideMark/>
          </w:tcPr>
          <w:p w14:paraId="3192F7DF"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2018</w:t>
            </w:r>
          </w:p>
        </w:tc>
      </w:tr>
      <w:tr w:rsidR="003E0F58" w:rsidRPr="007C705C" w14:paraId="50042AEE" w14:textId="77777777" w:rsidTr="00BC1449">
        <w:trPr>
          <w:trHeight w:val="1536"/>
        </w:trPr>
        <w:tc>
          <w:tcPr>
            <w:tcW w:w="1015" w:type="dxa"/>
            <w:shd w:val="clear" w:color="auto" w:fill="auto"/>
            <w:vAlign w:val="center"/>
            <w:hideMark/>
          </w:tcPr>
          <w:p w14:paraId="0CE4B61D" w14:textId="77777777" w:rsidR="003E0F58" w:rsidRPr="007C705C" w:rsidRDefault="003E0F58" w:rsidP="004D2249">
            <w:pPr>
              <w:jc w:val="center"/>
              <w:rPr>
                <w:rFonts w:cs="Times New Roman"/>
                <w:color w:val="000000"/>
                <w:sz w:val="18"/>
                <w:szCs w:val="18"/>
                <w:lang w:val="cs-CZ"/>
              </w:rPr>
            </w:pPr>
            <w:r w:rsidRPr="007C705C">
              <w:rPr>
                <w:rFonts w:cs="Times New Roman"/>
                <w:color w:val="000000"/>
                <w:sz w:val="18"/>
                <w:szCs w:val="18"/>
                <w:lang w:val="cs-CZ"/>
              </w:rPr>
              <w:t>1.</w:t>
            </w:r>
            <w:r w:rsidRPr="007C705C">
              <w:rPr>
                <w:rFonts w:cs="Times New Roman"/>
                <w:color w:val="000000"/>
                <w:sz w:val="14"/>
                <w:szCs w:val="14"/>
                <w:lang w:val="cs-CZ"/>
              </w:rPr>
              <w:t xml:space="preserve">    </w:t>
            </w:r>
            <w:r w:rsidRPr="007C705C">
              <w:rPr>
                <w:rFonts w:cs="Times New Roman"/>
                <w:color w:val="000000"/>
                <w:sz w:val="18"/>
                <w:szCs w:val="18"/>
                <w:lang w:val="cs-CZ"/>
              </w:rPr>
              <w:t>Change in ammonia emissions compared to 2005</w:t>
            </w:r>
          </w:p>
        </w:tc>
        <w:tc>
          <w:tcPr>
            <w:tcW w:w="773" w:type="dxa"/>
            <w:shd w:val="clear" w:color="auto" w:fill="auto"/>
            <w:noWrap/>
            <w:vAlign w:val="center"/>
            <w:hideMark/>
          </w:tcPr>
          <w:p w14:paraId="3D2B3BFF" w14:textId="77777777" w:rsidR="003E0F58" w:rsidRPr="007C705C" w:rsidRDefault="003E0F58" w:rsidP="004D2249">
            <w:pPr>
              <w:jc w:val="center"/>
              <w:rPr>
                <w:rFonts w:cs="Times New Roman"/>
                <w:color w:val="000000"/>
                <w:sz w:val="22"/>
                <w:lang w:val="cs-CZ"/>
              </w:rPr>
            </w:pPr>
            <w:r w:rsidRPr="007C705C">
              <w:rPr>
                <w:rFonts w:cs="Times New Roman"/>
                <w:color w:val="000000"/>
                <w:sz w:val="22"/>
                <w:lang w:val="cs-CZ"/>
              </w:rPr>
              <w:t>71,6 [</w:t>
            </w:r>
            <w:r w:rsidRPr="007C705C">
              <w:rPr>
                <w:rFonts w:cs="Times New Roman"/>
                <w:sz w:val="18"/>
                <w:szCs w:val="18"/>
                <w:lang w:val="cs-CZ"/>
              </w:rPr>
              <w:t>1 000 t NH</w:t>
            </w:r>
            <w:r w:rsidRPr="007C705C">
              <w:rPr>
                <w:rFonts w:cs="Times New Roman"/>
                <w:sz w:val="18"/>
                <w:szCs w:val="18"/>
                <w:vertAlign w:val="subscript"/>
                <w:lang w:val="cs-CZ"/>
              </w:rPr>
              <w:t>3</w:t>
            </w:r>
            <w:r w:rsidRPr="007C705C">
              <w:rPr>
                <w:rFonts w:cs="Times New Roman"/>
                <w:sz w:val="18"/>
                <w:szCs w:val="18"/>
                <w:lang w:val="cs-CZ"/>
              </w:rPr>
              <w:t>]</w:t>
            </w:r>
          </w:p>
        </w:tc>
        <w:tc>
          <w:tcPr>
            <w:tcW w:w="773" w:type="dxa"/>
            <w:shd w:val="clear" w:color="auto" w:fill="auto"/>
            <w:noWrap/>
            <w:vAlign w:val="center"/>
            <w:hideMark/>
          </w:tcPr>
          <w:p w14:paraId="3EA967B9" w14:textId="77777777" w:rsidR="003E0F58" w:rsidRPr="007C705C" w:rsidRDefault="003E0F58" w:rsidP="004D2249">
            <w:pPr>
              <w:jc w:val="center"/>
              <w:rPr>
                <w:rFonts w:cs="Times New Roman"/>
                <w:color w:val="000000"/>
                <w:sz w:val="22"/>
                <w:lang w:val="cs-CZ"/>
              </w:rPr>
            </w:pPr>
            <w:r w:rsidRPr="007C705C">
              <w:rPr>
                <w:rFonts w:cs="Times New Roman"/>
                <w:color w:val="000000"/>
                <w:sz w:val="22"/>
                <w:lang w:val="cs-CZ"/>
              </w:rPr>
              <w:t>94%</w:t>
            </w:r>
          </w:p>
        </w:tc>
        <w:tc>
          <w:tcPr>
            <w:tcW w:w="773" w:type="dxa"/>
            <w:shd w:val="clear" w:color="auto" w:fill="auto"/>
            <w:noWrap/>
            <w:vAlign w:val="center"/>
            <w:hideMark/>
          </w:tcPr>
          <w:p w14:paraId="03FD05FE" w14:textId="77777777" w:rsidR="003E0F58" w:rsidRPr="007C705C" w:rsidRDefault="003E0F58" w:rsidP="004D2249">
            <w:pPr>
              <w:jc w:val="center"/>
              <w:rPr>
                <w:rFonts w:cs="Times New Roman"/>
                <w:color w:val="000000"/>
                <w:sz w:val="22"/>
                <w:lang w:val="cs-CZ"/>
              </w:rPr>
            </w:pPr>
            <w:r w:rsidRPr="007C705C">
              <w:rPr>
                <w:rFonts w:cs="Times New Roman"/>
                <w:color w:val="000000"/>
                <w:sz w:val="22"/>
                <w:lang w:val="cs-CZ"/>
              </w:rPr>
              <w:t>99%</w:t>
            </w:r>
          </w:p>
        </w:tc>
        <w:tc>
          <w:tcPr>
            <w:tcW w:w="773" w:type="dxa"/>
            <w:shd w:val="clear" w:color="auto" w:fill="auto"/>
            <w:noWrap/>
            <w:vAlign w:val="center"/>
            <w:hideMark/>
          </w:tcPr>
          <w:p w14:paraId="1CDB9653" w14:textId="77777777" w:rsidR="003E0F58" w:rsidRPr="007C705C" w:rsidRDefault="003E0F58" w:rsidP="004D2249">
            <w:pPr>
              <w:jc w:val="center"/>
              <w:rPr>
                <w:rFonts w:cs="Times New Roman"/>
                <w:color w:val="000000"/>
                <w:sz w:val="22"/>
                <w:lang w:val="cs-CZ"/>
              </w:rPr>
            </w:pPr>
            <w:r w:rsidRPr="007C705C">
              <w:rPr>
                <w:rFonts w:cs="Times New Roman"/>
                <w:color w:val="000000"/>
                <w:sz w:val="22"/>
                <w:lang w:val="cs-CZ"/>
              </w:rPr>
              <w:t>98%</w:t>
            </w:r>
          </w:p>
        </w:tc>
        <w:tc>
          <w:tcPr>
            <w:tcW w:w="773" w:type="dxa"/>
            <w:shd w:val="clear" w:color="auto" w:fill="auto"/>
            <w:noWrap/>
            <w:vAlign w:val="center"/>
            <w:hideMark/>
          </w:tcPr>
          <w:p w14:paraId="2F22B8B5" w14:textId="77777777" w:rsidR="003E0F58" w:rsidRPr="007C705C" w:rsidRDefault="003E0F58" w:rsidP="004D2249">
            <w:pPr>
              <w:jc w:val="center"/>
              <w:rPr>
                <w:rFonts w:cs="Times New Roman"/>
                <w:color w:val="000000"/>
                <w:sz w:val="22"/>
                <w:lang w:val="cs-CZ"/>
              </w:rPr>
            </w:pPr>
            <w:r w:rsidRPr="007C705C">
              <w:rPr>
                <w:rFonts w:cs="Times New Roman"/>
                <w:color w:val="000000"/>
                <w:sz w:val="22"/>
                <w:lang w:val="cs-CZ"/>
              </w:rPr>
              <w:t>90%</w:t>
            </w:r>
          </w:p>
        </w:tc>
        <w:tc>
          <w:tcPr>
            <w:tcW w:w="773" w:type="dxa"/>
            <w:shd w:val="clear" w:color="auto" w:fill="auto"/>
            <w:noWrap/>
            <w:vAlign w:val="center"/>
            <w:hideMark/>
          </w:tcPr>
          <w:p w14:paraId="6214C753" w14:textId="77777777" w:rsidR="003E0F58" w:rsidRPr="007C705C" w:rsidRDefault="003E0F58" w:rsidP="004D2249">
            <w:pPr>
              <w:jc w:val="center"/>
              <w:rPr>
                <w:rFonts w:cs="Times New Roman"/>
                <w:color w:val="000000"/>
                <w:sz w:val="22"/>
                <w:lang w:val="cs-CZ"/>
              </w:rPr>
            </w:pPr>
            <w:r w:rsidRPr="007C705C">
              <w:rPr>
                <w:rFonts w:cs="Times New Roman"/>
                <w:color w:val="000000"/>
                <w:sz w:val="22"/>
                <w:lang w:val="cs-CZ"/>
              </w:rPr>
              <w:t>103%</w:t>
            </w:r>
          </w:p>
        </w:tc>
        <w:tc>
          <w:tcPr>
            <w:tcW w:w="773" w:type="dxa"/>
            <w:shd w:val="clear" w:color="auto" w:fill="auto"/>
            <w:noWrap/>
            <w:vAlign w:val="center"/>
            <w:hideMark/>
          </w:tcPr>
          <w:p w14:paraId="522FB79C" w14:textId="77777777" w:rsidR="003E0F58" w:rsidRPr="007C705C" w:rsidRDefault="003E0F58" w:rsidP="004D2249">
            <w:pPr>
              <w:jc w:val="center"/>
              <w:rPr>
                <w:rFonts w:cs="Times New Roman"/>
                <w:color w:val="000000"/>
                <w:sz w:val="22"/>
                <w:lang w:val="cs-CZ"/>
              </w:rPr>
            </w:pPr>
            <w:r w:rsidRPr="007C705C">
              <w:rPr>
                <w:rFonts w:cs="Times New Roman"/>
                <w:color w:val="000000"/>
                <w:sz w:val="22"/>
                <w:lang w:val="cs-CZ"/>
              </w:rPr>
              <w:t>107%</w:t>
            </w:r>
          </w:p>
        </w:tc>
        <w:tc>
          <w:tcPr>
            <w:tcW w:w="773" w:type="dxa"/>
            <w:shd w:val="clear" w:color="auto" w:fill="auto"/>
            <w:noWrap/>
            <w:vAlign w:val="center"/>
            <w:hideMark/>
          </w:tcPr>
          <w:p w14:paraId="0BA3AA33" w14:textId="77777777" w:rsidR="003E0F58" w:rsidRPr="007C705C" w:rsidRDefault="003E0F58" w:rsidP="004D2249">
            <w:pPr>
              <w:jc w:val="center"/>
              <w:rPr>
                <w:rFonts w:cs="Times New Roman"/>
                <w:color w:val="000000"/>
                <w:sz w:val="22"/>
                <w:lang w:val="cs-CZ"/>
              </w:rPr>
            </w:pPr>
            <w:r w:rsidRPr="007C705C">
              <w:rPr>
                <w:rFonts w:cs="Times New Roman"/>
                <w:color w:val="000000"/>
                <w:sz w:val="22"/>
                <w:lang w:val="cs-CZ"/>
              </w:rPr>
              <w:t>119%</w:t>
            </w:r>
          </w:p>
        </w:tc>
        <w:tc>
          <w:tcPr>
            <w:tcW w:w="773" w:type="dxa"/>
            <w:shd w:val="clear" w:color="auto" w:fill="auto"/>
            <w:noWrap/>
            <w:vAlign w:val="center"/>
            <w:hideMark/>
          </w:tcPr>
          <w:p w14:paraId="20C527CB" w14:textId="77777777" w:rsidR="003E0F58" w:rsidRPr="007C705C" w:rsidRDefault="003E0F58" w:rsidP="004D2249">
            <w:pPr>
              <w:jc w:val="center"/>
              <w:rPr>
                <w:rFonts w:cs="Times New Roman"/>
                <w:color w:val="000000"/>
                <w:sz w:val="22"/>
                <w:lang w:val="cs-CZ"/>
              </w:rPr>
            </w:pPr>
            <w:r w:rsidRPr="007C705C">
              <w:rPr>
                <w:rFonts w:cs="Times New Roman"/>
                <w:color w:val="000000"/>
                <w:sz w:val="22"/>
                <w:lang w:val="cs-CZ"/>
              </w:rPr>
              <w:t>104%</w:t>
            </w:r>
          </w:p>
        </w:tc>
        <w:tc>
          <w:tcPr>
            <w:tcW w:w="773" w:type="dxa"/>
            <w:shd w:val="clear" w:color="auto" w:fill="auto"/>
            <w:noWrap/>
            <w:vAlign w:val="center"/>
            <w:hideMark/>
          </w:tcPr>
          <w:p w14:paraId="4694523D" w14:textId="77777777" w:rsidR="003E0F58" w:rsidRPr="007C705C" w:rsidRDefault="003E0F58" w:rsidP="004D2249">
            <w:pPr>
              <w:jc w:val="center"/>
              <w:rPr>
                <w:rFonts w:cs="Times New Roman"/>
                <w:color w:val="000000"/>
                <w:sz w:val="22"/>
                <w:lang w:val="cs-CZ"/>
              </w:rPr>
            </w:pPr>
            <w:r w:rsidRPr="007C705C">
              <w:rPr>
                <w:rFonts w:cs="Times New Roman"/>
                <w:color w:val="000000"/>
                <w:sz w:val="22"/>
                <w:lang w:val="cs-CZ"/>
              </w:rPr>
              <w:t>95%</w:t>
            </w:r>
          </w:p>
        </w:tc>
        <w:tc>
          <w:tcPr>
            <w:tcW w:w="773" w:type="dxa"/>
            <w:shd w:val="clear" w:color="auto" w:fill="auto"/>
            <w:noWrap/>
            <w:vAlign w:val="center"/>
            <w:hideMark/>
          </w:tcPr>
          <w:p w14:paraId="4323D08B" w14:textId="77777777" w:rsidR="003E0F58" w:rsidRPr="007C705C" w:rsidRDefault="003E0F58" w:rsidP="004D2249">
            <w:pPr>
              <w:jc w:val="center"/>
              <w:rPr>
                <w:rFonts w:cs="Times New Roman"/>
                <w:color w:val="000000"/>
                <w:sz w:val="22"/>
                <w:lang w:val="cs-CZ"/>
              </w:rPr>
            </w:pPr>
            <w:r w:rsidRPr="007C705C">
              <w:rPr>
                <w:rFonts w:cs="Times New Roman"/>
                <w:color w:val="000000"/>
                <w:sz w:val="22"/>
                <w:lang w:val="cs-CZ"/>
              </w:rPr>
              <w:t>90%</w:t>
            </w:r>
          </w:p>
        </w:tc>
      </w:tr>
    </w:tbl>
    <w:p w14:paraId="6A1BDAB7" w14:textId="316C91F4" w:rsidR="003E0F58" w:rsidRPr="007C705C" w:rsidRDefault="003E0F58" w:rsidP="00BC1449">
      <w:pPr>
        <w:pStyle w:val="UZEIZdroj"/>
        <w:rPr>
          <w:rFonts w:eastAsiaTheme="minorEastAsia"/>
        </w:rPr>
      </w:pPr>
      <w:r w:rsidRPr="007C705C">
        <w:rPr>
          <w:rFonts w:eastAsiaTheme="minorEastAsia"/>
        </w:rPr>
        <w:t xml:space="preserve">Zdroj: </w:t>
      </w:r>
      <w:hyperlink r:id="rId13" w:history="1">
        <w:r w:rsidRPr="007C705C">
          <w:rPr>
            <w:rStyle w:val="Hypertextovodkaz"/>
            <w:rFonts w:eastAsiaTheme="minorEastAsia"/>
          </w:rPr>
          <w:t>https://www.eea.europa.eu/data-and-maps/dashboards/necd-directive-data-viewer-3</w:t>
        </w:r>
      </w:hyperlink>
    </w:p>
    <w:p w14:paraId="79E5E856" w14:textId="381AA641" w:rsidR="003E0F58" w:rsidRPr="007C705C" w:rsidRDefault="003E0F58" w:rsidP="003E0F58">
      <w:pPr>
        <w:pStyle w:val="Odstavecseseznamem"/>
        <w:ind w:left="0"/>
        <w:rPr>
          <w:rFonts w:eastAsiaTheme="minorEastAsia"/>
        </w:rPr>
      </w:pPr>
      <w:r w:rsidRPr="007C705C">
        <w:rPr>
          <w:rFonts w:eastAsiaTheme="minorEastAsia"/>
        </w:rPr>
        <w:t>C.39 Obsah organického uhlíku v orné půdě (ČR)</w:t>
      </w:r>
    </w:p>
    <w:p w14:paraId="040F21DC" w14:textId="7FE4D141" w:rsidR="003E0F58" w:rsidRPr="007C705C" w:rsidRDefault="00BC1449" w:rsidP="00BC1449">
      <w:pPr>
        <w:pStyle w:val="UZEITaB"/>
      </w:pPr>
      <w:bookmarkStart w:id="190" w:name="_Toc77245814"/>
      <w:r>
        <w:t xml:space="preserve"> </w:t>
      </w:r>
      <w:bookmarkStart w:id="191" w:name="_Toc94181572"/>
      <w:r w:rsidR="003E0F58" w:rsidRPr="007C705C">
        <w:t>Obsah organického uhlíku v orné půdě (ČR)</w:t>
      </w:r>
      <w:bookmarkEnd w:id="190"/>
      <w:bookmarkEnd w:id="191"/>
    </w:p>
    <w:tbl>
      <w:tblPr>
        <w:tblW w:w="8038" w:type="dxa"/>
        <w:tblCellMar>
          <w:left w:w="0" w:type="dxa"/>
          <w:right w:w="0" w:type="dxa"/>
        </w:tblCellMar>
        <w:tblLook w:val="04A0" w:firstRow="1" w:lastRow="0" w:firstColumn="1" w:lastColumn="0" w:noHBand="0" w:noVBand="1"/>
      </w:tblPr>
      <w:tblGrid>
        <w:gridCol w:w="3818"/>
        <w:gridCol w:w="1340"/>
        <w:gridCol w:w="960"/>
        <w:gridCol w:w="960"/>
        <w:gridCol w:w="960"/>
      </w:tblGrid>
      <w:tr w:rsidR="003E0F58" w:rsidRPr="007C705C" w14:paraId="0CDB1585" w14:textId="77777777" w:rsidTr="004D2249">
        <w:trPr>
          <w:trHeight w:val="315"/>
        </w:trPr>
        <w:tc>
          <w:tcPr>
            <w:tcW w:w="3818" w:type="dxa"/>
            <w:tcBorders>
              <w:top w:val="single" w:sz="8" w:space="0" w:color="auto"/>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14:paraId="539296B7" w14:textId="77777777" w:rsidR="003E0F58" w:rsidRPr="007C705C" w:rsidRDefault="003E0F58" w:rsidP="004D2249">
            <w:pPr>
              <w:jc w:val="center"/>
              <w:rPr>
                <w:rFonts w:eastAsia="Calibri" w:cs="Times New Roman"/>
                <w:b/>
                <w:bCs/>
                <w:szCs w:val="24"/>
                <w:lang w:val="cs-CZ"/>
              </w:rPr>
            </w:pPr>
            <w:r w:rsidRPr="007C705C">
              <w:rPr>
                <w:rFonts w:eastAsia="Calibri" w:cs="Times New Roman"/>
                <w:b/>
                <w:bCs/>
                <w:sz w:val="22"/>
                <w:lang w:val="cs-CZ"/>
              </w:rPr>
              <w:t>Název indikátoru</w:t>
            </w:r>
          </w:p>
        </w:tc>
        <w:tc>
          <w:tcPr>
            <w:tcW w:w="1340" w:type="dxa"/>
            <w:tcBorders>
              <w:top w:val="single" w:sz="8" w:space="0" w:color="auto"/>
              <w:left w:val="nil"/>
              <w:bottom w:val="single" w:sz="8" w:space="0" w:color="auto"/>
              <w:right w:val="single" w:sz="8" w:space="0" w:color="auto"/>
            </w:tcBorders>
            <w:shd w:val="clear" w:color="auto" w:fill="D9D9D9"/>
            <w:tcMar>
              <w:top w:w="0" w:type="dxa"/>
              <w:left w:w="70" w:type="dxa"/>
              <w:bottom w:w="0" w:type="dxa"/>
              <w:right w:w="70" w:type="dxa"/>
            </w:tcMar>
            <w:vAlign w:val="center"/>
            <w:hideMark/>
          </w:tcPr>
          <w:p w14:paraId="39ACC140" w14:textId="77777777" w:rsidR="003E0F58" w:rsidRPr="007C705C" w:rsidRDefault="003E0F58" w:rsidP="004D2249">
            <w:pPr>
              <w:jc w:val="center"/>
              <w:rPr>
                <w:rFonts w:eastAsia="Calibri" w:cs="Times New Roman"/>
                <w:b/>
                <w:bCs/>
                <w:sz w:val="22"/>
                <w:lang w:val="cs-CZ"/>
              </w:rPr>
            </w:pPr>
            <w:r w:rsidRPr="007C705C">
              <w:rPr>
                <w:rFonts w:eastAsia="Calibri" w:cs="Times New Roman"/>
                <w:b/>
                <w:bCs/>
                <w:sz w:val="22"/>
                <w:lang w:val="cs-CZ"/>
              </w:rPr>
              <w:t>Jednotka</w:t>
            </w:r>
          </w:p>
        </w:tc>
        <w:tc>
          <w:tcPr>
            <w:tcW w:w="960" w:type="dxa"/>
            <w:tcBorders>
              <w:top w:val="single" w:sz="8" w:space="0" w:color="auto"/>
              <w:left w:val="nil"/>
              <w:bottom w:val="single" w:sz="8" w:space="0" w:color="auto"/>
              <w:right w:val="single" w:sz="8" w:space="0" w:color="auto"/>
            </w:tcBorders>
            <w:shd w:val="clear" w:color="auto" w:fill="D9D9D9"/>
            <w:noWrap/>
            <w:tcMar>
              <w:top w:w="0" w:type="dxa"/>
              <w:left w:w="70" w:type="dxa"/>
              <w:bottom w:w="0" w:type="dxa"/>
              <w:right w:w="70" w:type="dxa"/>
            </w:tcMar>
            <w:vAlign w:val="center"/>
            <w:hideMark/>
          </w:tcPr>
          <w:p w14:paraId="337E74C4" w14:textId="77777777" w:rsidR="003E0F58" w:rsidRPr="007C705C" w:rsidRDefault="003E0F58" w:rsidP="004D2249">
            <w:pPr>
              <w:jc w:val="center"/>
              <w:rPr>
                <w:rFonts w:eastAsia="Calibri" w:cs="Times New Roman"/>
                <w:b/>
                <w:bCs/>
                <w:sz w:val="22"/>
                <w:lang w:val="cs-CZ"/>
              </w:rPr>
            </w:pPr>
            <w:r w:rsidRPr="007C705C">
              <w:rPr>
                <w:rFonts w:eastAsia="Calibri" w:cs="Times New Roman"/>
                <w:b/>
                <w:bCs/>
                <w:sz w:val="22"/>
                <w:lang w:val="cs-CZ"/>
              </w:rPr>
              <w:t>2009</w:t>
            </w:r>
          </w:p>
        </w:tc>
        <w:tc>
          <w:tcPr>
            <w:tcW w:w="960" w:type="dxa"/>
            <w:tcBorders>
              <w:top w:val="single" w:sz="8" w:space="0" w:color="auto"/>
              <w:left w:val="nil"/>
              <w:bottom w:val="single" w:sz="8" w:space="0" w:color="auto"/>
              <w:right w:val="single" w:sz="8" w:space="0" w:color="auto"/>
            </w:tcBorders>
            <w:shd w:val="clear" w:color="auto" w:fill="D9D9D9"/>
            <w:noWrap/>
            <w:tcMar>
              <w:top w:w="0" w:type="dxa"/>
              <w:left w:w="70" w:type="dxa"/>
              <w:bottom w:w="0" w:type="dxa"/>
              <w:right w:w="70" w:type="dxa"/>
            </w:tcMar>
            <w:vAlign w:val="center"/>
            <w:hideMark/>
          </w:tcPr>
          <w:p w14:paraId="155245BE" w14:textId="77777777" w:rsidR="003E0F58" w:rsidRPr="007C705C" w:rsidRDefault="003E0F58" w:rsidP="004D2249">
            <w:pPr>
              <w:jc w:val="center"/>
              <w:rPr>
                <w:rFonts w:eastAsia="Calibri" w:cs="Times New Roman"/>
                <w:b/>
                <w:bCs/>
                <w:sz w:val="22"/>
                <w:lang w:val="cs-CZ"/>
              </w:rPr>
            </w:pPr>
            <w:r w:rsidRPr="007C705C">
              <w:rPr>
                <w:rFonts w:eastAsia="Calibri" w:cs="Times New Roman"/>
                <w:b/>
                <w:bCs/>
                <w:sz w:val="22"/>
                <w:lang w:val="cs-CZ"/>
              </w:rPr>
              <w:t>2012</w:t>
            </w:r>
          </w:p>
        </w:tc>
        <w:tc>
          <w:tcPr>
            <w:tcW w:w="960" w:type="dxa"/>
            <w:tcBorders>
              <w:top w:val="single" w:sz="8" w:space="0" w:color="auto"/>
              <w:left w:val="nil"/>
              <w:bottom w:val="single" w:sz="8" w:space="0" w:color="auto"/>
              <w:right w:val="single" w:sz="8" w:space="0" w:color="auto"/>
            </w:tcBorders>
            <w:shd w:val="clear" w:color="auto" w:fill="D9D9D9"/>
            <w:tcMar>
              <w:top w:w="0" w:type="dxa"/>
              <w:left w:w="70" w:type="dxa"/>
              <w:bottom w:w="0" w:type="dxa"/>
              <w:right w:w="70" w:type="dxa"/>
            </w:tcMar>
            <w:vAlign w:val="center"/>
            <w:hideMark/>
          </w:tcPr>
          <w:p w14:paraId="104A48E4" w14:textId="77777777" w:rsidR="003E0F58" w:rsidRPr="007C705C" w:rsidRDefault="003E0F58" w:rsidP="004D2249">
            <w:pPr>
              <w:jc w:val="center"/>
              <w:rPr>
                <w:rFonts w:eastAsia="Calibri" w:cs="Times New Roman"/>
                <w:b/>
                <w:bCs/>
                <w:sz w:val="22"/>
                <w:lang w:val="cs-CZ"/>
              </w:rPr>
            </w:pPr>
            <w:r w:rsidRPr="007C705C">
              <w:rPr>
                <w:rFonts w:eastAsia="Calibri" w:cs="Times New Roman"/>
                <w:b/>
                <w:bCs/>
                <w:sz w:val="22"/>
                <w:lang w:val="cs-CZ"/>
              </w:rPr>
              <w:t>2015</w:t>
            </w:r>
          </w:p>
        </w:tc>
      </w:tr>
      <w:tr w:rsidR="003E0F58" w:rsidRPr="007C705C" w14:paraId="6A506537" w14:textId="77777777" w:rsidTr="004D2249">
        <w:trPr>
          <w:trHeight w:val="567"/>
        </w:trPr>
        <w:tc>
          <w:tcPr>
            <w:tcW w:w="3818"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4BD535C1" w14:textId="77777777" w:rsidR="003E0F58" w:rsidRPr="007C705C" w:rsidRDefault="003E0F58" w:rsidP="004D2249">
            <w:pPr>
              <w:jc w:val="left"/>
              <w:rPr>
                <w:rFonts w:eastAsia="Calibri" w:cs="Times New Roman"/>
                <w:szCs w:val="24"/>
                <w:lang w:val="cs-CZ"/>
              </w:rPr>
            </w:pPr>
            <w:r w:rsidRPr="007C705C">
              <w:rPr>
                <w:rFonts w:eastAsia="Calibri" w:cs="Times New Roman"/>
                <w:sz w:val="22"/>
                <w:lang w:val="cs-CZ"/>
              </w:rPr>
              <w:t>Celkový odhadovaný obsah organického uhlíku v orné půdě</w:t>
            </w:r>
          </w:p>
        </w:tc>
        <w:tc>
          <w:tcPr>
            <w:tcW w:w="1340"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4D7C0DEC" w14:textId="77777777" w:rsidR="003E0F58" w:rsidRPr="007C705C" w:rsidRDefault="003E0F58" w:rsidP="004D2249">
            <w:pPr>
              <w:jc w:val="left"/>
              <w:rPr>
                <w:rFonts w:eastAsia="Calibri" w:cs="Times New Roman"/>
                <w:sz w:val="22"/>
                <w:lang w:val="cs-CZ"/>
              </w:rPr>
            </w:pPr>
            <w:r w:rsidRPr="007C705C">
              <w:rPr>
                <w:rFonts w:eastAsia="Calibri" w:cs="Times New Roman"/>
                <w:sz w:val="22"/>
                <w:lang w:val="cs-CZ"/>
              </w:rPr>
              <w:t>Mt</w:t>
            </w:r>
            <w:r w:rsidRPr="007C705C">
              <w:rPr>
                <w:rFonts w:eastAsia="Calibri" w:cs="Times New Roman"/>
                <w:sz w:val="22"/>
                <w:vertAlign w:val="superscript"/>
                <w:lang w:val="cs-CZ"/>
              </w:rPr>
              <w:t>1)</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2B2EE449" w14:textId="77777777" w:rsidR="003E0F58" w:rsidRPr="007C705C" w:rsidRDefault="003E0F58" w:rsidP="004D2249">
            <w:pPr>
              <w:jc w:val="center"/>
              <w:rPr>
                <w:rFonts w:eastAsia="Calibri" w:cs="Times New Roman"/>
                <w:sz w:val="22"/>
                <w:lang w:val="cs-CZ"/>
              </w:rPr>
            </w:pPr>
            <w:r w:rsidRPr="007C705C">
              <w:rPr>
                <w:rFonts w:eastAsia="Calibri" w:cs="Times New Roman"/>
                <w:sz w:val="22"/>
                <w:lang w:val="cs-CZ"/>
              </w:rPr>
              <w:t>220,23</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40F89E49" w14:textId="77777777" w:rsidR="003E0F58" w:rsidRPr="007C705C" w:rsidRDefault="003E0F58" w:rsidP="004D2249">
            <w:pPr>
              <w:jc w:val="center"/>
              <w:rPr>
                <w:rFonts w:eastAsia="Calibri" w:cs="Times New Roman"/>
                <w:sz w:val="22"/>
                <w:lang w:val="cs-CZ"/>
              </w:rPr>
            </w:pPr>
            <w:r w:rsidRPr="007C705C">
              <w:rPr>
                <w:rFonts w:eastAsia="Calibri" w:cs="Times New Roman"/>
                <w:sz w:val="22"/>
                <w:lang w:val="cs-CZ"/>
              </w:rPr>
              <w:t>220,00</w:t>
            </w:r>
          </w:p>
        </w:tc>
        <w:tc>
          <w:tcPr>
            <w:tcW w:w="96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1CDD213A" w14:textId="77777777" w:rsidR="003E0F58" w:rsidRPr="007C705C" w:rsidRDefault="003E0F58" w:rsidP="004D2249">
            <w:pPr>
              <w:jc w:val="center"/>
              <w:rPr>
                <w:rFonts w:eastAsia="Calibri" w:cs="Times New Roman"/>
                <w:sz w:val="22"/>
                <w:lang w:val="cs-CZ"/>
              </w:rPr>
            </w:pPr>
            <w:r w:rsidRPr="007C705C">
              <w:rPr>
                <w:rFonts w:eastAsia="Calibri" w:cs="Times New Roman"/>
                <w:sz w:val="22"/>
                <w:lang w:val="cs-CZ"/>
              </w:rPr>
              <w:t>236,5</w:t>
            </w:r>
          </w:p>
        </w:tc>
      </w:tr>
      <w:tr w:rsidR="003E0F58" w:rsidRPr="007C705C" w14:paraId="29A3167D" w14:textId="77777777" w:rsidTr="004D2249">
        <w:trPr>
          <w:trHeight w:val="567"/>
        </w:trPr>
        <w:tc>
          <w:tcPr>
            <w:tcW w:w="3818"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2947E332" w14:textId="77777777" w:rsidR="003E0F58" w:rsidRPr="007C705C" w:rsidRDefault="003E0F58" w:rsidP="004D2249">
            <w:pPr>
              <w:jc w:val="left"/>
              <w:rPr>
                <w:rFonts w:eastAsia="Calibri" w:cs="Times New Roman"/>
                <w:szCs w:val="24"/>
                <w:lang w:val="cs-CZ"/>
              </w:rPr>
            </w:pPr>
            <w:r w:rsidRPr="007C705C">
              <w:rPr>
                <w:rFonts w:eastAsia="Calibri" w:cs="Times New Roman"/>
                <w:sz w:val="22"/>
                <w:lang w:val="cs-CZ"/>
              </w:rPr>
              <w:t>Průměrný obsah organického uhlíku</w:t>
            </w:r>
          </w:p>
        </w:tc>
        <w:tc>
          <w:tcPr>
            <w:tcW w:w="1340"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45E3C470" w14:textId="77777777" w:rsidR="003E0F58" w:rsidRPr="007C705C" w:rsidRDefault="003E0F58" w:rsidP="004D2249">
            <w:pPr>
              <w:jc w:val="left"/>
              <w:rPr>
                <w:rFonts w:eastAsia="Calibri" w:cs="Times New Roman"/>
                <w:sz w:val="22"/>
                <w:lang w:val="cs-CZ"/>
              </w:rPr>
            </w:pPr>
            <w:r w:rsidRPr="007C705C">
              <w:rPr>
                <w:rFonts w:eastAsia="Calibri" w:cs="Times New Roman"/>
                <w:sz w:val="22"/>
                <w:lang w:val="cs-CZ"/>
              </w:rPr>
              <w:t>g.kg</w:t>
            </w:r>
            <w:r w:rsidRPr="007C705C">
              <w:rPr>
                <w:rFonts w:eastAsia="Calibri" w:cs="Times New Roman"/>
                <w:sz w:val="22"/>
                <w:vertAlign w:val="superscript"/>
                <w:lang w:val="cs-CZ"/>
              </w:rPr>
              <w:t>-1</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4DF3DD45" w14:textId="77777777" w:rsidR="003E0F58" w:rsidRPr="007C705C" w:rsidRDefault="003E0F58" w:rsidP="004D2249">
            <w:pPr>
              <w:jc w:val="center"/>
              <w:rPr>
                <w:rFonts w:eastAsia="Calibri" w:cs="Times New Roman"/>
                <w:sz w:val="22"/>
                <w:lang w:val="cs-CZ"/>
              </w:rPr>
            </w:pPr>
            <w:r w:rsidRPr="007C705C">
              <w:rPr>
                <w:rFonts w:eastAsia="Calibri" w:cs="Times New Roman"/>
                <w:sz w:val="22"/>
                <w:lang w:val="cs-CZ"/>
              </w:rPr>
              <w:t>19,63</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1F7C7F14" w14:textId="77777777" w:rsidR="003E0F58" w:rsidRPr="007C705C" w:rsidRDefault="003E0F58" w:rsidP="004D2249">
            <w:pPr>
              <w:jc w:val="center"/>
              <w:rPr>
                <w:rFonts w:eastAsia="Calibri" w:cs="Times New Roman"/>
                <w:sz w:val="22"/>
                <w:lang w:val="cs-CZ"/>
              </w:rPr>
            </w:pPr>
            <w:r w:rsidRPr="007C705C">
              <w:rPr>
                <w:rFonts w:eastAsia="Calibri" w:cs="Times New Roman"/>
                <w:sz w:val="22"/>
                <w:lang w:val="cs-CZ"/>
              </w:rPr>
              <w:t>20,00</w:t>
            </w:r>
          </w:p>
        </w:tc>
        <w:tc>
          <w:tcPr>
            <w:tcW w:w="96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0623E209" w14:textId="77777777" w:rsidR="003E0F58" w:rsidRPr="007C705C" w:rsidRDefault="003E0F58" w:rsidP="004D2249">
            <w:pPr>
              <w:jc w:val="center"/>
              <w:rPr>
                <w:rFonts w:eastAsia="Calibri" w:cs="Times New Roman"/>
                <w:sz w:val="22"/>
                <w:lang w:val="cs-CZ"/>
              </w:rPr>
            </w:pPr>
            <w:r w:rsidRPr="007C705C">
              <w:rPr>
                <w:rFonts w:eastAsia="Calibri" w:cs="Times New Roman"/>
                <w:sz w:val="22"/>
                <w:lang w:val="cs-CZ"/>
              </w:rPr>
              <w:t>20,6</w:t>
            </w:r>
          </w:p>
        </w:tc>
      </w:tr>
    </w:tbl>
    <w:p w14:paraId="70A27B1F" w14:textId="77777777" w:rsidR="003E0F58" w:rsidRPr="007C705C" w:rsidRDefault="003E0F58" w:rsidP="003E0F58">
      <w:pPr>
        <w:spacing w:line="276" w:lineRule="auto"/>
        <w:jc w:val="left"/>
        <w:rPr>
          <w:rFonts w:eastAsia="Calibri" w:cs="Times New Roman"/>
          <w:i/>
          <w:iCs/>
          <w:sz w:val="22"/>
          <w:lang w:val="cs-CZ"/>
        </w:rPr>
      </w:pPr>
      <w:r w:rsidRPr="007C705C">
        <w:rPr>
          <w:rFonts w:eastAsia="Calibri" w:cs="Times New Roman"/>
          <w:i/>
          <w:iCs/>
          <w:sz w:val="22"/>
          <w:lang w:val="cs-CZ"/>
        </w:rPr>
        <w:t>Zdroj: EK, CAP context indikators, update 07/2020</w:t>
      </w:r>
    </w:p>
    <w:p w14:paraId="245A3991" w14:textId="77777777" w:rsidR="003E0F58" w:rsidRPr="007C705C" w:rsidRDefault="003E0F58" w:rsidP="003E0F58">
      <w:pPr>
        <w:spacing w:line="276" w:lineRule="auto"/>
        <w:jc w:val="left"/>
        <w:rPr>
          <w:rFonts w:eastAsia="Calibri" w:cs="Times New Roman"/>
          <w:i/>
          <w:iCs/>
          <w:sz w:val="22"/>
          <w:lang w:val="cs-CZ"/>
        </w:rPr>
      </w:pPr>
      <w:r w:rsidRPr="007C705C">
        <w:rPr>
          <w:rFonts w:eastAsia="Calibri" w:cs="Times New Roman"/>
          <w:i/>
          <w:iCs/>
          <w:sz w:val="22"/>
          <w:vertAlign w:val="superscript"/>
          <w:lang w:val="cs-CZ"/>
        </w:rPr>
        <w:t>1)</w:t>
      </w:r>
      <w:r w:rsidRPr="007C705C">
        <w:rPr>
          <w:rFonts w:eastAsia="Calibri" w:cs="Times New Roman"/>
          <w:i/>
          <w:iCs/>
          <w:sz w:val="22"/>
          <w:lang w:val="cs-CZ"/>
        </w:rPr>
        <w:t xml:space="preserve"> Mt – Megatuny</w:t>
      </w:r>
    </w:p>
    <w:p w14:paraId="44273A8F" w14:textId="46976A67" w:rsidR="003E0F58" w:rsidRDefault="003E0F58" w:rsidP="00BC1449">
      <w:pPr>
        <w:spacing w:line="276" w:lineRule="auto"/>
        <w:jc w:val="left"/>
        <w:rPr>
          <w:rFonts w:eastAsia="Calibri" w:cs="Times New Roman"/>
          <w:i/>
          <w:iCs/>
          <w:sz w:val="22"/>
          <w:lang w:val="cs-CZ"/>
        </w:rPr>
      </w:pPr>
      <w:r w:rsidRPr="007C705C">
        <w:rPr>
          <w:rFonts w:eastAsia="Calibri" w:cs="Times New Roman"/>
          <w:i/>
          <w:iCs/>
          <w:sz w:val="22"/>
          <w:lang w:val="cs-CZ"/>
        </w:rPr>
        <w:lastRenderedPageBreak/>
        <w:t>Pozn.: Aktuálnější údaje za ČR nejsou k dispozici. Dle konzultace s pracovníkem VÚRV budou ale hodnoty za rok 2017 téměř shodné.</w:t>
      </w:r>
    </w:p>
    <w:p w14:paraId="39D9CC75" w14:textId="73857294" w:rsidR="00A37382" w:rsidRDefault="00A37382" w:rsidP="00BC1449">
      <w:pPr>
        <w:spacing w:line="276" w:lineRule="auto"/>
        <w:jc w:val="left"/>
        <w:rPr>
          <w:rFonts w:eastAsia="Calibri" w:cs="Times New Roman"/>
          <w:i/>
          <w:iCs/>
          <w:sz w:val="22"/>
          <w:lang w:val="cs-CZ"/>
        </w:rPr>
      </w:pPr>
    </w:p>
    <w:p w14:paraId="61897BF1" w14:textId="69C77FE9" w:rsidR="00A37382" w:rsidRDefault="001214E9" w:rsidP="00BC1449">
      <w:pPr>
        <w:spacing w:line="276" w:lineRule="auto"/>
        <w:jc w:val="left"/>
        <w:rPr>
          <w:rFonts w:eastAsia="Calibri" w:cs="Times New Roman"/>
          <w:sz w:val="22"/>
          <w:lang w:val="cs-CZ"/>
        </w:rPr>
      </w:pPr>
      <w:r w:rsidRPr="001214E9">
        <w:rPr>
          <w:rFonts w:eastAsia="Calibri" w:cs="Times New Roman"/>
          <w:sz w:val="22"/>
          <w:lang w:val="cs-CZ"/>
        </w:rPr>
        <w:t>Níže přehledná mapa organického uhlíku v</w:t>
      </w:r>
      <w:r w:rsidR="00632CCA">
        <w:rPr>
          <w:rFonts w:eastAsia="Calibri" w:cs="Times New Roman"/>
          <w:sz w:val="22"/>
          <w:lang w:val="cs-CZ"/>
        </w:rPr>
        <w:t> </w:t>
      </w:r>
      <w:r w:rsidRPr="001214E9">
        <w:rPr>
          <w:rFonts w:eastAsia="Calibri" w:cs="Times New Roman"/>
          <w:sz w:val="22"/>
          <w:lang w:val="cs-CZ"/>
        </w:rPr>
        <w:t>půdě</w:t>
      </w:r>
      <w:r w:rsidR="00632CCA">
        <w:rPr>
          <w:rFonts w:eastAsia="Calibri" w:cs="Times New Roman"/>
          <w:sz w:val="22"/>
          <w:lang w:val="cs-CZ"/>
        </w:rPr>
        <w:t xml:space="preserve"> v ČR</w:t>
      </w:r>
    </w:p>
    <w:p w14:paraId="019FB1AF" w14:textId="77777777" w:rsidR="00632CCA" w:rsidRDefault="00632CCA" w:rsidP="00BC1449">
      <w:pPr>
        <w:spacing w:line="276" w:lineRule="auto"/>
        <w:jc w:val="left"/>
        <w:rPr>
          <w:rFonts w:eastAsia="Calibri" w:cs="Times New Roman"/>
          <w:sz w:val="22"/>
          <w:lang w:val="cs-CZ"/>
        </w:rPr>
      </w:pPr>
    </w:p>
    <w:p w14:paraId="1856E969" w14:textId="759FD979" w:rsidR="00632CCA" w:rsidRDefault="00632CCA" w:rsidP="00632CCA">
      <w:pPr>
        <w:pStyle w:val="Titulek"/>
        <w:jc w:val="left"/>
      </w:pPr>
      <w:bookmarkStart w:id="192" w:name="_Toc93583784"/>
      <w:r>
        <w:t xml:space="preserve">Obrázek </w:t>
      </w:r>
      <w:r>
        <w:fldChar w:fldCharType="begin"/>
      </w:r>
      <w:r>
        <w:instrText xml:space="preserve"> SEQ Obrázek \* ARABIC </w:instrText>
      </w:r>
      <w:r>
        <w:fldChar w:fldCharType="separate"/>
      </w:r>
      <w:r w:rsidR="000C4C46">
        <w:rPr>
          <w:noProof/>
        </w:rPr>
        <w:t>1</w:t>
      </w:r>
      <w:r>
        <w:fldChar w:fldCharType="end"/>
      </w:r>
      <w:r>
        <w:t xml:space="preserve"> M</w:t>
      </w:r>
      <w:r w:rsidRPr="006D782D">
        <w:t xml:space="preserve">apa </w:t>
      </w:r>
      <w:r>
        <w:t xml:space="preserve">ztrát </w:t>
      </w:r>
      <w:r w:rsidRPr="006D782D">
        <w:t>organického uhlíku v půdě v ČR</w:t>
      </w:r>
      <w:bookmarkEnd w:id="192"/>
    </w:p>
    <w:p w14:paraId="1E781BE8" w14:textId="77777777" w:rsidR="001214E9" w:rsidRDefault="00F721F6" w:rsidP="00BC1449">
      <w:pPr>
        <w:spacing w:line="276" w:lineRule="auto"/>
        <w:jc w:val="left"/>
        <w:rPr>
          <w:rFonts w:eastAsia="Calibri" w:cs="Times New Roman"/>
          <w:sz w:val="22"/>
          <w:lang w:val="cs-CZ"/>
        </w:rPr>
      </w:pPr>
      <w:r w:rsidRPr="00F721F6">
        <w:rPr>
          <w:rFonts w:eastAsia="Calibri" w:cs="Times New Roman"/>
          <w:noProof/>
          <w:sz w:val="22"/>
          <w:lang w:val="cs-CZ" w:eastAsia="cs-CZ"/>
        </w:rPr>
        <w:drawing>
          <wp:inline distT="0" distB="0" distL="0" distR="0" wp14:anchorId="44144E43" wp14:editId="6D95817D">
            <wp:extent cx="6134100" cy="39119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42280" t="38540" r="4707" b="1356"/>
                    <a:stretch/>
                  </pic:blipFill>
                  <pic:spPr bwMode="auto">
                    <a:xfrm>
                      <a:off x="0" y="0"/>
                      <a:ext cx="6151601" cy="3923109"/>
                    </a:xfrm>
                    <a:prstGeom prst="rect">
                      <a:avLst/>
                    </a:prstGeom>
                    <a:ln>
                      <a:noFill/>
                    </a:ln>
                    <a:extLst>
                      <a:ext uri="{53640926-AAD7-44D8-BBD7-CCE9431645EC}">
                        <a14:shadowObscured xmlns:a14="http://schemas.microsoft.com/office/drawing/2010/main"/>
                      </a:ext>
                    </a:extLst>
                  </pic:spPr>
                </pic:pic>
              </a:graphicData>
            </a:graphic>
          </wp:inline>
        </w:drawing>
      </w:r>
    </w:p>
    <w:p w14:paraId="7B83FA87" w14:textId="77777777" w:rsidR="001214E9" w:rsidRPr="001214E9" w:rsidRDefault="001214E9" w:rsidP="00BC1449">
      <w:pPr>
        <w:spacing w:line="276" w:lineRule="auto"/>
        <w:jc w:val="left"/>
        <w:rPr>
          <w:rFonts w:eastAsia="Calibri" w:cs="Times New Roman"/>
          <w:sz w:val="22"/>
          <w:lang w:val="cs-CZ"/>
        </w:rPr>
      </w:pPr>
    </w:p>
    <w:p w14:paraId="2FFE6122" w14:textId="77777777" w:rsidR="003E0F58" w:rsidRPr="00BC1449" w:rsidRDefault="003E0F58" w:rsidP="00BC1449">
      <w:pPr>
        <w:pStyle w:val="UZEINormaln"/>
        <w:rPr>
          <w:rFonts w:eastAsiaTheme="minorEastAsia"/>
          <w:b/>
          <w:bCs/>
        </w:rPr>
      </w:pPr>
      <w:r w:rsidRPr="00BC1449">
        <w:rPr>
          <w:rFonts w:eastAsiaTheme="minorEastAsia"/>
          <w:b/>
          <w:bCs/>
        </w:rPr>
        <w:t>Dopadové indikátory</w:t>
      </w:r>
    </w:p>
    <w:p w14:paraId="4492CB8C" w14:textId="0BDCFA76" w:rsidR="004B7B32" w:rsidRPr="004B7B32" w:rsidRDefault="003E0F58" w:rsidP="004B7B32">
      <w:pPr>
        <w:pStyle w:val="Default"/>
        <w:rPr>
          <w:sz w:val="22"/>
        </w:rPr>
      </w:pPr>
      <w:r w:rsidRPr="007C705C">
        <w:t xml:space="preserve">I.9 </w:t>
      </w:r>
      <w:r w:rsidR="004B7B32">
        <w:rPr>
          <w:sz w:val="22"/>
        </w:rPr>
        <w:t xml:space="preserve"> </w:t>
      </w:r>
      <w:r w:rsidR="004B7B32">
        <w:rPr>
          <w:sz w:val="22"/>
          <w:szCs w:val="22"/>
        </w:rPr>
        <w:t xml:space="preserve">Zvyšování odolnosti </w:t>
      </w:r>
      <w:r w:rsidR="004B7B32">
        <w:rPr>
          <w:rFonts w:ascii="TimesNewRomanPSMT" w:hAnsi="TimesNewRomanPSMT" w:cs="TimesNewRomanPSMT"/>
          <w:sz w:val="22"/>
          <w:szCs w:val="22"/>
        </w:rPr>
        <w:t xml:space="preserve">zemědělství vůči změně klimatu: </w:t>
      </w:r>
      <w:r w:rsidR="004B7B32">
        <w:rPr>
          <w:sz w:val="22"/>
          <w:szCs w:val="22"/>
        </w:rPr>
        <w:t xml:space="preserve">Ukazatel pokroku v oblasti </w:t>
      </w:r>
      <w:r w:rsidR="004B7B32">
        <w:rPr>
          <w:rFonts w:ascii="TimesNewRomanPSMT" w:hAnsi="TimesNewRomanPSMT" w:cs="TimesNewRomanPSMT"/>
          <w:sz w:val="22"/>
          <w:szCs w:val="22"/>
        </w:rPr>
        <w:t xml:space="preserve">odolnosti zemědělského odvětví </w:t>
      </w:r>
    </w:p>
    <w:p w14:paraId="737DB7C2" w14:textId="0840A7D5" w:rsidR="003E0F58" w:rsidRPr="007C705C" w:rsidRDefault="004B7B32" w:rsidP="00BC1449">
      <w:pPr>
        <w:pStyle w:val="UZEINormaln"/>
        <w:rPr>
          <w:rFonts w:eastAsiaTheme="minorEastAsia"/>
        </w:rPr>
      </w:pPr>
      <w:r w:rsidRPr="007C705C" w:rsidDel="004B7B32">
        <w:rPr>
          <w:rFonts w:eastAsiaTheme="minorEastAsia"/>
        </w:rPr>
        <w:t xml:space="preserve"> </w:t>
      </w:r>
      <w:r w:rsidR="003E0F58" w:rsidRPr="007C705C">
        <w:rPr>
          <w:rFonts w:eastAsiaTheme="minorEastAsia"/>
        </w:rPr>
        <w:t xml:space="preserve">I.10 Přispívat ke zmírňování změny klimatu: </w:t>
      </w:r>
      <w:r>
        <w:rPr>
          <w:rFonts w:eastAsiaTheme="minorEastAsia"/>
        </w:rPr>
        <w:t>Emise</w:t>
      </w:r>
      <w:r w:rsidR="003E0F58" w:rsidRPr="007C705C">
        <w:rPr>
          <w:rFonts w:eastAsiaTheme="minorEastAsia"/>
        </w:rPr>
        <w:t xml:space="preserve"> skleníkových plynů ze zemědělství</w:t>
      </w:r>
    </w:p>
    <w:p w14:paraId="38FF806B" w14:textId="76B40526" w:rsidR="003E0F58" w:rsidRPr="007C705C" w:rsidRDefault="003E0F58" w:rsidP="00BC1449">
      <w:pPr>
        <w:pStyle w:val="UZEINormaln"/>
        <w:rPr>
          <w:rFonts w:eastAsiaTheme="minorEastAsia"/>
        </w:rPr>
      </w:pPr>
      <w:r w:rsidRPr="007C705C">
        <w:rPr>
          <w:rFonts w:eastAsiaTheme="minorEastAsia"/>
        </w:rPr>
        <w:t xml:space="preserve">I.11 Podpora ukládání uhlíku: </w:t>
      </w:r>
      <w:r w:rsidR="004B7B32">
        <w:rPr>
          <w:rFonts w:eastAsiaTheme="minorEastAsia"/>
        </w:rPr>
        <w:t>Obsah</w:t>
      </w:r>
      <w:r w:rsidRPr="007C705C">
        <w:rPr>
          <w:rFonts w:eastAsiaTheme="minorEastAsia"/>
        </w:rPr>
        <w:t xml:space="preserve"> organického uhlíku v půdě</w:t>
      </w:r>
    </w:p>
    <w:p w14:paraId="1E3CC996" w14:textId="35A71EF4" w:rsidR="003E0F58" w:rsidRPr="00BC1449" w:rsidRDefault="003E0F58" w:rsidP="00BC1449">
      <w:pPr>
        <w:pStyle w:val="UZEINormaln"/>
        <w:rPr>
          <w:rFonts w:eastAsiaTheme="minorEastAsia"/>
        </w:rPr>
      </w:pPr>
      <w:r w:rsidRPr="007C705C">
        <w:rPr>
          <w:rFonts w:eastAsiaTheme="minorEastAsia"/>
        </w:rPr>
        <w:t xml:space="preserve">I.14 Zlepšování kvality ovzduší: </w:t>
      </w:r>
      <w:r w:rsidR="004B7B32">
        <w:rPr>
          <w:rFonts w:eastAsiaTheme="minorEastAsia"/>
        </w:rPr>
        <w:t>Emise</w:t>
      </w:r>
      <w:r w:rsidRPr="007C705C">
        <w:rPr>
          <w:rFonts w:eastAsiaTheme="minorEastAsia"/>
        </w:rPr>
        <w:t xml:space="preserve"> amoniaku ze zemědělství</w:t>
      </w:r>
    </w:p>
    <w:p w14:paraId="1D0E4FE5" w14:textId="77777777" w:rsidR="003E0F58" w:rsidRPr="00BC1449" w:rsidRDefault="003E0F58" w:rsidP="00BC1449">
      <w:pPr>
        <w:pStyle w:val="UZEINormaln"/>
        <w:rPr>
          <w:rFonts w:eastAsiaTheme="minorEastAsia"/>
          <w:b/>
          <w:bCs/>
        </w:rPr>
      </w:pPr>
      <w:r w:rsidRPr="00BC1449">
        <w:rPr>
          <w:rFonts w:eastAsiaTheme="minorEastAsia"/>
          <w:b/>
          <w:bCs/>
        </w:rPr>
        <w:t>Výsledkové indikátory</w:t>
      </w:r>
    </w:p>
    <w:p w14:paraId="46CF5363" w14:textId="4D7C10BD" w:rsidR="003E0F58" w:rsidRPr="007C705C" w:rsidRDefault="003E0F58" w:rsidP="00BC1449">
      <w:pPr>
        <w:pStyle w:val="UZEINormaln"/>
        <w:rPr>
          <w:rFonts w:eastAsiaTheme="minorEastAsia"/>
        </w:rPr>
      </w:pPr>
      <w:r w:rsidRPr="007C705C">
        <w:rPr>
          <w:rFonts w:eastAsiaTheme="minorEastAsia"/>
        </w:rPr>
        <w:t xml:space="preserve">R.12 Přizpůsobování se změně klimatu: </w:t>
      </w:r>
      <w:r w:rsidR="00973CBC">
        <w:rPr>
          <w:rFonts w:eastAsiaTheme="minorEastAsia"/>
        </w:rPr>
        <w:t>P</w:t>
      </w:r>
      <w:r w:rsidRPr="007C705C">
        <w:rPr>
          <w:rFonts w:eastAsiaTheme="minorEastAsia"/>
        </w:rPr>
        <w:t xml:space="preserve">odíl </w:t>
      </w:r>
      <w:r w:rsidR="00973CBC">
        <w:rPr>
          <w:rFonts w:eastAsiaTheme="minorEastAsia"/>
        </w:rPr>
        <w:t xml:space="preserve">využívané </w:t>
      </w:r>
      <w:r w:rsidRPr="007C705C">
        <w:rPr>
          <w:rFonts w:eastAsiaTheme="minorEastAsia"/>
        </w:rPr>
        <w:t>zemědělské půdy, na niž se vztahují závazky týkající se lepšího přizpůsobování se změně klimatu</w:t>
      </w:r>
      <w:r w:rsidR="002E6D60">
        <w:rPr>
          <w:rFonts w:eastAsiaTheme="minorEastAsia"/>
        </w:rPr>
        <w:t xml:space="preserve"> </w:t>
      </w:r>
      <w:r w:rsidRPr="007C705C">
        <w:rPr>
          <w:rFonts w:eastAsiaTheme="minorEastAsia"/>
        </w:rPr>
        <w:t>R.13 Snižování emisí v odvětví živočišné výroby: podíl velkých dobytčích jednotek, na něž se vztahuje podpora na snižování emisí skleníkových plynů nebo amoniaku, včetně hospodaření se statkovými hnojivy</w:t>
      </w:r>
    </w:p>
    <w:p w14:paraId="687A2B0D" w14:textId="17CB39C2" w:rsidR="002E6D60" w:rsidRDefault="003E0F58" w:rsidP="00BC1449">
      <w:pPr>
        <w:pStyle w:val="UZEINormaln"/>
        <w:rPr>
          <w:rFonts w:eastAsiaTheme="minorEastAsia"/>
        </w:rPr>
      </w:pPr>
      <w:r w:rsidRPr="007C705C">
        <w:rPr>
          <w:rFonts w:eastAsiaTheme="minorEastAsia"/>
        </w:rPr>
        <w:t>R.14</w:t>
      </w:r>
      <w:r w:rsidR="00A63362" w:rsidRPr="00A63362">
        <w:rPr>
          <w:vertAlign w:val="superscript"/>
        </w:rPr>
        <w:t xml:space="preserve"> </w:t>
      </w:r>
      <w:r w:rsidR="00A63362" w:rsidRPr="00F65C97">
        <w:rPr>
          <w:vertAlign w:val="superscript"/>
        </w:rPr>
        <w:t>PR</w:t>
      </w:r>
      <w:r w:rsidRPr="007C705C">
        <w:rPr>
          <w:rFonts w:eastAsiaTheme="minorEastAsia"/>
        </w:rPr>
        <w:t xml:space="preserve"> Ukládání uhlíku v půdě a biomase: </w:t>
      </w:r>
      <w:r w:rsidR="00A63362">
        <w:rPr>
          <w:rFonts w:eastAsiaTheme="minorEastAsia"/>
        </w:rPr>
        <w:t>P</w:t>
      </w:r>
      <w:r w:rsidRPr="007C705C">
        <w:rPr>
          <w:rFonts w:eastAsiaTheme="minorEastAsia"/>
        </w:rPr>
        <w:t xml:space="preserve">odíl zemědělské půdy, na niž se vztahují </w:t>
      </w:r>
      <w:r w:rsidR="00A63362">
        <w:rPr>
          <w:rFonts w:eastAsiaTheme="minorEastAsia"/>
        </w:rPr>
        <w:t xml:space="preserve">podpořené </w:t>
      </w:r>
      <w:r w:rsidRPr="007C705C">
        <w:rPr>
          <w:rFonts w:eastAsiaTheme="minorEastAsia"/>
        </w:rPr>
        <w:t>závazky týkající se snižování emisí</w:t>
      </w:r>
      <w:r w:rsidR="00A63362">
        <w:rPr>
          <w:rFonts w:eastAsiaTheme="minorEastAsia"/>
        </w:rPr>
        <w:t>, nebo</w:t>
      </w:r>
      <w:r w:rsidR="002E6D60">
        <w:rPr>
          <w:rFonts w:eastAsiaTheme="minorEastAsia"/>
        </w:rPr>
        <w:t xml:space="preserve"> </w:t>
      </w:r>
      <w:r w:rsidRPr="007C705C">
        <w:rPr>
          <w:rFonts w:eastAsiaTheme="minorEastAsia"/>
        </w:rPr>
        <w:t>zachování</w:t>
      </w:r>
      <w:r w:rsidR="00A63362">
        <w:rPr>
          <w:rFonts w:eastAsiaTheme="minorEastAsia"/>
        </w:rPr>
        <w:t>,</w:t>
      </w:r>
      <w:r w:rsidRPr="007C705C">
        <w:rPr>
          <w:rFonts w:eastAsiaTheme="minorEastAsia"/>
        </w:rPr>
        <w:t xml:space="preserve"> nebo zvyšování míry </w:t>
      </w:r>
      <w:r w:rsidRPr="00A96E2A">
        <w:rPr>
          <w:rFonts w:eastAsiaTheme="minorEastAsia"/>
        </w:rPr>
        <w:t>ukládání uhlíku (</w:t>
      </w:r>
      <w:r w:rsidR="00A63362" w:rsidRPr="00A96E2A">
        <w:rPr>
          <w:rFonts w:ascii="TimesNewRomanPSMT" w:hAnsi="TimesNewRomanPSMT" w:cs="TimesNewRomanPSMT"/>
          <w:color w:val="000000"/>
        </w:rPr>
        <w:t xml:space="preserve">včetně trvalých travních porostů, </w:t>
      </w:r>
      <w:r w:rsidR="00A63362" w:rsidRPr="00A96E2A">
        <w:rPr>
          <w:rFonts w:cs="Times New Roman"/>
          <w:color w:val="000000"/>
        </w:rPr>
        <w:t xml:space="preserve">trvalých kultur s trvalým zeleným </w:t>
      </w:r>
      <w:r w:rsidR="00A63362" w:rsidRPr="00A96E2A">
        <w:rPr>
          <w:rFonts w:ascii="TimesNewRomanPSMT" w:hAnsi="TimesNewRomanPSMT" w:cs="TimesNewRomanPSMT"/>
          <w:color w:val="000000"/>
        </w:rPr>
        <w:t xml:space="preserve">porostem, zemědělské půdy v mokřadech </w:t>
      </w:r>
      <w:r w:rsidR="00A63362" w:rsidRPr="00A96E2A">
        <w:rPr>
          <w:rFonts w:cs="Times New Roman"/>
          <w:color w:val="000000"/>
        </w:rPr>
        <w:t>a rašeliništích</w:t>
      </w:r>
      <w:r w:rsidR="00A63362" w:rsidRPr="00A96E2A">
        <w:rPr>
          <w:rFonts w:eastAsiaTheme="minorEastAsia"/>
        </w:rPr>
        <w:t>)</w:t>
      </w:r>
    </w:p>
    <w:p w14:paraId="77B0267B" w14:textId="0DE3704B" w:rsidR="003E0F58" w:rsidRPr="006821AE" w:rsidRDefault="003E0F58" w:rsidP="00BC1449">
      <w:pPr>
        <w:pStyle w:val="UZEINormaln"/>
        <w:rPr>
          <w:rFonts w:eastAsiaTheme="minorEastAsia"/>
        </w:rPr>
      </w:pPr>
      <w:r w:rsidRPr="00763CE2">
        <w:rPr>
          <w:rFonts w:eastAsiaTheme="minorEastAsia"/>
        </w:rPr>
        <w:lastRenderedPageBreak/>
        <w:t>R.17</w:t>
      </w:r>
      <w:r w:rsidR="009A2957" w:rsidRPr="00763CE2">
        <w:rPr>
          <w:vertAlign w:val="superscript"/>
        </w:rPr>
        <w:t>PR</w:t>
      </w:r>
      <w:r w:rsidRPr="00763CE2">
        <w:rPr>
          <w:rFonts w:eastAsiaTheme="minorEastAsia"/>
        </w:rPr>
        <w:t xml:space="preserve"> Zalesněná půda: </w:t>
      </w:r>
      <w:r w:rsidR="009A2957" w:rsidRPr="00763CE2">
        <w:rPr>
          <w:rFonts w:eastAsiaTheme="minorEastAsia"/>
        </w:rPr>
        <w:t xml:space="preserve">Plocha, na niž byla poskytnuta plocha za </w:t>
      </w:r>
      <w:r w:rsidRPr="00763CE2">
        <w:rPr>
          <w:rFonts w:eastAsiaTheme="minorEastAsia"/>
        </w:rPr>
        <w:t>oblasti, na něž se vztahuje podpora na zalesňování a zakládání lesů, včetně agrolesnictví</w:t>
      </w:r>
    </w:p>
    <w:p w14:paraId="5C2F7A99" w14:textId="2EB111A8" w:rsidR="00C228A5" w:rsidRPr="00A96E2A" w:rsidRDefault="00C228A5" w:rsidP="00C228A5">
      <w:pPr>
        <w:pStyle w:val="UZEINormaln"/>
        <w:rPr>
          <w:rFonts w:eastAsiaTheme="minorEastAsia"/>
        </w:rPr>
      </w:pPr>
      <w:r w:rsidRPr="00044AFD">
        <w:rPr>
          <w:rFonts w:eastAsiaTheme="minorEastAsia"/>
        </w:rPr>
        <w:t>R.</w:t>
      </w:r>
      <w:r w:rsidR="00B52450" w:rsidRPr="000952AD">
        <w:rPr>
          <w:rFonts w:eastAsiaTheme="minorEastAsia"/>
        </w:rPr>
        <w:t>20</w:t>
      </w:r>
      <w:r w:rsidR="009E62EB" w:rsidRPr="00A96E2A">
        <w:rPr>
          <w:vertAlign w:val="superscript"/>
        </w:rPr>
        <w:t>PR</w:t>
      </w:r>
      <w:r w:rsidR="009E62EB" w:rsidRPr="00A96E2A" w:rsidDel="00B52450">
        <w:rPr>
          <w:rFonts w:eastAsiaTheme="minorEastAsia"/>
        </w:rPr>
        <w:t xml:space="preserve"> </w:t>
      </w:r>
      <w:r w:rsidRPr="00A96E2A">
        <w:rPr>
          <w:rFonts w:eastAsiaTheme="minorEastAsia"/>
        </w:rPr>
        <w:t xml:space="preserve"> Zlepšování kvality ovzduší: podíl</w:t>
      </w:r>
      <w:r w:rsidR="009E62EB" w:rsidRPr="00A96E2A">
        <w:rPr>
          <w:rFonts w:eastAsiaTheme="minorEastAsia"/>
        </w:rPr>
        <w:t xml:space="preserve"> využívané</w:t>
      </w:r>
      <w:r w:rsidRPr="00A96E2A">
        <w:rPr>
          <w:rFonts w:eastAsiaTheme="minorEastAsia"/>
        </w:rPr>
        <w:t xml:space="preserve"> zemědělské půdy, na niž se vztahují </w:t>
      </w:r>
      <w:r w:rsidR="009E62EB" w:rsidRPr="00A96E2A">
        <w:rPr>
          <w:rFonts w:eastAsiaTheme="minorEastAsia"/>
        </w:rPr>
        <w:t xml:space="preserve">podpořené </w:t>
      </w:r>
      <w:r w:rsidRPr="00A96E2A">
        <w:rPr>
          <w:rFonts w:eastAsiaTheme="minorEastAsia"/>
        </w:rPr>
        <w:t>závazky týkající se snižování emisí amoniaku</w:t>
      </w:r>
    </w:p>
    <w:p w14:paraId="22FDB77F" w14:textId="760BE897" w:rsidR="009E62EB" w:rsidRPr="00A96E2A" w:rsidRDefault="009E62EB" w:rsidP="009E62EB">
      <w:pPr>
        <w:pStyle w:val="Default"/>
        <w:spacing w:after="120"/>
        <w:rPr>
          <w:rFonts w:ascii="TimesNewRomanPSMT" w:eastAsiaTheme="minorHAnsi" w:hAnsi="TimesNewRomanPSMT" w:cs="TimesNewRomanPSMT"/>
        </w:rPr>
      </w:pPr>
      <w:r w:rsidRPr="00A96E2A">
        <w:t>R.2</w:t>
      </w:r>
      <w:r w:rsidR="004B7B32" w:rsidRPr="00A96E2A">
        <w:t>6</w:t>
      </w:r>
      <w:r w:rsidRPr="00A96E2A">
        <w:t xml:space="preserve"> </w:t>
      </w:r>
      <w:r w:rsidRPr="00A96E2A">
        <w:rPr>
          <w:rFonts w:eastAsiaTheme="minorHAnsi"/>
        </w:rPr>
        <w:t xml:space="preserve">Investice související s </w:t>
      </w:r>
      <w:r w:rsidRPr="00A96E2A">
        <w:rPr>
          <w:rFonts w:ascii="TimesNewRomanPSMT" w:eastAsiaTheme="minorHAnsi" w:hAnsi="TimesNewRomanPSMT" w:cs="TimesNewRomanPSMT"/>
        </w:rPr>
        <w:t xml:space="preserve">přírodními zdroji: Podíl zemědělských podniků, </w:t>
      </w:r>
      <w:r w:rsidRPr="00A96E2A">
        <w:rPr>
          <w:rFonts w:eastAsiaTheme="minorHAnsi"/>
        </w:rPr>
        <w:t xml:space="preserve">které využívají podporu na produktivní a neproduktivní investice v rámci SZP související s </w:t>
      </w:r>
      <w:r w:rsidRPr="00A96E2A">
        <w:rPr>
          <w:rFonts w:ascii="TimesNewRomanPSMT" w:eastAsiaTheme="minorHAnsi" w:hAnsi="TimesNewRomanPSMT" w:cs="TimesNewRomanPSMT"/>
        </w:rPr>
        <w:t>péčí o přírodní zdroje</w:t>
      </w:r>
    </w:p>
    <w:p w14:paraId="26918B92" w14:textId="22FA0F0B" w:rsidR="009E62EB" w:rsidRPr="00A96E2A" w:rsidRDefault="009E62EB" w:rsidP="009E62EB">
      <w:pPr>
        <w:pStyle w:val="Default"/>
        <w:spacing w:after="120"/>
        <w:rPr>
          <w:rFonts w:eastAsiaTheme="minorHAnsi"/>
        </w:rPr>
      </w:pPr>
      <w:r w:rsidRPr="00A96E2A">
        <w:t>R</w:t>
      </w:r>
      <w:r w:rsidR="004B7B32" w:rsidRPr="00A96E2A">
        <w:t>.27</w:t>
      </w:r>
      <w:r w:rsidRPr="00A96E2A">
        <w:t xml:space="preserve"> </w:t>
      </w:r>
      <w:r w:rsidRPr="00A96E2A">
        <w:rPr>
          <w:rFonts w:eastAsiaTheme="minorHAnsi"/>
        </w:rPr>
        <w:t xml:space="preserve">Výkonnost v oblasti životního </w:t>
      </w:r>
      <w:r w:rsidRPr="00A96E2A">
        <w:rPr>
          <w:rFonts w:ascii="TimesNewRomanPSMT" w:eastAsiaTheme="minorHAnsi" w:hAnsi="TimesNewRomanPSMT" w:cs="TimesNewRomanPSMT"/>
        </w:rPr>
        <w:t xml:space="preserve">prostředí nebo klimatu prostřednictvím </w:t>
      </w:r>
      <w:r w:rsidRPr="00A96E2A">
        <w:rPr>
          <w:rFonts w:eastAsiaTheme="minorHAnsi"/>
        </w:rPr>
        <w:t xml:space="preserve">investic do </w:t>
      </w:r>
      <w:r w:rsidRPr="00A96E2A">
        <w:rPr>
          <w:rFonts w:ascii="TimesNewRomanPSMT" w:eastAsiaTheme="minorHAnsi" w:hAnsi="TimesNewRomanPSMT" w:cs="TimesNewRomanPSMT"/>
        </w:rPr>
        <w:t xml:space="preserve">venkovských oblastí: Počet operací přispívajících k cílům v </w:t>
      </w:r>
      <w:r w:rsidRPr="00A96E2A">
        <w:rPr>
          <w:rFonts w:eastAsiaTheme="minorHAnsi"/>
        </w:rPr>
        <w:t xml:space="preserve">oblasti environmentální udržitelnosti, </w:t>
      </w:r>
      <w:r w:rsidRPr="00A96E2A">
        <w:rPr>
          <w:rFonts w:ascii="TimesNewRomanPSMT" w:eastAsiaTheme="minorHAnsi" w:hAnsi="TimesNewRomanPSMT" w:cs="TimesNewRomanPSMT"/>
        </w:rPr>
        <w:t xml:space="preserve">zmírňování změny klimatu </w:t>
      </w:r>
      <w:r w:rsidRPr="00A96E2A">
        <w:rPr>
          <w:rFonts w:eastAsiaTheme="minorHAnsi"/>
        </w:rPr>
        <w:t xml:space="preserve">a </w:t>
      </w:r>
      <w:r w:rsidRPr="00A96E2A">
        <w:rPr>
          <w:rFonts w:ascii="TimesNewRomanPSMT" w:eastAsiaTheme="minorHAnsi" w:hAnsi="TimesNewRomanPSMT" w:cs="TimesNewRomanPSMT"/>
        </w:rPr>
        <w:t xml:space="preserve">přizpůsobování se této změně </w:t>
      </w:r>
    </w:p>
    <w:p w14:paraId="110DC569" w14:textId="04E73A93" w:rsidR="00C228A5" w:rsidRPr="00BC1449" w:rsidRDefault="009E62EB" w:rsidP="00BC1449">
      <w:pPr>
        <w:pStyle w:val="UZEINormaln"/>
        <w:rPr>
          <w:rFonts w:eastAsiaTheme="minorEastAsia"/>
        </w:rPr>
      </w:pPr>
      <w:r w:rsidRPr="00A96E2A">
        <w:t>R.</w:t>
      </w:r>
      <w:r w:rsidR="004B7B32" w:rsidRPr="00A96E2A">
        <w:t>30</w:t>
      </w:r>
      <w:r w:rsidRPr="00A96E2A">
        <w:rPr>
          <w:vertAlign w:val="superscript"/>
        </w:rPr>
        <w:t xml:space="preserve"> PR</w:t>
      </w:r>
      <w:r w:rsidRPr="00A96E2A">
        <w:t xml:space="preserve"> </w:t>
      </w:r>
      <w:r w:rsidRPr="00A96E2A">
        <w:rPr>
          <w:rFonts w:eastAsiaTheme="minorHAnsi"/>
        </w:rPr>
        <w:t xml:space="preserve">Podpora udržitelného </w:t>
      </w:r>
      <w:r w:rsidRPr="00A96E2A">
        <w:rPr>
          <w:rFonts w:ascii="TimesNewRomanPSMT" w:eastAsiaTheme="minorHAnsi" w:hAnsi="TimesNewRomanPSMT" w:cs="TimesNewRomanPSMT"/>
        </w:rPr>
        <w:t xml:space="preserve">obhospodařování lesů: Podíl lesní půdy, </w:t>
      </w:r>
      <w:r w:rsidRPr="00A96E2A">
        <w:rPr>
          <w:rFonts w:eastAsiaTheme="minorHAnsi"/>
        </w:rPr>
        <w:t xml:space="preserve">na niž se vztahují závazky na podporu </w:t>
      </w:r>
      <w:r w:rsidRPr="00A96E2A">
        <w:rPr>
          <w:rFonts w:ascii="TimesNewRomanPSMT" w:eastAsiaTheme="minorHAnsi" w:hAnsi="TimesNewRomanPSMT" w:cs="TimesNewRomanPSMT"/>
        </w:rPr>
        <w:t xml:space="preserve">ochrany lesů a řízení ekosystémových </w:t>
      </w:r>
      <w:r w:rsidRPr="00A96E2A">
        <w:rPr>
          <w:rFonts w:eastAsiaTheme="minorHAnsi"/>
        </w:rPr>
        <w:t xml:space="preserve">služeb </w:t>
      </w:r>
    </w:p>
    <w:p w14:paraId="3BC13E16" w14:textId="77777777" w:rsidR="003E0F58" w:rsidRPr="00BC1449" w:rsidRDefault="003E0F58" w:rsidP="00BC1449">
      <w:pPr>
        <w:pStyle w:val="UZEINormaln"/>
        <w:rPr>
          <w:rFonts w:eastAsiaTheme="minorEastAsia"/>
          <w:b/>
          <w:bCs/>
        </w:rPr>
      </w:pPr>
      <w:r w:rsidRPr="00BC1449">
        <w:rPr>
          <w:rFonts w:eastAsiaTheme="minorEastAsia"/>
          <w:b/>
          <w:bCs/>
        </w:rPr>
        <w:t>Výstupové indikátory</w:t>
      </w:r>
    </w:p>
    <w:p w14:paraId="7F77A024" w14:textId="6CE5132A" w:rsidR="003E0F58" w:rsidRPr="007C705C" w:rsidRDefault="003E0F58" w:rsidP="00BC1449">
      <w:pPr>
        <w:pStyle w:val="UZEINormaln"/>
        <w:rPr>
          <w:rFonts w:eastAsiaTheme="minorEastAsia"/>
        </w:rPr>
      </w:pPr>
      <w:r w:rsidRPr="007C705C">
        <w:rPr>
          <w:rFonts w:eastAsiaTheme="minorEastAsia"/>
        </w:rPr>
        <w:t>Pro Klima jsou vyznačeny tyto dva konkrétní indikátory:</w:t>
      </w:r>
    </w:p>
    <w:p w14:paraId="2B47703A" w14:textId="08F0E023" w:rsidR="003E0F58" w:rsidRPr="007C705C" w:rsidRDefault="003E0F58" w:rsidP="00BC1449">
      <w:pPr>
        <w:pStyle w:val="UZEINormaln"/>
        <w:rPr>
          <w:rFonts w:eastAsiaTheme="minorEastAsia"/>
        </w:rPr>
      </w:pPr>
      <w:r w:rsidRPr="007C705C">
        <w:rPr>
          <w:rFonts w:eastAsiaTheme="minorEastAsia"/>
        </w:rPr>
        <w:t>O.</w:t>
      </w:r>
      <w:r w:rsidR="004B7B32" w:rsidRPr="007C705C">
        <w:rPr>
          <w:rFonts w:eastAsiaTheme="minorEastAsia"/>
        </w:rPr>
        <w:t>1</w:t>
      </w:r>
      <w:r w:rsidR="004B7B32">
        <w:rPr>
          <w:rFonts w:eastAsiaTheme="minorEastAsia"/>
        </w:rPr>
        <w:t>4</w:t>
      </w:r>
      <w:r w:rsidR="004B7B32" w:rsidRPr="007C705C">
        <w:rPr>
          <w:rFonts w:eastAsiaTheme="minorEastAsia"/>
        </w:rPr>
        <w:t xml:space="preserve"> </w:t>
      </w:r>
      <w:r w:rsidRPr="007C705C">
        <w:rPr>
          <w:rFonts w:eastAsiaTheme="minorEastAsia"/>
        </w:rPr>
        <w:t>Počet hektarů (</w:t>
      </w:r>
      <w:r w:rsidR="00605A51">
        <w:rPr>
          <w:rFonts w:eastAsiaTheme="minorEastAsia"/>
        </w:rPr>
        <w:t>vyjma lesní půdy</w:t>
      </w:r>
      <w:r w:rsidRPr="007C705C">
        <w:rPr>
          <w:rFonts w:eastAsiaTheme="minorEastAsia"/>
        </w:rPr>
        <w:t>)</w:t>
      </w:r>
      <w:r w:rsidR="00605A51">
        <w:rPr>
          <w:rFonts w:eastAsiaTheme="minorEastAsia"/>
        </w:rPr>
        <w:t xml:space="preserve"> nebo počet jiných jednotek</w:t>
      </w:r>
      <w:r w:rsidRPr="007C705C">
        <w:rPr>
          <w:rFonts w:eastAsiaTheme="minorEastAsia"/>
        </w:rPr>
        <w:t xml:space="preserve">, na něž se vztahují závazky v oblasti životního prostředí </w:t>
      </w:r>
      <w:r w:rsidR="002222FD">
        <w:rPr>
          <w:rFonts w:eastAsiaTheme="minorEastAsia"/>
        </w:rPr>
        <w:t>nebo</w:t>
      </w:r>
      <w:r w:rsidRPr="007C705C">
        <w:rPr>
          <w:rFonts w:eastAsiaTheme="minorEastAsia"/>
        </w:rPr>
        <w:t xml:space="preserve"> klimatu nad rámec </w:t>
      </w:r>
      <w:r w:rsidR="002222FD">
        <w:rPr>
          <w:rFonts w:eastAsiaTheme="minorEastAsia"/>
        </w:rPr>
        <w:t xml:space="preserve">závazných </w:t>
      </w:r>
      <w:r w:rsidRPr="007C705C">
        <w:rPr>
          <w:rFonts w:eastAsiaTheme="minorEastAsia"/>
        </w:rPr>
        <w:t>požadavků</w:t>
      </w:r>
    </w:p>
    <w:p w14:paraId="766FDBB9" w14:textId="417BA9CB" w:rsidR="00BC1449" w:rsidRDefault="003E0F58" w:rsidP="00BC1449">
      <w:pPr>
        <w:pStyle w:val="UZEINormaln"/>
        <w:rPr>
          <w:rFonts w:eastAsiaTheme="minorEastAsia"/>
        </w:rPr>
      </w:pPr>
      <w:r w:rsidRPr="007C705C">
        <w:rPr>
          <w:rFonts w:eastAsiaTheme="minorEastAsia"/>
        </w:rPr>
        <w:t>O.1</w:t>
      </w:r>
      <w:r w:rsidR="004B7B32">
        <w:rPr>
          <w:rFonts w:eastAsiaTheme="minorEastAsia"/>
        </w:rPr>
        <w:t>5</w:t>
      </w:r>
      <w:r w:rsidRPr="007C705C">
        <w:rPr>
          <w:rFonts w:eastAsiaTheme="minorEastAsia"/>
        </w:rPr>
        <w:t xml:space="preserve"> Počet hektarů (lesní půdy)</w:t>
      </w:r>
      <w:r w:rsidR="002222FD" w:rsidRPr="002222FD">
        <w:rPr>
          <w:rFonts w:eastAsiaTheme="minorEastAsia"/>
        </w:rPr>
        <w:t xml:space="preserve"> </w:t>
      </w:r>
      <w:r w:rsidR="002222FD">
        <w:rPr>
          <w:rFonts w:eastAsiaTheme="minorEastAsia"/>
        </w:rPr>
        <w:t>nebo počet jiných jednotek</w:t>
      </w:r>
      <w:r w:rsidRPr="007C705C">
        <w:rPr>
          <w:rFonts w:eastAsiaTheme="minorEastAsia"/>
        </w:rPr>
        <w:t xml:space="preserve">, na něž se vztahují závazky v oblasti životního prostředí / klimatu nad rámec </w:t>
      </w:r>
      <w:r w:rsidR="002222FD">
        <w:rPr>
          <w:rFonts w:eastAsiaTheme="minorEastAsia"/>
        </w:rPr>
        <w:t xml:space="preserve">závazných </w:t>
      </w:r>
      <w:r w:rsidR="002222FD" w:rsidRPr="007C705C">
        <w:rPr>
          <w:rFonts w:eastAsiaTheme="minorEastAsia"/>
        </w:rPr>
        <w:t xml:space="preserve"> </w:t>
      </w:r>
      <w:r w:rsidRPr="007C705C">
        <w:rPr>
          <w:rFonts w:eastAsiaTheme="minorEastAsia"/>
        </w:rPr>
        <w:t>požadavků</w:t>
      </w:r>
    </w:p>
    <w:p w14:paraId="06D3E0F7" w14:textId="7D5D115B" w:rsidR="003E0F58" w:rsidRPr="007C705C" w:rsidRDefault="003E0F58" w:rsidP="00BC1449">
      <w:pPr>
        <w:pStyle w:val="UZEINormaln"/>
        <w:rPr>
          <w:rFonts w:eastAsiaTheme="minorEastAsia"/>
        </w:rPr>
      </w:pPr>
      <w:r w:rsidRPr="007C705C">
        <w:rPr>
          <w:rFonts w:eastAsiaTheme="minorEastAsia"/>
        </w:rPr>
        <w:t>Několik dalších však může být vztaženo na Klima, např.:</w:t>
      </w:r>
    </w:p>
    <w:p w14:paraId="096A1004" w14:textId="77777777" w:rsidR="003E0F58" w:rsidRPr="007C705C" w:rsidRDefault="003E0F58" w:rsidP="00BC1449">
      <w:pPr>
        <w:pStyle w:val="UZEINormaln"/>
        <w:rPr>
          <w:rFonts w:eastAsiaTheme="minorEastAsia"/>
        </w:rPr>
      </w:pPr>
      <w:r w:rsidRPr="007C705C">
        <w:rPr>
          <w:rFonts w:eastAsiaTheme="minorEastAsia"/>
        </w:rPr>
        <w:t>O.3 Počet příjemců podpory poskytované v rámci SZP</w:t>
      </w:r>
    </w:p>
    <w:p w14:paraId="44F52A57" w14:textId="2767E231" w:rsidR="003E0F58" w:rsidRPr="007C705C" w:rsidRDefault="003E0F58" w:rsidP="00BC1449">
      <w:pPr>
        <w:pStyle w:val="UZEINormaln"/>
        <w:rPr>
          <w:rFonts w:eastAsiaTheme="minorEastAsia"/>
        </w:rPr>
      </w:pPr>
      <w:r w:rsidRPr="007C705C">
        <w:rPr>
          <w:rFonts w:eastAsiaTheme="minorEastAsia"/>
        </w:rPr>
        <w:t xml:space="preserve">O.4 Počet hektarů </w:t>
      </w:r>
      <w:r w:rsidR="002222FD">
        <w:rPr>
          <w:rFonts w:eastAsiaTheme="minorEastAsia"/>
        </w:rPr>
        <w:t>využívajících základné podporu příjmu</w:t>
      </w:r>
    </w:p>
    <w:p w14:paraId="2B39BD3A" w14:textId="084A8AAE" w:rsidR="00605A51" w:rsidRPr="00605A51" w:rsidRDefault="00605A51" w:rsidP="0065394F">
      <w:pPr>
        <w:pStyle w:val="UZEINormaln"/>
      </w:pPr>
      <w:r w:rsidRPr="00605A51">
        <w:t xml:space="preserve">O.21 Počet podpořených operací nebo jednotek na základě neproduktivních investic realizovaných v zemědělském podniku </w:t>
      </w:r>
    </w:p>
    <w:p w14:paraId="2811A45B" w14:textId="1A94A8E2" w:rsidR="00605A51" w:rsidRPr="00605A51" w:rsidRDefault="00973CBC" w:rsidP="0065394F">
      <w:pPr>
        <w:pStyle w:val="UZEINormaln"/>
      </w:pPr>
      <w:r>
        <w:t>O.</w:t>
      </w:r>
      <w:r w:rsidR="004B7B32" w:rsidRPr="00605A51">
        <w:t>23</w:t>
      </w:r>
      <w:r w:rsidR="00605A51" w:rsidRPr="00605A51">
        <w:t xml:space="preserve"> Počet podpořených operací nebo jednotek na základě neproduktivních investic realizovaných mimo zemědělský podnik </w:t>
      </w:r>
    </w:p>
    <w:p w14:paraId="124B460E" w14:textId="77777777" w:rsidR="003E0F58" w:rsidRPr="007C705C" w:rsidRDefault="003E0F58" w:rsidP="00BC1449">
      <w:pPr>
        <w:pStyle w:val="UZEINormaln"/>
        <w:rPr>
          <w:rFonts w:eastAsiaTheme="minorEastAsia"/>
        </w:rPr>
      </w:pPr>
      <w:r w:rsidRPr="007C705C">
        <w:rPr>
          <w:rFonts w:eastAsiaTheme="minorEastAsia"/>
        </w:rPr>
        <w:t>O.31 Počet hektarů, na něž se vztahují environmentální postupy (syntetický ukazatel fyzické plochy, na niž se vztahuje podmíněnost, ekorežimy, agroenvironmentálně-klimatická opatření, lesnická opatření, ekologické zemědělství)</w:t>
      </w:r>
    </w:p>
    <w:p w14:paraId="30A7951C" w14:textId="4E702D89" w:rsidR="00BC1449" w:rsidRDefault="003E0F58" w:rsidP="00BC1449">
      <w:pPr>
        <w:pStyle w:val="UZEINormaln"/>
        <w:rPr>
          <w:rFonts w:eastAsiaTheme="minorEastAsia"/>
        </w:rPr>
      </w:pPr>
      <w:r w:rsidRPr="007C705C">
        <w:rPr>
          <w:rFonts w:eastAsiaTheme="minorEastAsia"/>
        </w:rPr>
        <w:t xml:space="preserve">O.32 </w:t>
      </w:r>
      <w:r w:rsidR="004D2249">
        <w:rPr>
          <w:rFonts w:eastAsiaTheme="minorEastAsia"/>
        </w:rPr>
        <w:t>Počet hektarů, na něž se vztahuje podmíněnost (v členění podle postupů dobré zemědělské a environmentální praxe)</w:t>
      </w:r>
    </w:p>
    <w:p w14:paraId="137BBC19" w14:textId="77777777" w:rsidR="003E0F58" w:rsidRPr="007C705C" w:rsidRDefault="003E0F58" w:rsidP="00C64A5C">
      <w:pPr>
        <w:pStyle w:val="Odstavecseseznamem"/>
        <w:spacing w:before="60" w:line="360" w:lineRule="atLeast"/>
        <w:ind w:left="0"/>
        <w:rPr>
          <w:rFonts w:eastAsiaTheme="minorEastAsia"/>
        </w:rPr>
      </w:pPr>
      <w:r w:rsidRPr="007C705C">
        <w:rPr>
          <w:rFonts w:eastAsiaTheme="minorEastAsia"/>
        </w:rPr>
        <w:t>indikátory za oblast OZE</w:t>
      </w:r>
    </w:p>
    <w:p w14:paraId="0CEBD411" w14:textId="77777777" w:rsidR="003E0F58" w:rsidRPr="007C705C" w:rsidRDefault="003E0F58" w:rsidP="003E0F58">
      <w:pPr>
        <w:rPr>
          <w:rFonts w:eastAsiaTheme="minorEastAsia" w:cs="Times New Roman"/>
          <w:b/>
          <w:bCs/>
          <w:lang w:val="cs-CZ"/>
        </w:rPr>
      </w:pPr>
      <w:r w:rsidRPr="007C705C">
        <w:rPr>
          <w:rFonts w:eastAsiaTheme="minorEastAsia" w:cs="Times New Roman"/>
          <w:b/>
          <w:bCs/>
          <w:lang w:val="cs-CZ"/>
        </w:rPr>
        <w:t>Kontextové indikátory</w:t>
      </w:r>
    </w:p>
    <w:p w14:paraId="4E334081" w14:textId="77777777" w:rsidR="003E0F58" w:rsidRPr="007C705C" w:rsidRDefault="003E0F58" w:rsidP="003E0F58">
      <w:pPr>
        <w:pStyle w:val="Odstavecseseznamem"/>
        <w:ind w:left="0"/>
        <w:rPr>
          <w:rFonts w:eastAsiaTheme="minorEastAsia"/>
        </w:rPr>
      </w:pPr>
      <w:r w:rsidRPr="007C705C">
        <w:rPr>
          <w:rFonts w:eastAsiaTheme="minorEastAsia"/>
        </w:rPr>
        <w:t> </w:t>
      </w:r>
    </w:p>
    <w:p w14:paraId="1F3E74C6" w14:textId="77777777" w:rsidR="003E0F58" w:rsidRPr="007C705C" w:rsidRDefault="003E0F58" w:rsidP="003E0F58">
      <w:pPr>
        <w:pStyle w:val="Odstavecseseznamem"/>
        <w:ind w:left="0"/>
        <w:rPr>
          <w:rFonts w:eastAsiaTheme="minorEastAsia"/>
        </w:rPr>
      </w:pPr>
      <w:r w:rsidRPr="007C705C">
        <w:rPr>
          <w:rFonts w:eastAsiaTheme="minorEastAsia"/>
        </w:rPr>
        <w:t>C.43 Výroba obnovitelné energie ze zemědělství a lesnictví</w:t>
      </w:r>
    </w:p>
    <w:p w14:paraId="3A129696" w14:textId="77777777" w:rsidR="003E0F58" w:rsidRPr="007C705C" w:rsidRDefault="003E0F58" w:rsidP="003E0F58">
      <w:pPr>
        <w:pStyle w:val="Odstavecseseznamem"/>
        <w:ind w:left="0"/>
        <w:rPr>
          <w:rFonts w:eastAsiaTheme="minorEastAsia"/>
        </w:rPr>
      </w:pPr>
      <w:r w:rsidRPr="007C705C">
        <w:rPr>
          <w:rFonts w:eastAsiaTheme="minorEastAsia"/>
        </w:rPr>
        <w:t>Níže jsou doplněny tabulky charakterizující vývoj výroby obnovitelných energií ze zemědělství a lesnictví.</w:t>
      </w:r>
    </w:p>
    <w:p w14:paraId="72636589" w14:textId="77777777" w:rsidR="003E0F58" w:rsidRPr="007C705C" w:rsidRDefault="003E0F58" w:rsidP="004A1EF0">
      <w:pPr>
        <w:pStyle w:val="Odstavecseseznamem"/>
        <w:keepNext/>
        <w:ind w:left="0"/>
        <w:rPr>
          <w:rFonts w:eastAsiaTheme="minorEastAsia"/>
        </w:rPr>
      </w:pPr>
      <w:r w:rsidRPr="007C705C">
        <w:t>Výroba obnovitelné energie v zemědělství</w:t>
      </w:r>
    </w:p>
    <w:p w14:paraId="6A3B409D" w14:textId="12E25082" w:rsidR="003E0F58" w:rsidRPr="007C705C" w:rsidRDefault="00BC1449" w:rsidP="004A1EF0">
      <w:pPr>
        <w:pStyle w:val="UZEITaB"/>
        <w:keepNext/>
        <w:spacing w:before="0"/>
        <w:ind w:left="992" w:hanging="992"/>
      </w:pPr>
      <w:bookmarkStart w:id="193" w:name="_Toc77245815"/>
      <w:r>
        <w:t xml:space="preserve"> </w:t>
      </w:r>
      <w:bookmarkStart w:id="194" w:name="_Toc94181573"/>
      <w:r w:rsidR="003E0F58" w:rsidRPr="007C705C">
        <w:t>Výroba obnovitelné energie v zemědělství v ČR v letech 2009 - 2018</w:t>
      </w:r>
      <w:bookmarkEnd w:id="193"/>
      <w:bookmarkEnd w:id="1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36"/>
        <w:gridCol w:w="852"/>
        <w:gridCol w:w="703"/>
        <w:gridCol w:w="703"/>
        <w:gridCol w:w="747"/>
        <w:gridCol w:w="747"/>
        <w:gridCol w:w="749"/>
        <w:gridCol w:w="749"/>
        <w:gridCol w:w="749"/>
        <w:gridCol w:w="749"/>
        <w:gridCol w:w="591"/>
        <w:gridCol w:w="587"/>
      </w:tblGrid>
      <w:tr w:rsidR="003E0F58" w:rsidRPr="007C705C" w14:paraId="0B533E9E" w14:textId="77777777" w:rsidTr="004D2249">
        <w:trPr>
          <w:trHeight w:val="228"/>
        </w:trPr>
        <w:tc>
          <w:tcPr>
            <w:tcW w:w="626" w:type="pct"/>
            <w:shd w:val="clear" w:color="000000" w:fill="F2F2F2"/>
            <w:vAlign w:val="center"/>
            <w:hideMark/>
          </w:tcPr>
          <w:p w14:paraId="7E2AAD02" w14:textId="77777777" w:rsidR="003E0F58" w:rsidRPr="007C705C" w:rsidRDefault="003E0F58" w:rsidP="004D2249">
            <w:pPr>
              <w:jc w:val="left"/>
              <w:rPr>
                <w:rFonts w:cs="Times New Roman"/>
                <w:b/>
                <w:bCs/>
                <w:color w:val="000000"/>
                <w:sz w:val="18"/>
                <w:szCs w:val="18"/>
                <w:lang w:val="cs-CZ"/>
              </w:rPr>
            </w:pPr>
            <w:r w:rsidRPr="007C705C">
              <w:rPr>
                <w:rFonts w:cs="Times New Roman"/>
                <w:b/>
                <w:bCs/>
                <w:color w:val="000000"/>
                <w:sz w:val="18"/>
                <w:szCs w:val="18"/>
                <w:lang w:val="cs-CZ"/>
              </w:rPr>
              <w:t>Popis</w:t>
            </w:r>
          </w:p>
        </w:tc>
        <w:tc>
          <w:tcPr>
            <w:tcW w:w="470" w:type="pct"/>
            <w:shd w:val="clear" w:color="000000" w:fill="F2F2F2"/>
            <w:vAlign w:val="center"/>
            <w:hideMark/>
          </w:tcPr>
          <w:p w14:paraId="463C2E19"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Jednotka</w:t>
            </w:r>
          </w:p>
        </w:tc>
        <w:tc>
          <w:tcPr>
            <w:tcW w:w="388" w:type="pct"/>
            <w:shd w:val="clear" w:color="000000" w:fill="F2F2F2"/>
            <w:vAlign w:val="center"/>
            <w:hideMark/>
          </w:tcPr>
          <w:p w14:paraId="0DC13F0A"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2009</w:t>
            </w:r>
          </w:p>
        </w:tc>
        <w:tc>
          <w:tcPr>
            <w:tcW w:w="388" w:type="pct"/>
            <w:shd w:val="clear" w:color="000000" w:fill="F2F2F2"/>
            <w:vAlign w:val="center"/>
            <w:hideMark/>
          </w:tcPr>
          <w:p w14:paraId="499C20D3"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2010</w:t>
            </w:r>
          </w:p>
        </w:tc>
        <w:tc>
          <w:tcPr>
            <w:tcW w:w="412" w:type="pct"/>
            <w:shd w:val="clear" w:color="000000" w:fill="F2F2F2"/>
            <w:vAlign w:val="center"/>
            <w:hideMark/>
          </w:tcPr>
          <w:p w14:paraId="05A40F5B"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2011</w:t>
            </w:r>
          </w:p>
        </w:tc>
        <w:tc>
          <w:tcPr>
            <w:tcW w:w="412" w:type="pct"/>
            <w:shd w:val="clear" w:color="000000" w:fill="F2F2F2"/>
            <w:vAlign w:val="center"/>
            <w:hideMark/>
          </w:tcPr>
          <w:p w14:paraId="01EDBB3A"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2012</w:t>
            </w:r>
          </w:p>
        </w:tc>
        <w:tc>
          <w:tcPr>
            <w:tcW w:w="413" w:type="pct"/>
            <w:shd w:val="clear" w:color="000000" w:fill="F2F2F2"/>
            <w:vAlign w:val="center"/>
            <w:hideMark/>
          </w:tcPr>
          <w:p w14:paraId="18345725"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2013</w:t>
            </w:r>
          </w:p>
        </w:tc>
        <w:tc>
          <w:tcPr>
            <w:tcW w:w="413" w:type="pct"/>
            <w:shd w:val="clear" w:color="000000" w:fill="F2F2F2"/>
            <w:vAlign w:val="center"/>
            <w:hideMark/>
          </w:tcPr>
          <w:p w14:paraId="2AFFED54"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2014</w:t>
            </w:r>
          </w:p>
        </w:tc>
        <w:tc>
          <w:tcPr>
            <w:tcW w:w="413" w:type="pct"/>
            <w:shd w:val="clear" w:color="000000" w:fill="F2F2F2"/>
            <w:vAlign w:val="center"/>
            <w:hideMark/>
          </w:tcPr>
          <w:p w14:paraId="3740738D"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2015</w:t>
            </w:r>
          </w:p>
        </w:tc>
        <w:tc>
          <w:tcPr>
            <w:tcW w:w="413" w:type="pct"/>
            <w:shd w:val="clear" w:color="000000" w:fill="F2F2F2"/>
            <w:vAlign w:val="center"/>
            <w:hideMark/>
          </w:tcPr>
          <w:p w14:paraId="3E9DBF5D" w14:textId="77777777" w:rsidR="003E0F58" w:rsidRPr="007C705C" w:rsidRDefault="003E0F58" w:rsidP="004D2249">
            <w:pPr>
              <w:jc w:val="center"/>
              <w:rPr>
                <w:rFonts w:cs="Times New Roman"/>
                <w:b/>
                <w:bCs/>
                <w:color w:val="000000"/>
                <w:sz w:val="18"/>
                <w:szCs w:val="18"/>
                <w:lang w:val="cs-CZ"/>
              </w:rPr>
            </w:pPr>
            <w:r w:rsidRPr="007C705C">
              <w:rPr>
                <w:rFonts w:cs="Times New Roman"/>
                <w:lang w:val="cs-CZ"/>
              </w:rPr>
              <w:t>2016</w:t>
            </w:r>
          </w:p>
        </w:tc>
        <w:tc>
          <w:tcPr>
            <w:tcW w:w="326" w:type="pct"/>
            <w:shd w:val="clear" w:color="000000" w:fill="F2F2F2"/>
            <w:vAlign w:val="center"/>
            <w:hideMark/>
          </w:tcPr>
          <w:p w14:paraId="44C33624"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2017</w:t>
            </w:r>
          </w:p>
        </w:tc>
        <w:tc>
          <w:tcPr>
            <w:tcW w:w="324" w:type="pct"/>
            <w:shd w:val="clear" w:color="000000" w:fill="F2F2F2"/>
            <w:vAlign w:val="center"/>
            <w:hideMark/>
          </w:tcPr>
          <w:p w14:paraId="1000D760"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2018</w:t>
            </w:r>
          </w:p>
        </w:tc>
      </w:tr>
      <w:tr w:rsidR="003E0F58" w:rsidRPr="007C705C" w14:paraId="19912500" w14:textId="77777777" w:rsidTr="004D2249">
        <w:trPr>
          <w:trHeight w:val="522"/>
        </w:trPr>
        <w:tc>
          <w:tcPr>
            <w:tcW w:w="626" w:type="pct"/>
            <w:shd w:val="clear" w:color="auto" w:fill="auto"/>
            <w:vAlign w:val="center"/>
            <w:hideMark/>
          </w:tcPr>
          <w:p w14:paraId="1395E47B" w14:textId="77777777" w:rsidR="003E0F58" w:rsidRPr="007C705C" w:rsidRDefault="003E0F58" w:rsidP="004D2249">
            <w:pPr>
              <w:jc w:val="left"/>
              <w:rPr>
                <w:rFonts w:cs="Times New Roman"/>
                <w:sz w:val="18"/>
                <w:szCs w:val="18"/>
                <w:lang w:val="cs-CZ"/>
              </w:rPr>
            </w:pPr>
            <w:r w:rsidRPr="007C705C">
              <w:rPr>
                <w:rFonts w:cs="Times New Roman"/>
                <w:sz w:val="18"/>
                <w:szCs w:val="18"/>
                <w:lang w:val="cs-CZ"/>
              </w:rPr>
              <w:t>Výroba obnovitelné energie v zemědělství</w:t>
            </w:r>
          </w:p>
        </w:tc>
        <w:tc>
          <w:tcPr>
            <w:tcW w:w="470" w:type="pct"/>
            <w:shd w:val="clear" w:color="auto" w:fill="auto"/>
            <w:vAlign w:val="center"/>
            <w:hideMark/>
          </w:tcPr>
          <w:p w14:paraId="786AF52F" w14:textId="77777777" w:rsidR="003E0F58" w:rsidRPr="007C705C" w:rsidRDefault="003E0F58" w:rsidP="004D2249">
            <w:pPr>
              <w:jc w:val="center"/>
              <w:rPr>
                <w:rFonts w:cs="Times New Roman"/>
                <w:sz w:val="18"/>
                <w:szCs w:val="18"/>
                <w:lang w:val="cs-CZ"/>
              </w:rPr>
            </w:pPr>
            <w:r w:rsidRPr="007C705C">
              <w:rPr>
                <w:rFonts w:cs="Times New Roman"/>
                <w:sz w:val="18"/>
                <w:szCs w:val="18"/>
                <w:lang w:val="cs-CZ"/>
              </w:rPr>
              <w:t>kToe</w:t>
            </w:r>
          </w:p>
        </w:tc>
        <w:tc>
          <w:tcPr>
            <w:tcW w:w="388" w:type="pct"/>
            <w:shd w:val="clear" w:color="auto" w:fill="auto"/>
            <w:vAlign w:val="center"/>
            <w:hideMark/>
          </w:tcPr>
          <w:p w14:paraId="3A4CF640" w14:textId="77777777" w:rsidR="003E0F58" w:rsidRPr="007C705C" w:rsidRDefault="003E0F58" w:rsidP="004D2249">
            <w:pPr>
              <w:jc w:val="center"/>
              <w:rPr>
                <w:rFonts w:cs="Times New Roman"/>
                <w:sz w:val="20"/>
                <w:lang w:val="cs-CZ"/>
              </w:rPr>
            </w:pPr>
            <w:r w:rsidRPr="007C705C">
              <w:rPr>
                <w:rFonts w:cs="Times New Roman"/>
                <w:sz w:val="18"/>
                <w:szCs w:val="18"/>
                <w:lang w:val="cs-CZ"/>
              </w:rPr>
              <w:t>347,6</w:t>
            </w:r>
          </w:p>
        </w:tc>
        <w:tc>
          <w:tcPr>
            <w:tcW w:w="388" w:type="pct"/>
            <w:shd w:val="clear" w:color="auto" w:fill="auto"/>
            <w:vAlign w:val="center"/>
            <w:hideMark/>
          </w:tcPr>
          <w:p w14:paraId="358FB790" w14:textId="77777777" w:rsidR="003E0F58" w:rsidRPr="007C705C" w:rsidRDefault="003E0F58" w:rsidP="004D2249">
            <w:pPr>
              <w:jc w:val="center"/>
              <w:rPr>
                <w:rFonts w:cs="Times New Roman"/>
                <w:sz w:val="20"/>
                <w:lang w:val="cs-CZ"/>
              </w:rPr>
            </w:pPr>
            <w:r w:rsidRPr="007C705C">
              <w:rPr>
                <w:rFonts w:cs="Times New Roman"/>
                <w:sz w:val="18"/>
                <w:szCs w:val="18"/>
                <w:lang w:val="cs-CZ"/>
              </w:rPr>
              <w:t>459,3</w:t>
            </w:r>
          </w:p>
        </w:tc>
        <w:tc>
          <w:tcPr>
            <w:tcW w:w="412" w:type="pct"/>
            <w:shd w:val="clear" w:color="auto" w:fill="auto"/>
            <w:vAlign w:val="center"/>
            <w:hideMark/>
          </w:tcPr>
          <w:p w14:paraId="6581DFA2" w14:textId="77777777" w:rsidR="003E0F58" w:rsidRPr="007C705C" w:rsidRDefault="003E0F58" w:rsidP="004D2249">
            <w:pPr>
              <w:jc w:val="center"/>
              <w:rPr>
                <w:rFonts w:cs="Times New Roman"/>
                <w:sz w:val="20"/>
                <w:lang w:val="cs-CZ"/>
              </w:rPr>
            </w:pPr>
            <w:r w:rsidRPr="007C705C">
              <w:rPr>
                <w:rFonts w:cs="Times New Roman"/>
                <w:sz w:val="18"/>
                <w:szCs w:val="18"/>
                <w:lang w:val="cs-CZ"/>
              </w:rPr>
              <w:t>522,1</w:t>
            </w:r>
          </w:p>
        </w:tc>
        <w:tc>
          <w:tcPr>
            <w:tcW w:w="412" w:type="pct"/>
            <w:shd w:val="clear" w:color="auto" w:fill="auto"/>
            <w:vAlign w:val="center"/>
            <w:hideMark/>
          </w:tcPr>
          <w:p w14:paraId="426D3F44" w14:textId="77777777" w:rsidR="003E0F58" w:rsidRPr="007C705C" w:rsidRDefault="003E0F58" w:rsidP="004D2249">
            <w:pPr>
              <w:jc w:val="center"/>
              <w:rPr>
                <w:rFonts w:cs="Times New Roman"/>
                <w:sz w:val="20"/>
                <w:lang w:val="cs-CZ"/>
              </w:rPr>
            </w:pPr>
            <w:r w:rsidRPr="007C705C">
              <w:rPr>
                <w:rFonts w:cs="Times New Roman"/>
                <w:sz w:val="18"/>
                <w:szCs w:val="18"/>
                <w:lang w:val="cs-CZ"/>
              </w:rPr>
              <w:t>646,7</w:t>
            </w:r>
          </w:p>
        </w:tc>
        <w:tc>
          <w:tcPr>
            <w:tcW w:w="413" w:type="pct"/>
            <w:shd w:val="clear" w:color="auto" w:fill="auto"/>
            <w:vAlign w:val="center"/>
            <w:hideMark/>
          </w:tcPr>
          <w:p w14:paraId="7420DF61" w14:textId="77777777" w:rsidR="003E0F58" w:rsidRPr="007C705C" w:rsidRDefault="003E0F58" w:rsidP="004D2249">
            <w:pPr>
              <w:jc w:val="center"/>
              <w:rPr>
                <w:rFonts w:cs="Times New Roman"/>
                <w:sz w:val="20"/>
                <w:lang w:val="cs-CZ"/>
              </w:rPr>
            </w:pPr>
            <w:r w:rsidRPr="007C705C">
              <w:rPr>
                <w:rFonts w:cs="Times New Roman"/>
                <w:sz w:val="18"/>
                <w:szCs w:val="18"/>
                <w:lang w:val="cs-CZ"/>
              </w:rPr>
              <w:t>844,0</w:t>
            </w:r>
          </w:p>
        </w:tc>
        <w:tc>
          <w:tcPr>
            <w:tcW w:w="413" w:type="pct"/>
            <w:shd w:val="clear" w:color="auto" w:fill="auto"/>
            <w:vAlign w:val="center"/>
            <w:hideMark/>
          </w:tcPr>
          <w:p w14:paraId="2C26779D" w14:textId="77777777" w:rsidR="003E0F58" w:rsidRPr="007C705C" w:rsidRDefault="003E0F58" w:rsidP="004D2249">
            <w:pPr>
              <w:jc w:val="center"/>
              <w:rPr>
                <w:rFonts w:cs="Times New Roman"/>
                <w:sz w:val="20"/>
                <w:lang w:val="cs-CZ"/>
              </w:rPr>
            </w:pPr>
            <w:r w:rsidRPr="007C705C">
              <w:rPr>
                <w:rFonts w:cs="Times New Roman"/>
                <w:sz w:val="18"/>
                <w:szCs w:val="18"/>
                <w:lang w:val="cs-CZ"/>
              </w:rPr>
              <w:t>919,2</w:t>
            </w:r>
          </w:p>
        </w:tc>
        <w:tc>
          <w:tcPr>
            <w:tcW w:w="413" w:type="pct"/>
            <w:shd w:val="clear" w:color="auto" w:fill="auto"/>
            <w:vAlign w:val="center"/>
            <w:hideMark/>
          </w:tcPr>
          <w:p w14:paraId="5AC780C0" w14:textId="77777777" w:rsidR="003E0F58" w:rsidRPr="007C705C" w:rsidRDefault="003E0F58" w:rsidP="004D2249">
            <w:pPr>
              <w:jc w:val="center"/>
              <w:rPr>
                <w:rFonts w:cs="Times New Roman"/>
                <w:sz w:val="20"/>
                <w:lang w:val="cs-CZ"/>
              </w:rPr>
            </w:pPr>
            <w:r w:rsidRPr="007C705C">
              <w:rPr>
                <w:rFonts w:cs="Times New Roman"/>
                <w:sz w:val="18"/>
                <w:szCs w:val="18"/>
                <w:lang w:val="cs-CZ"/>
              </w:rPr>
              <w:t>895,1</w:t>
            </w:r>
          </w:p>
        </w:tc>
        <w:tc>
          <w:tcPr>
            <w:tcW w:w="413" w:type="pct"/>
            <w:shd w:val="clear" w:color="auto" w:fill="auto"/>
            <w:vAlign w:val="center"/>
            <w:hideMark/>
          </w:tcPr>
          <w:p w14:paraId="32A320DD" w14:textId="77777777" w:rsidR="003E0F58" w:rsidRPr="007C705C" w:rsidRDefault="003E0F58" w:rsidP="004D2249">
            <w:pPr>
              <w:jc w:val="center"/>
              <w:rPr>
                <w:rFonts w:cs="Times New Roman"/>
                <w:sz w:val="20"/>
                <w:lang w:val="cs-CZ"/>
              </w:rPr>
            </w:pPr>
            <w:r w:rsidRPr="007C705C">
              <w:rPr>
                <w:rFonts w:cs="Times New Roman"/>
                <w:sz w:val="18"/>
                <w:szCs w:val="18"/>
                <w:lang w:val="cs-CZ"/>
              </w:rPr>
              <w:t>878,1</w:t>
            </w:r>
          </w:p>
        </w:tc>
        <w:tc>
          <w:tcPr>
            <w:tcW w:w="326" w:type="pct"/>
            <w:shd w:val="clear" w:color="auto" w:fill="auto"/>
            <w:vAlign w:val="center"/>
            <w:hideMark/>
          </w:tcPr>
          <w:p w14:paraId="37309354" w14:textId="77777777" w:rsidR="003E0F58" w:rsidRPr="007C705C" w:rsidRDefault="003E0F58" w:rsidP="004D2249">
            <w:pPr>
              <w:jc w:val="center"/>
              <w:rPr>
                <w:rFonts w:cs="Times New Roman"/>
                <w:sz w:val="20"/>
                <w:lang w:val="cs-CZ"/>
              </w:rPr>
            </w:pPr>
            <w:r w:rsidRPr="007C705C">
              <w:rPr>
                <w:rFonts w:cs="Times New Roman"/>
                <w:sz w:val="18"/>
                <w:szCs w:val="18"/>
                <w:lang w:val="cs-CZ"/>
              </w:rPr>
              <w:t>898,7</w:t>
            </w:r>
          </w:p>
        </w:tc>
        <w:tc>
          <w:tcPr>
            <w:tcW w:w="324" w:type="pct"/>
            <w:shd w:val="clear" w:color="auto" w:fill="auto"/>
            <w:vAlign w:val="center"/>
            <w:hideMark/>
          </w:tcPr>
          <w:p w14:paraId="5D90DD92" w14:textId="77777777" w:rsidR="003E0F58" w:rsidRPr="007C705C" w:rsidRDefault="003E0F58" w:rsidP="004D2249">
            <w:pPr>
              <w:jc w:val="center"/>
              <w:rPr>
                <w:rFonts w:cs="Times New Roman"/>
                <w:sz w:val="20"/>
                <w:lang w:val="cs-CZ"/>
              </w:rPr>
            </w:pPr>
            <w:r w:rsidRPr="007C705C">
              <w:rPr>
                <w:rFonts w:cs="Times New Roman"/>
                <w:sz w:val="18"/>
                <w:szCs w:val="18"/>
                <w:lang w:val="cs-CZ"/>
              </w:rPr>
              <w:t>891,6</w:t>
            </w:r>
          </w:p>
        </w:tc>
      </w:tr>
    </w:tbl>
    <w:p w14:paraId="27FF8935" w14:textId="4DCBEB04" w:rsidR="003E0F58" w:rsidRDefault="003E0F58" w:rsidP="00BC1449">
      <w:pPr>
        <w:pStyle w:val="UZEIZdroj"/>
      </w:pPr>
      <w:r w:rsidRPr="007C705C">
        <w:lastRenderedPageBreak/>
        <w:t>Zdroj: MPO (výpočet Ing. Bufka, zpracoval Nesňal, ÚZEI)</w:t>
      </w:r>
    </w:p>
    <w:p w14:paraId="113F90B2" w14:textId="77777777" w:rsidR="003E0F58" w:rsidRPr="007C705C" w:rsidRDefault="003E0F58" w:rsidP="003E0F58">
      <w:pPr>
        <w:pStyle w:val="Odstavecseseznamem"/>
        <w:ind w:left="0"/>
        <w:rPr>
          <w:rFonts w:eastAsiaTheme="minorEastAsia"/>
        </w:rPr>
      </w:pPr>
      <w:r w:rsidRPr="007C705C">
        <w:rPr>
          <w:rFonts w:eastAsiaTheme="minorEastAsia"/>
        </w:rPr>
        <w:t>Podíl výroby obnovitelné energie v zemědělství</w:t>
      </w:r>
    </w:p>
    <w:p w14:paraId="4E9EB95B" w14:textId="07405939" w:rsidR="003E0F58" w:rsidRPr="007C705C" w:rsidRDefault="00BC1449" w:rsidP="00BC1449">
      <w:pPr>
        <w:pStyle w:val="UZEITaB"/>
      </w:pPr>
      <w:bookmarkStart w:id="195" w:name="_Toc77245816"/>
      <w:r>
        <w:t xml:space="preserve"> </w:t>
      </w:r>
      <w:bookmarkStart w:id="196" w:name="_Toc94181574"/>
      <w:r w:rsidR="003E0F58" w:rsidRPr="007C705C">
        <w:t>Podíl výroby obnovitelné energie v zemědělství v ČR v letech 2009 - 2018</w:t>
      </w:r>
      <w:bookmarkEnd w:id="195"/>
      <w:bookmarkEnd w:id="1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83"/>
        <w:gridCol w:w="1235"/>
        <w:gridCol w:w="591"/>
        <w:gridCol w:w="591"/>
        <w:gridCol w:w="591"/>
        <w:gridCol w:w="591"/>
        <w:gridCol w:w="591"/>
        <w:gridCol w:w="591"/>
        <w:gridCol w:w="591"/>
        <w:gridCol w:w="591"/>
        <w:gridCol w:w="591"/>
        <w:gridCol w:w="585"/>
        <w:gridCol w:w="540"/>
      </w:tblGrid>
      <w:tr w:rsidR="003E0F58" w:rsidRPr="00C51CF2" w14:paraId="42B7F248" w14:textId="77777777" w:rsidTr="004D2249">
        <w:trPr>
          <w:trHeight w:val="176"/>
        </w:trPr>
        <w:tc>
          <w:tcPr>
            <w:tcW w:w="788" w:type="pct"/>
            <w:shd w:val="clear" w:color="000000" w:fill="F2F2F2"/>
            <w:vAlign w:val="center"/>
            <w:hideMark/>
          </w:tcPr>
          <w:p w14:paraId="3A39B6D8" w14:textId="77777777" w:rsidR="003E0F58" w:rsidRPr="00C51CF2" w:rsidRDefault="003E0F58" w:rsidP="004D2249">
            <w:pPr>
              <w:jc w:val="left"/>
              <w:rPr>
                <w:rFonts w:cs="Times New Roman"/>
                <w:b/>
                <w:bCs/>
                <w:color w:val="000000"/>
                <w:sz w:val="20"/>
                <w:szCs w:val="20"/>
                <w:lang w:val="cs-CZ"/>
              </w:rPr>
            </w:pPr>
            <w:r w:rsidRPr="00C51CF2">
              <w:rPr>
                <w:rFonts w:cs="Times New Roman"/>
                <w:b/>
                <w:bCs/>
                <w:color w:val="000000"/>
                <w:sz w:val="20"/>
                <w:szCs w:val="20"/>
                <w:lang w:val="cs-CZ"/>
              </w:rPr>
              <w:t>Popis</w:t>
            </w:r>
          </w:p>
        </w:tc>
        <w:tc>
          <w:tcPr>
            <w:tcW w:w="706" w:type="pct"/>
            <w:gridSpan w:val="2"/>
            <w:shd w:val="clear" w:color="000000" w:fill="F2F2F2"/>
            <w:vAlign w:val="center"/>
            <w:hideMark/>
          </w:tcPr>
          <w:p w14:paraId="53284DB1" w14:textId="77777777" w:rsidR="003E0F58" w:rsidRPr="00C51CF2" w:rsidRDefault="003E0F58" w:rsidP="004D2249">
            <w:pPr>
              <w:jc w:val="center"/>
              <w:rPr>
                <w:rFonts w:cs="Times New Roman"/>
                <w:b/>
                <w:bCs/>
                <w:color w:val="000000"/>
                <w:sz w:val="20"/>
                <w:szCs w:val="20"/>
                <w:lang w:val="cs-CZ"/>
              </w:rPr>
            </w:pPr>
            <w:r w:rsidRPr="00C51CF2">
              <w:rPr>
                <w:rFonts w:cs="Times New Roman"/>
                <w:b/>
                <w:bCs/>
                <w:color w:val="000000"/>
                <w:sz w:val="20"/>
                <w:szCs w:val="20"/>
                <w:lang w:val="cs-CZ"/>
              </w:rPr>
              <w:t>Jednotka</w:t>
            </w:r>
          </w:p>
        </w:tc>
        <w:tc>
          <w:tcPr>
            <w:tcW w:w="351" w:type="pct"/>
            <w:shd w:val="clear" w:color="000000" w:fill="F2F2F2"/>
            <w:vAlign w:val="center"/>
            <w:hideMark/>
          </w:tcPr>
          <w:p w14:paraId="4C39553E" w14:textId="77777777" w:rsidR="003E0F58" w:rsidRPr="00C51CF2" w:rsidRDefault="003E0F58" w:rsidP="004D2249">
            <w:pPr>
              <w:jc w:val="center"/>
              <w:rPr>
                <w:rFonts w:cs="Times New Roman"/>
                <w:b/>
                <w:bCs/>
                <w:color w:val="000000"/>
                <w:sz w:val="20"/>
                <w:szCs w:val="20"/>
                <w:lang w:val="cs-CZ"/>
              </w:rPr>
            </w:pPr>
            <w:r w:rsidRPr="00C51CF2">
              <w:rPr>
                <w:rFonts w:cs="Times New Roman"/>
                <w:b/>
                <w:bCs/>
                <w:color w:val="000000"/>
                <w:sz w:val="20"/>
                <w:szCs w:val="20"/>
                <w:lang w:val="cs-CZ"/>
              </w:rPr>
              <w:t>2009</w:t>
            </w:r>
          </w:p>
        </w:tc>
        <w:tc>
          <w:tcPr>
            <w:tcW w:w="351" w:type="pct"/>
            <w:shd w:val="clear" w:color="000000" w:fill="F2F2F2"/>
            <w:vAlign w:val="center"/>
            <w:hideMark/>
          </w:tcPr>
          <w:p w14:paraId="4E881279" w14:textId="77777777" w:rsidR="003E0F58" w:rsidRPr="00C51CF2" w:rsidRDefault="003E0F58" w:rsidP="004D2249">
            <w:pPr>
              <w:jc w:val="center"/>
              <w:rPr>
                <w:rFonts w:cs="Times New Roman"/>
                <w:b/>
                <w:bCs/>
                <w:color w:val="000000"/>
                <w:sz w:val="20"/>
                <w:szCs w:val="20"/>
                <w:lang w:val="cs-CZ"/>
              </w:rPr>
            </w:pPr>
            <w:r w:rsidRPr="00C51CF2">
              <w:rPr>
                <w:rFonts w:cs="Times New Roman"/>
                <w:b/>
                <w:bCs/>
                <w:color w:val="000000"/>
                <w:sz w:val="20"/>
                <w:szCs w:val="20"/>
                <w:lang w:val="cs-CZ"/>
              </w:rPr>
              <w:t>2010</w:t>
            </w:r>
          </w:p>
        </w:tc>
        <w:tc>
          <w:tcPr>
            <w:tcW w:w="351" w:type="pct"/>
            <w:shd w:val="clear" w:color="000000" w:fill="F2F2F2"/>
            <w:vAlign w:val="center"/>
          </w:tcPr>
          <w:p w14:paraId="55399BD3" w14:textId="77777777" w:rsidR="003E0F58" w:rsidRPr="00C51CF2" w:rsidRDefault="003E0F58" w:rsidP="004D2249">
            <w:pPr>
              <w:jc w:val="center"/>
              <w:rPr>
                <w:rFonts w:cs="Times New Roman"/>
                <w:b/>
                <w:bCs/>
                <w:color w:val="000000"/>
                <w:sz w:val="20"/>
                <w:szCs w:val="20"/>
                <w:lang w:val="cs-CZ"/>
              </w:rPr>
            </w:pPr>
            <w:r w:rsidRPr="00C51CF2">
              <w:rPr>
                <w:rFonts w:cs="Times New Roman"/>
                <w:b/>
                <w:bCs/>
                <w:color w:val="000000"/>
                <w:sz w:val="20"/>
                <w:szCs w:val="20"/>
                <w:lang w:val="cs-CZ"/>
              </w:rPr>
              <w:t>2011</w:t>
            </w:r>
          </w:p>
        </w:tc>
        <w:tc>
          <w:tcPr>
            <w:tcW w:w="351" w:type="pct"/>
            <w:shd w:val="clear" w:color="000000" w:fill="F2F2F2"/>
            <w:vAlign w:val="center"/>
          </w:tcPr>
          <w:p w14:paraId="1E1BCEC3" w14:textId="77777777" w:rsidR="003E0F58" w:rsidRPr="00C51CF2" w:rsidRDefault="003E0F58" w:rsidP="004D2249">
            <w:pPr>
              <w:jc w:val="center"/>
              <w:rPr>
                <w:rFonts w:cs="Times New Roman"/>
                <w:b/>
                <w:bCs/>
                <w:color w:val="000000"/>
                <w:sz w:val="20"/>
                <w:szCs w:val="20"/>
                <w:lang w:val="cs-CZ"/>
              </w:rPr>
            </w:pPr>
            <w:r w:rsidRPr="00C51CF2">
              <w:rPr>
                <w:rFonts w:cs="Times New Roman"/>
                <w:b/>
                <w:bCs/>
                <w:color w:val="000000"/>
                <w:sz w:val="20"/>
                <w:szCs w:val="20"/>
                <w:lang w:val="cs-CZ"/>
              </w:rPr>
              <w:t>2012</w:t>
            </w:r>
          </w:p>
        </w:tc>
        <w:tc>
          <w:tcPr>
            <w:tcW w:w="351" w:type="pct"/>
            <w:shd w:val="clear" w:color="000000" w:fill="F2F2F2"/>
            <w:vAlign w:val="center"/>
          </w:tcPr>
          <w:p w14:paraId="2BD7D1E7" w14:textId="77777777" w:rsidR="003E0F58" w:rsidRPr="00C51CF2" w:rsidRDefault="003E0F58" w:rsidP="004D2249">
            <w:pPr>
              <w:jc w:val="center"/>
              <w:rPr>
                <w:rFonts w:cs="Times New Roman"/>
                <w:b/>
                <w:bCs/>
                <w:color w:val="000000"/>
                <w:sz w:val="20"/>
                <w:szCs w:val="20"/>
                <w:lang w:val="cs-CZ"/>
              </w:rPr>
            </w:pPr>
            <w:r w:rsidRPr="00C51CF2">
              <w:rPr>
                <w:rFonts w:cs="Times New Roman"/>
                <w:b/>
                <w:bCs/>
                <w:color w:val="000000"/>
                <w:sz w:val="20"/>
                <w:szCs w:val="20"/>
                <w:lang w:val="cs-CZ"/>
              </w:rPr>
              <w:t>2013</w:t>
            </w:r>
          </w:p>
        </w:tc>
        <w:tc>
          <w:tcPr>
            <w:tcW w:w="351" w:type="pct"/>
            <w:shd w:val="clear" w:color="000000" w:fill="F2F2F2"/>
            <w:vAlign w:val="center"/>
          </w:tcPr>
          <w:p w14:paraId="119C5433" w14:textId="77777777" w:rsidR="003E0F58" w:rsidRPr="00C51CF2" w:rsidRDefault="003E0F58" w:rsidP="004D2249">
            <w:pPr>
              <w:jc w:val="center"/>
              <w:rPr>
                <w:rFonts w:cs="Times New Roman"/>
                <w:b/>
                <w:bCs/>
                <w:color w:val="000000"/>
                <w:sz w:val="20"/>
                <w:szCs w:val="20"/>
                <w:lang w:val="cs-CZ"/>
              </w:rPr>
            </w:pPr>
            <w:r w:rsidRPr="00C51CF2">
              <w:rPr>
                <w:rFonts w:cs="Times New Roman"/>
                <w:b/>
                <w:bCs/>
                <w:color w:val="000000"/>
                <w:sz w:val="20"/>
                <w:szCs w:val="20"/>
                <w:lang w:val="cs-CZ"/>
              </w:rPr>
              <w:t>2014</w:t>
            </w:r>
          </w:p>
        </w:tc>
        <w:tc>
          <w:tcPr>
            <w:tcW w:w="351" w:type="pct"/>
            <w:shd w:val="clear" w:color="000000" w:fill="F2F2F2"/>
            <w:vAlign w:val="center"/>
          </w:tcPr>
          <w:p w14:paraId="3556F4BB" w14:textId="77777777" w:rsidR="003E0F58" w:rsidRPr="00C51CF2" w:rsidRDefault="003E0F58" w:rsidP="004D2249">
            <w:pPr>
              <w:jc w:val="center"/>
              <w:rPr>
                <w:rFonts w:cs="Times New Roman"/>
                <w:b/>
                <w:bCs/>
                <w:color w:val="000000"/>
                <w:sz w:val="20"/>
                <w:szCs w:val="20"/>
                <w:lang w:val="cs-CZ"/>
              </w:rPr>
            </w:pPr>
            <w:r w:rsidRPr="00C51CF2">
              <w:rPr>
                <w:rFonts w:cs="Times New Roman"/>
                <w:b/>
                <w:bCs/>
                <w:color w:val="000000"/>
                <w:sz w:val="20"/>
                <w:szCs w:val="20"/>
                <w:lang w:val="cs-CZ"/>
              </w:rPr>
              <w:t>2015</w:t>
            </w:r>
          </w:p>
        </w:tc>
        <w:tc>
          <w:tcPr>
            <w:tcW w:w="351" w:type="pct"/>
            <w:shd w:val="clear" w:color="000000" w:fill="F2F2F2"/>
            <w:vAlign w:val="center"/>
          </w:tcPr>
          <w:p w14:paraId="63F7795B" w14:textId="77777777" w:rsidR="003E0F58" w:rsidRPr="00C51CF2" w:rsidRDefault="003E0F58" w:rsidP="004D2249">
            <w:pPr>
              <w:jc w:val="center"/>
              <w:rPr>
                <w:rFonts w:cs="Times New Roman"/>
                <w:b/>
                <w:bCs/>
                <w:color w:val="000000"/>
                <w:sz w:val="20"/>
                <w:szCs w:val="20"/>
                <w:lang w:val="cs-CZ"/>
              </w:rPr>
            </w:pPr>
            <w:r w:rsidRPr="00C51CF2">
              <w:rPr>
                <w:rFonts w:cs="Times New Roman"/>
                <w:b/>
                <w:bCs/>
                <w:color w:val="000000"/>
                <w:sz w:val="20"/>
                <w:szCs w:val="20"/>
                <w:lang w:val="cs-CZ"/>
              </w:rPr>
              <w:t>2016</w:t>
            </w:r>
          </w:p>
        </w:tc>
        <w:tc>
          <w:tcPr>
            <w:tcW w:w="351" w:type="pct"/>
            <w:shd w:val="clear" w:color="000000" w:fill="F2F2F2"/>
            <w:vAlign w:val="center"/>
          </w:tcPr>
          <w:p w14:paraId="27F78694" w14:textId="77777777" w:rsidR="003E0F58" w:rsidRPr="00C51CF2" w:rsidRDefault="003E0F58" w:rsidP="004D2249">
            <w:pPr>
              <w:jc w:val="center"/>
              <w:rPr>
                <w:rFonts w:cs="Times New Roman"/>
                <w:b/>
                <w:bCs/>
                <w:color w:val="000000"/>
                <w:sz w:val="20"/>
                <w:szCs w:val="20"/>
                <w:lang w:val="cs-CZ"/>
              </w:rPr>
            </w:pPr>
            <w:r w:rsidRPr="00C51CF2">
              <w:rPr>
                <w:rFonts w:cs="Times New Roman"/>
                <w:b/>
                <w:bCs/>
                <w:color w:val="000000"/>
                <w:sz w:val="20"/>
                <w:szCs w:val="20"/>
                <w:lang w:val="cs-CZ"/>
              </w:rPr>
              <w:t>2017</w:t>
            </w:r>
          </w:p>
        </w:tc>
        <w:tc>
          <w:tcPr>
            <w:tcW w:w="347" w:type="pct"/>
            <w:shd w:val="clear" w:color="000000" w:fill="F2F2F2"/>
            <w:vAlign w:val="center"/>
          </w:tcPr>
          <w:p w14:paraId="5DF2B288" w14:textId="77777777" w:rsidR="003E0F58" w:rsidRPr="00C51CF2" w:rsidRDefault="003E0F58" w:rsidP="004D2249">
            <w:pPr>
              <w:jc w:val="center"/>
              <w:rPr>
                <w:rFonts w:cs="Times New Roman"/>
                <w:b/>
                <w:bCs/>
                <w:color w:val="000000"/>
                <w:sz w:val="20"/>
                <w:szCs w:val="20"/>
                <w:lang w:val="cs-CZ"/>
              </w:rPr>
            </w:pPr>
            <w:r w:rsidRPr="00C51CF2">
              <w:rPr>
                <w:rFonts w:cs="Times New Roman"/>
                <w:b/>
                <w:bCs/>
                <w:color w:val="000000"/>
                <w:sz w:val="20"/>
                <w:szCs w:val="20"/>
                <w:lang w:val="cs-CZ"/>
              </w:rPr>
              <w:t>2018</w:t>
            </w:r>
          </w:p>
        </w:tc>
      </w:tr>
      <w:tr w:rsidR="003E0F58" w:rsidRPr="00C51CF2" w14:paraId="089381D5" w14:textId="77777777" w:rsidTr="00C51CF2">
        <w:trPr>
          <w:trHeight w:val="287"/>
        </w:trPr>
        <w:tc>
          <w:tcPr>
            <w:tcW w:w="788" w:type="pct"/>
            <w:shd w:val="clear" w:color="auto" w:fill="auto"/>
            <w:vAlign w:val="center"/>
            <w:hideMark/>
          </w:tcPr>
          <w:p w14:paraId="25D69D0F" w14:textId="77777777" w:rsidR="003E0F58" w:rsidRPr="00C51CF2" w:rsidRDefault="003E0F58" w:rsidP="004D2249">
            <w:pPr>
              <w:jc w:val="left"/>
              <w:rPr>
                <w:rFonts w:cs="Times New Roman"/>
                <w:sz w:val="20"/>
                <w:szCs w:val="20"/>
                <w:lang w:val="cs-CZ"/>
              </w:rPr>
            </w:pPr>
            <w:r w:rsidRPr="00C51CF2">
              <w:rPr>
                <w:rFonts w:cs="Times New Roman"/>
                <w:sz w:val="20"/>
                <w:szCs w:val="20"/>
                <w:lang w:val="cs-CZ"/>
              </w:rPr>
              <w:t>Podíl výroby obnovitelné energie v zemědělství</w:t>
            </w:r>
          </w:p>
        </w:tc>
        <w:tc>
          <w:tcPr>
            <w:tcW w:w="706" w:type="pct"/>
            <w:shd w:val="clear" w:color="auto" w:fill="auto"/>
            <w:vAlign w:val="center"/>
            <w:hideMark/>
          </w:tcPr>
          <w:p w14:paraId="35540751" w14:textId="77777777" w:rsidR="003E0F58" w:rsidRPr="00C51CF2" w:rsidRDefault="003E0F58" w:rsidP="004D2249">
            <w:pPr>
              <w:jc w:val="center"/>
              <w:rPr>
                <w:rFonts w:cs="Times New Roman"/>
                <w:sz w:val="20"/>
                <w:szCs w:val="20"/>
                <w:lang w:val="cs-CZ"/>
              </w:rPr>
            </w:pPr>
            <w:r w:rsidRPr="00C51CF2">
              <w:rPr>
                <w:rFonts w:cs="Times New Roman"/>
                <w:sz w:val="20"/>
                <w:szCs w:val="20"/>
                <w:lang w:val="cs-CZ"/>
              </w:rPr>
              <w:t>% z celkové výroby obnovitelné energie</w:t>
            </w:r>
          </w:p>
        </w:tc>
        <w:tc>
          <w:tcPr>
            <w:tcW w:w="351" w:type="pct"/>
            <w:shd w:val="clear" w:color="auto" w:fill="auto"/>
            <w:vAlign w:val="center"/>
            <w:hideMark/>
          </w:tcPr>
          <w:p w14:paraId="73A9711C" w14:textId="77777777" w:rsidR="003E0F58" w:rsidRPr="00C51CF2" w:rsidRDefault="003E0F58" w:rsidP="00C51CF2">
            <w:pPr>
              <w:jc w:val="center"/>
              <w:rPr>
                <w:rFonts w:cs="Times New Roman"/>
                <w:sz w:val="20"/>
                <w:szCs w:val="20"/>
                <w:lang w:val="cs-CZ"/>
              </w:rPr>
            </w:pPr>
            <w:r w:rsidRPr="00C51CF2">
              <w:rPr>
                <w:rFonts w:cs="Times New Roman"/>
                <w:sz w:val="20"/>
                <w:szCs w:val="20"/>
                <w:lang w:val="cs-CZ"/>
              </w:rPr>
              <w:t>13,1</w:t>
            </w:r>
          </w:p>
        </w:tc>
        <w:tc>
          <w:tcPr>
            <w:tcW w:w="351" w:type="pct"/>
            <w:shd w:val="clear" w:color="auto" w:fill="auto"/>
            <w:vAlign w:val="center"/>
            <w:hideMark/>
          </w:tcPr>
          <w:p w14:paraId="46653256" w14:textId="77777777" w:rsidR="003E0F58" w:rsidRPr="00C51CF2" w:rsidRDefault="003E0F58" w:rsidP="00C51CF2">
            <w:pPr>
              <w:jc w:val="center"/>
              <w:rPr>
                <w:rFonts w:cs="Times New Roman"/>
                <w:sz w:val="20"/>
                <w:szCs w:val="20"/>
                <w:lang w:val="cs-CZ"/>
              </w:rPr>
            </w:pPr>
            <w:r w:rsidRPr="00C51CF2">
              <w:rPr>
                <w:rFonts w:cs="Times New Roman"/>
                <w:sz w:val="20"/>
                <w:szCs w:val="20"/>
                <w:lang w:val="cs-CZ"/>
              </w:rPr>
              <w:t>16,5</w:t>
            </w:r>
          </w:p>
        </w:tc>
        <w:tc>
          <w:tcPr>
            <w:tcW w:w="351" w:type="pct"/>
            <w:shd w:val="clear" w:color="auto" w:fill="auto"/>
            <w:vAlign w:val="center"/>
            <w:hideMark/>
          </w:tcPr>
          <w:p w14:paraId="3348EE20" w14:textId="77777777" w:rsidR="003E0F58" w:rsidRPr="00C51CF2" w:rsidRDefault="003E0F58" w:rsidP="00C51CF2">
            <w:pPr>
              <w:jc w:val="center"/>
              <w:rPr>
                <w:rFonts w:cs="Times New Roman"/>
                <w:sz w:val="20"/>
                <w:szCs w:val="20"/>
                <w:lang w:val="cs-CZ"/>
              </w:rPr>
            </w:pPr>
            <w:r w:rsidRPr="00C51CF2">
              <w:rPr>
                <w:rFonts w:cs="Times New Roman"/>
                <w:sz w:val="20"/>
                <w:szCs w:val="20"/>
                <w:lang w:val="cs-CZ"/>
              </w:rPr>
              <w:t>17,8</w:t>
            </w:r>
          </w:p>
        </w:tc>
        <w:tc>
          <w:tcPr>
            <w:tcW w:w="351" w:type="pct"/>
            <w:shd w:val="clear" w:color="auto" w:fill="auto"/>
            <w:vAlign w:val="center"/>
            <w:hideMark/>
          </w:tcPr>
          <w:p w14:paraId="0FE41626" w14:textId="77777777" w:rsidR="003E0F58" w:rsidRPr="00C51CF2" w:rsidRDefault="003E0F58" w:rsidP="00C51CF2">
            <w:pPr>
              <w:jc w:val="center"/>
              <w:rPr>
                <w:rFonts w:cs="Times New Roman"/>
                <w:sz w:val="20"/>
                <w:szCs w:val="20"/>
                <w:lang w:val="cs-CZ"/>
              </w:rPr>
            </w:pPr>
            <w:r w:rsidRPr="00C51CF2">
              <w:rPr>
                <w:rFonts w:cs="Times New Roman"/>
                <w:sz w:val="20"/>
                <w:szCs w:val="20"/>
                <w:lang w:val="cs-CZ"/>
              </w:rPr>
              <w:t>20,5</w:t>
            </w:r>
          </w:p>
        </w:tc>
        <w:tc>
          <w:tcPr>
            <w:tcW w:w="351" w:type="pct"/>
            <w:shd w:val="clear" w:color="auto" w:fill="auto"/>
            <w:vAlign w:val="center"/>
            <w:hideMark/>
          </w:tcPr>
          <w:p w14:paraId="3C325F16" w14:textId="77777777" w:rsidR="003E0F58" w:rsidRPr="00C51CF2" w:rsidRDefault="003E0F58" w:rsidP="00C51CF2">
            <w:pPr>
              <w:jc w:val="center"/>
              <w:rPr>
                <w:rFonts w:cs="Times New Roman"/>
                <w:sz w:val="20"/>
                <w:szCs w:val="20"/>
                <w:lang w:val="cs-CZ"/>
              </w:rPr>
            </w:pPr>
            <w:r w:rsidRPr="00C51CF2">
              <w:rPr>
                <w:rFonts w:cs="Times New Roman"/>
                <w:sz w:val="20"/>
                <w:szCs w:val="20"/>
                <w:lang w:val="cs-CZ"/>
              </w:rPr>
              <w:t>24,1</w:t>
            </w:r>
          </w:p>
        </w:tc>
        <w:tc>
          <w:tcPr>
            <w:tcW w:w="351" w:type="pct"/>
            <w:shd w:val="clear" w:color="auto" w:fill="auto"/>
            <w:vAlign w:val="center"/>
            <w:hideMark/>
          </w:tcPr>
          <w:p w14:paraId="73769A11" w14:textId="77777777" w:rsidR="003E0F58" w:rsidRPr="00C51CF2" w:rsidRDefault="003E0F58" w:rsidP="00C51CF2">
            <w:pPr>
              <w:jc w:val="center"/>
              <w:rPr>
                <w:rFonts w:cs="Times New Roman"/>
                <w:sz w:val="20"/>
                <w:szCs w:val="20"/>
                <w:lang w:val="cs-CZ"/>
              </w:rPr>
            </w:pPr>
            <w:r w:rsidRPr="00C51CF2">
              <w:rPr>
                <w:rFonts w:cs="Times New Roman"/>
                <w:sz w:val="20"/>
                <w:szCs w:val="20"/>
                <w:lang w:val="cs-CZ"/>
              </w:rPr>
              <w:t>25,3</w:t>
            </w:r>
          </w:p>
        </w:tc>
        <w:tc>
          <w:tcPr>
            <w:tcW w:w="351" w:type="pct"/>
            <w:shd w:val="clear" w:color="auto" w:fill="auto"/>
            <w:vAlign w:val="center"/>
            <w:hideMark/>
          </w:tcPr>
          <w:p w14:paraId="28017E88" w14:textId="77777777" w:rsidR="003E0F58" w:rsidRPr="00C51CF2" w:rsidRDefault="003E0F58" w:rsidP="00C51CF2">
            <w:pPr>
              <w:jc w:val="center"/>
              <w:rPr>
                <w:rFonts w:cs="Times New Roman"/>
                <w:sz w:val="20"/>
                <w:szCs w:val="20"/>
                <w:lang w:val="cs-CZ"/>
              </w:rPr>
            </w:pPr>
            <w:r w:rsidRPr="00C51CF2">
              <w:rPr>
                <w:rFonts w:cs="Times New Roman"/>
                <w:sz w:val="20"/>
                <w:szCs w:val="20"/>
                <w:lang w:val="cs-CZ"/>
              </w:rPr>
              <w:t>24,1</w:t>
            </w:r>
          </w:p>
        </w:tc>
        <w:tc>
          <w:tcPr>
            <w:tcW w:w="351" w:type="pct"/>
            <w:shd w:val="clear" w:color="auto" w:fill="auto"/>
            <w:vAlign w:val="center"/>
            <w:hideMark/>
          </w:tcPr>
          <w:p w14:paraId="5C5FE0BA" w14:textId="77777777" w:rsidR="003E0F58" w:rsidRPr="00C51CF2" w:rsidRDefault="003E0F58" w:rsidP="00C51CF2">
            <w:pPr>
              <w:jc w:val="center"/>
              <w:rPr>
                <w:rFonts w:cs="Times New Roman"/>
                <w:sz w:val="20"/>
                <w:szCs w:val="20"/>
                <w:lang w:val="cs-CZ"/>
              </w:rPr>
            </w:pPr>
            <w:r w:rsidRPr="00C51CF2">
              <w:rPr>
                <w:rFonts w:cs="Times New Roman"/>
                <w:sz w:val="20"/>
                <w:szCs w:val="20"/>
                <w:lang w:val="cs-CZ"/>
              </w:rPr>
              <w:t>23,7</w:t>
            </w:r>
          </w:p>
        </w:tc>
        <w:tc>
          <w:tcPr>
            <w:tcW w:w="351" w:type="pct"/>
            <w:shd w:val="clear" w:color="auto" w:fill="auto"/>
            <w:vAlign w:val="center"/>
            <w:hideMark/>
          </w:tcPr>
          <w:p w14:paraId="653D17AF" w14:textId="77777777" w:rsidR="003E0F58" w:rsidRPr="00C51CF2" w:rsidRDefault="003E0F58" w:rsidP="00C51CF2">
            <w:pPr>
              <w:jc w:val="center"/>
              <w:rPr>
                <w:rFonts w:cs="Times New Roman"/>
                <w:sz w:val="20"/>
                <w:szCs w:val="20"/>
                <w:lang w:val="cs-CZ"/>
              </w:rPr>
            </w:pPr>
            <w:r w:rsidRPr="00C51CF2">
              <w:rPr>
                <w:rFonts w:cs="Times New Roman"/>
                <w:sz w:val="20"/>
                <w:szCs w:val="20"/>
                <w:lang w:val="cs-CZ"/>
              </w:rPr>
              <w:t>24,0</w:t>
            </w:r>
          </w:p>
        </w:tc>
        <w:tc>
          <w:tcPr>
            <w:tcW w:w="347" w:type="pct"/>
            <w:gridSpan w:val="2"/>
            <w:shd w:val="clear" w:color="auto" w:fill="auto"/>
            <w:vAlign w:val="center"/>
            <w:hideMark/>
          </w:tcPr>
          <w:p w14:paraId="73C285CA" w14:textId="77777777" w:rsidR="003E0F58" w:rsidRPr="00C51CF2" w:rsidRDefault="003E0F58" w:rsidP="00C51CF2">
            <w:pPr>
              <w:jc w:val="center"/>
              <w:rPr>
                <w:rFonts w:cs="Times New Roman"/>
                <w:sz w:val="20"/>
                <w:szCs w:val="20"/>
                <w:lang w:val="cs-CZ"/>
              </w:rPr>
            </w:pPr>
            <w:r w:rsidRPr="00C51CF2">
              <w:rPr>
                <w:rFonts w:cs="Times New Roman"/>
                <w:sz w:val="20"/>
                <w:szCs w:val="20"/>
                <w:lang w:val="cs-CZ"/>
              </w:rPr>
              <w:t>23,3</w:t>
            </w:r>
          </w:p>
        </w:tc>
      </w:tr>
    </w:tbl>
    <w:p w14:paraId="7DA1B2AC" w14:textId="78FE4EA1" w:rsidR="003E0F58" w:rsidRPr="00BC1449" w:rsidRDefault="003E0F58" w:rsidP="00BC1449">
      <w:pPr>
        <w:pStyle w:val="UZEIZdroj"/>
      </w:pPr>
      <w:r w:rsidRPr="007C705C">
        <w:t>Zdroj: dopočet ÚZEI</w:t>
      </w:r>
    </w:p>
    <w:p w14:paraId="3F506825" w14:textId="77777777" w:rsidR="003E0F58" w:rsidRPr="007C705C" w:rsidRDefault="003E0F58" w:rsidP="003E0F58">
      <w:pPr>
        <w:pStyle w:val="Odstavecseseznamem"/>
        <w:ind w:left="0"/>
        <w:rPr>
          <w:rFonts w:eastAsiaTheme="minorEastAsia"/>
        </w:rPr>
      </w:pPr>
      <w:r w:rsidRPr="007C705C">
        <w:rPr>
          <w:rFonts w:eastAsiaTheme="minorEastAsia"/>
        </w:rPr>
        <w:t>Výroba obnovitelné energie v lesnictví</w:t>
      </w:r>
    </w:p>
    <w:p w14:paraId="0AB8306E" w14:textId="7AD04B6F" w:rsidR="003E0F58" w:rsidRPr="007C705C" w:rsidRDefault="00BC1449" w:rsidP="00BC1449">
      <w:pPr>
        <w:pStyle w:val="UZEITaB"/>
      </w:pPr>
      <w:bookmarkStart w:id="197" w:name="_Toc77245817"/>
      <w:r>
        <w:t xml:space="preserve"> </w:t>
      </w:r>
      <w:bookmarkStart w:id="198" w:name="_Toc94181575"/>
      <w:r w:rsidR="003E0F58" w:rsidRPr="007C705C">
        <w:t>Výroba obnovitelné energie v lesnictví v ČR v letech 2009 - 2018</w:t>
      </w:r>
      <w:bookmarkEnd w:id="197"/>
      <w:bookmarkEnd w:id="1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53"/>
        <w:gridCol w:w="851"/>
        <w:gridCol w:w="718"/>
        <w:gridCol w:w="722"/>
        <w:gridCol w:w="723"/>
        <w:gridCol w:w="723"/>
        <w:gridCol w:w="723"/>
        <w:gridCol w:w="723"/>
        <w:gridCol w:w="723"/>
        <w:gridCol w:w="723"/>
        <w:gridCol w:w="690"/>
        <w:gridCol w:w="690"/>
      </w:tblGrid>
      <w:tr w:rsidR="003E0F58" w:rsidRPr="007C705C" w14:paraId="359BA2FA" w14:textId="77777777" w:rsidTr="004D2249">
        <w:trPr>
          <w:trHeight w:val="74"/>
        </w:trPr>
        <w:tc>
          <w:tcPr>
            <w:tcW w:w="584" w:type="pct"/>
            <w:shd w:val="clear" w:color="000000" w:fill="F2F2F2"/>
            <w:vAlign w:val="center"/>
            <w:hideMark/>
          </w:tcPr>
          <w:p w14:paraId="5726AF65" w14:textId="77777777" w:rsidR="003E0F58" w:rsidRPr="007C705C" w:rsidRDefault="003E0F58" w:rsidP="004D2249">
            <w:pPr>
              <w:jc w:val="left"/>
              <w:rPr>
                <w:rFonts w:cs="Times New Roman"/>
                <w:b/>
                <w:bCs/>
                <w:color w:val="000000"/>
                <w:sz w:val="18"/>
                <w:szCs w:val="18"/>
                <w:lang w:val="cs-CZ"/>
              </w:rPr>
            </w:pPr>
            <w:r w:rsidRPr="007C705C">
              <w:rPr>
                <w:rFonts w:cs="Times New Roman"/>
                <w:b/>
                <w:bCs/>
                <w:color w:val="000000"/>
                <w:sz w:val="18"/>
                <w:szCs w:val="18"/>
                <w:lang w:val="cs-CZ"/>
              </w:rPr>
              <w:t>Popis</w:t>
            </w:r>
          </w:p>
        </w:tc>
        <w:tc>
          <w:tcPr>
            <w:tcW w:w="470" w:type="pct"/>
            <w:shd w:val="clear" w:color="000000" w:fill="F2F2F2"/>
            <w:vAlign w:val="center"/>
            <w:hideMark/>
          </w:tcPr>
          <w:p w14:paraId="0223A1D1"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Jednotka</w:t>
            </w:r>
          </w:p>
        </w:tc>
        <w:tc>
          <w:tcPr>
            <w:tcW w:w="401" w:type="pct"/>
            <w:shd w:val="clear" w:color="000000" w:fill="F2F2F2"/>
            <w:vAlign w:val="center"/>
            <w:hideMark/>
          </w:tcPr>
          <w:p w14:paraId="2C038686"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2009</w:t>
            </w:r>
          </w:p>
        </w:tc>
        <w:tc>
          <w:tcPr>
            <w:tcW w:w="401" w:type="pct"/>
            <w:shd w:val="clear" w:color="000000" w:fill="F2F2F2"/>
            <w:vAlign w:val="center"/>
            <w:hideMark/>
          </w:tcPr>
          <w:p w14:paraId="1E4C93FB"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2010</w:t>
            </w:r>
          </w:p>
        </w:tc>
        <w:tc>
          <w:tcPr>
            <w:tcW w:w="401" w:type="pct"/>
            <w:shd w:val="clear" w:color="000000" w:fill="F2F2F2"/>
            <w:vAlign w:val="center"/>
            <w:hideMark/>
          </w:tcPr>
          <w:p w14:paraId="7AD5D1BB"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2011</w:t>
            </w:r>
          </w:p>
        </w:tc>
        <w:tc>
          <w:tcPr>
            <w:tcW w:w="401" w:type="pct"/>
            <w:shd w:val="clear" w:color="000000" w:fill="F2F2F2"/>
            <w:vAlign w:val="center"/>
            <w:hideMark/>
          </w:tcPr>
          <w:p w14:paraId="77DBF30F"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2012</w:t>
            </w:r>
          </w:p>
        </w:tc>
        <w:tc>
          <w:tcPr>
            <w:tcW w:w="401" w:type="pct"/>
            <w:shd w:val="clear" w:color="000000" w:fill="F2F2F2"/>
            <w:vAlign w:val="center"/>
            <w:hideMark/>
          </w:tcPr>
          <w:p w14:paraId="4C0877AA"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2013</w:t>
            </w:r>
          </w:p>
        </w:tc>
        <w:tc>
          <w:tcPr>
            <w:tcW w:w="401" w:type="pct"/>
            <w:shd w:val="clear" w:color="000000" w:fill="F2F2F2"/>
            <w:vAlign w:val="center"/>
            <w:hideMark/>
          </w:tcPr>
          <w:p w14:paraId="7BE3A047"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2014</w:t>
            </w:r>
          </w:p>
        </w:tc>
        <w:tc>
          <w:tcPr>
            <w:tcW w:w="401" w:type="pct"/>
            <w:shd w:val="clear" w:color="000000" w:fill="F2F2F2"/>
            <w:vAlign w:val="center"/>
            <w:hideMark/>
          </w:tcPr>
          <w:p w14:paraId="6688B6BB"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2015</w:t>
            </w:r>
          </w:p>
        </w:tc>
        <w:tc>
          <w:tcPr>
            <w:tcW w:w="401" w:type="pct"/>
            <w:shd w:val="clear" w:color="000000" w:fill="F2F2F2"/>
            <w:vAlign w:val="center"/>
            <w:hideMark/>
          </w:tcPr>
          <w:p w14:paraId="25D7165A" w14:textId="77777777" w:rsidR="003E0F58" w:rsidRPr="007C705C" w:rsidRDefault="003E0F58" w:rsidP="004D2249">
            <w:pPr>
              <w:jc w:val="center"/>
              <w:rPr>
                <w:rFonts w:cs="Times New Roman"/>
                <w:b/>
                <w:bCs/>
                <w:color w:val="000000"/>
                <w:sz w:val="18"/>
                <w:szCs w:val="18"/>
                <w:lang w:val="cs-CZ"/>
              </w:rPr>
            </w:pPr>
            <w:r w:rsidRPr="007C705C">
              <w:rPr>
                <w:rFonts w:cs="Times New Roman"/>
                <w:lang w:val="cs-CZ"/>
              </w:rPr>
              <w:t>2016</w:t>
            </w:r>
          </w:p>
        </w:tc>
        <w:tc>
          <w:tcPr>
            <w:tcW w:w="369" w:type="pct"/>
            <w:shd w:val="clear" w:color="000000" w:fill="F2F2F2"/>
            <w:vAlign w:val="center"/>
            <w:hideMark/>
          </w:tcPr>
          <w:p w14:paraId="47813C2F"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2017</w:t>
            </w:r>
          </w:p>
        </w:tc>
        <w:tc>
          <w:tcPr>
            <w:tcW w:w="368" w:type="pct"/>
            <w:shd w:val="clear" w:color="000000" w:fill="F2F2F2"/>
            <w:vAlign w:val="center"/>
            <w:hideMark/>
          </w:tcPr>
          <w:p w14:paraId="43EEA779"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2018</w:t>
            </w:r>
          </w:p>
        </w:tc>
      </w:tr>
      <w:tr w:rsidR="003E0F58" w:rsidRPr="007C705C" w14:paraId="05BC01A2" w14:textId="77777777" w:rsidTr="004D2249">
        <w:trPr>
          <w:trHeight w:val="114"/>
        </w:trPr>
        <w:tc>
          <w:tcPr>
            <w:tcW w:w="584" w:type="pct"/>
            <w:shd w:val="clear" w:color="auto" w:fill="auto"/>
            <w:vAlign w:val="center"/>
            <w:hideMark/>
          </w:tcPr>
          <w:p w14:paraId="2EC81861" w14:textId="77777777" w:rsidR="003E0F58" w:rsidRPr="007C705C" w:rsidRDefault="003E0F58" w:rsidP="004D2249">
            <w:pPr>
              <w:jc w:val="left"/>
              <w:rPr>
                <w:rFonts w:cs="Times New Roman"/>
                <w:sz w:val="18"/>
                <w:szCs w:val="18"/>
                <w:lang w:val="cs-CZ"/>
              </w:rPr>
            </w:pPr>
            <w:r w:rsidRPr="007C705C">
              <w:rPr>
                <w:rFonts w:cs="Times New Roman"/>
                <w:sz w:val="18"/>
                <w:szCs w:val="18"/>
                <w:lang w:val="cs-CZ"/>
              </w:rPr>
              <w:t>Výroba obnovitelné energie v lesnictví</w:t>
            </w:r>
          </w:p>
        </w:tc>
        <w:tc>
          <w:tcPr>
            <w:tcW w:w="470" w:type="pct"/>
            <w:shd w:val="clear" w:color="auto" w:fill="auto"/>
            <w:vAlign w:val="center"/>
            <w:hideMark/>
          </w:tcPr>
          <w:p w14:paraId="4D5C069F" w14:textId="77777777" w:rsidR="003E0F58" w:rsidRPr="007C705C" w:rsidRDefault="003E0F58" w:rsidP="004D2249">
            <w:pPr>
              <w:jc w:val="center"/>
              <w:rPr>
                <w:rFonts w:cs="Times New Roman"/>
                <w:sz w:val="18"/>
                <w:szCs w:val="18"/>
                <w:lang w:val="cs-CZ"/>
              </w:rPr>
            </w:pPr>
            <w:r w:rsidRPr="007C705C">
              <w:rPr>
                <w:rFonts w:cs="Times New Roman"/>
                <w:sz w:val="18"/>
                <w:szCs w:val="18"/>
                <w:lang w:val="cs-CZ"/>
              </w:rPr>
              <w:t>kToe</w:t>
            </w:r>
          </w:p>
        </w:tc>
        <w:tc>
          <w:tcPr>
            <w:tcW w:w="401" w:type="pct"/>
            <w:shd w:val="clear" w:color="auto" w:fill="auto"/>
            <w:vAlign w:val="center"/>
            <w:hideMark/>
          </w:tcPr>
          <w:p w14:paraId="5E76E33E" w14:textId="77777777" w:rsidR="003E0F58" w:rsidRPr="007C705C" w:rsidRDefault="003E0F58" w:rsidP="004D2249">
            <w:pPr>
              <w:jc w:val="center"/>
              <w:rPr>
                <w:rFonts w:cs="Times New Roman"/>
                <w:sz w:val="20"/>
                <w:szCs w:val="20"/>
                <w:lang w:val="cs-CZ"/>
              </w:rPr>
            </w:pPr>
            <w:r w:rsidRPr="007C705C">
              <w:rPr>
                <w:rFonts w:cs="Times New Roman"/>
                <w:sz w:val="20"/>
                <w:szCs w:val="20"/>
                <w:lang w:val="cs-CZ"/>
              </w:rPr>
              <w:t>2297,6</w:t>
            </w:r>
          </w:p>
        </w:tc>
        <w:tc>
          <w:tcPr>
            <w:tcW w:w="401" w:type="pct"/>
            <w:shd w:val="clear" w:color="auto" w:fill="auto"/>
            <w:vAlign w:val="center"/>
            <w:hideMark/>
          </w:tcPr>
          <w:p w14:paraId="11F8A76E" w14:textId="77777777" w:rsidR="003E0F58" w:rsidRPr="007C705C" w:rsidRDefault="003E0F58" w:rsidP="004D2249">
            <w:pPr>
              <w:jc w:val="center"/>
              <w:rPr>
                <w:rFonts w:cs="Times New Roman"/>
                <w:sz w:val="20"/>
                <w:szCs w:val="20"/>
                <w:lang w:val="cs-CZ"/>
              </w:rPr>
            </w:pPr>
            <w:r w:rsidRPr="007C705C">
              <w:rPr>
                <w:rFonts w:cs="Times New Roman"/>
                <w:sz w:val="20"/>
                <w:szCs w:val="20"/>
                <w:lang w:val="cs-CZ"/>
              </w:rPr>
              <w:t>2332,8</w:t>
            </w:r>
          </w:p>
        </w:tc>
        <w:tc>
          <w:tcPr>
            <w:tcW w:w="401" w:type="pct"/>
            <w:shd w:val="clear" w:color="auto" w:fill="auto"/>
            <w:vAlign w:val="center"/>
            <w:hideMark/>
          </w:tcPr>
          <w:p w14:paraId="0B3BDBA4" w14:textId="77777777" w:rsidR="003E0F58" w:rsidRPr="007C705C" w:rsidRDefault="003E0F58" w:rsidP="004D2249">
            <w:pPr>
              <w:jc w:val="center"/>
              <w:rPr>
                <w:rFonts w:cs="Times New Roman"/>
                <w:sz w:val="20"/>
                <w:szCs w:val="20"/>
                <w:lang w:val="cs-CZ"/>
              </w:rPr>
            </w:pPr>
            <w:r w:rsidRPr="007C705C">
              <w:rPr>
                <w:rFonts w:cs="Times New Roman"/>
                <w:sz w:val="20"/>
                <w:szCs w:val="20"/>
                <w:lang w:val="cs-CZ"/>
              </w:rPr>
              <w:t>2406,0</w:t>
            </w:r>
          </w:p>
        </w:tc>
        <w:tc>
          <w:tcPr>
            <w:tcW w:w="401" w:type="pct"/>
            <w:shd w:val="clear" w:color="auto" w:fill="auto"/>
            <w:vAlign w:val="center"/>
            <w:hideMark/>
          </w:tcPr>
          <w:p w14:paraId="1265CA4B" w14:textId="77777777" w:rsidR="003E0F58" w:rsidRPr="007C705C" w:rsidRDefault="003E0F58" w:rsidP="004D2249">
            <w:pPr>
              <w:jc w:val="center"/>
              <w:rPr>
                <w:rFonts w:cs="Times New Roman"/>
                <w:sz w:val="20"/>
                <w:szCs w:val="20"/>
                <w:lang w:val="cs-CZ"/>
              </w:rPr>
            </w:pPr>
            <w:r w:rsidRPr="007C705C">
              <w:rPr>
                <w:rFonts w:cs="Times New Roman"/>
                <w:sz w:val="20"/>
                <w:szCs w:val="20"/>
                <w:lang w:val="cs-CZ"/>
              </w:rPr>
              <w:t>2508,2</w:t>
            </w:r>
          </w:p>
        </w:tc>
        <w:tc>
          <w:tcPr>
            <w:tcW w:w="401" w:type="pct"/>
            <w:shd w:val="clear" w:color="auto" w:fill="auto"/>
            <w:vAlign w:val="center"/>
            <w:hideMark/>
          </w:tcPr>
          <w:p w14:paraId="660E5D0F" w14:textId="77777777" w:rsidR="003E0F58" w:rsidRPr="007C705C" w:rsidRDefault="003E0F58" w:rsidP="004D2249">
            <w:pPr>
              <w:jc w:val="center"/>
              <w:rPr>
                <w:rFonts w:cs="Times New Roman"/>
                <w:sz w:val="20"/>
                <w:szCs w:val="20"/>
                <w:lang w:val="cs-CZ"/>
              </w:rPr>
            </w:pPr>
            <w:r w:rsidRPr="007C705C">
              <w:rPr>
                <w:rFonts w:cs="Times New Roman"/>
                <w:sz w:val="20"/>
                <w:szCs w:val="20"/>
                <w:lang w:val="cs-CZ"/>
              </w:rPr>
              <w:t>2655,1</w:t>
            </w:r>
          </w:p>
        </w:tc>
        <w:tc>
          <w:tcPr>
            <w:tcW w:w="401" w:type="pct"/>
            <w:shd w:val="clear" w:color="auto" w:fill="auto"/>
            <w:vAlign w:val="center"/>
            <w:hideMark/>
          </w:tcPr>
          <w:p w14:paraId="50150308" w14:textId="77777777" w:rsidR="003E0F58" w:rsidRPr="007C705C" w:rsidRDefault="003E0F58" w:rsidP="004D2249">
            <w:pPr>
              <w:jc w:val="center"/>
              <w:rPr>
                <w:rFonts w:cs="Times New Roman"/>
                <w:sz w:val="20"/>
                <w:szCs w:val="20"/>
                <w:lang w:val="cs-CZ"/>
              </w:rPr>
            </w:pPr>
            <w:r w:rsidRPr="007C705C">
              <w:rPr>
                <w:rFonts w:cs="Times New Roman"/>
                <w:sz w:val="20"/>
                <w:szCs w:val="20"/>
                <w:lang w:val="cs-CZ"/>
              </w:rPr>
              <w:t>2719,6</w:t>
            </w:r>
          </w:p>
        </w:tc>
        <w:tc>
          <w:tcPr>
            <w:tcW w:w="401" w:type="pct"/>
            <w:shd w:val="clear" w:color="auto" w:fill="auto"/>
            <w:vAlign w:val="center"/>
            <w:hideMark/>
          </w:tcPr>
          <w:p w14:paraId="51222A0A" w14:textId="77777777" w:rsidR="003E0F58" w:rsidRPr="007C705C" w:rsidRDefault="003E0F58" w:rsidP="004D2249">
            <w:pPr>
              <w:jc w:val="center"/>
              <w:rPr>
                <w:rFonts w:cs="Times New Roman"/>
                <w:sz w:val="20"/>
                <w:szCs w:val="20"/>
                <w:lang w:val="cs-CZ"/>
              </w:rPr>
            </w:pPr>
            <w:r w:rsidRPr="007C705C">
              <w:rPr>
                <w:rFonts w:cs="Times New Roman"/>
                <w:sz w:val="20"/>
                <w:szCs w:val="20"/>
                <w:lang w:val="cs-CZ"/>
              </w:rPr>
              <w:t>2820,5</w:t>
            </w:r>
          </w:p>
        </w:tc>
        <w:tc>
          <w:tcPr>
            <w:tcW w:w="401" w:type="pct"/>
            <w:shd w:val="clear" w:color="auto" w:fill="auto"/>
            <w:vAlign w:val="center"/>
            <w:hideMark/>
          </w:tcPr>
          <w:p w14:paraId="26B39D32" w14:textId="77777777" w:rsidR="003E0F58" w:rsidRPr="007C705C" w:rsidRDefault="003E0F58" w:rsidP="004D2249">
            <w:pPr>
              <w:jc w:val="center"/>
              <w:rPr>
                <w:rFonts w:cs="Times New Roman"/>
                <w:sz w:val="20"/>
                <w:szCs w:val="20"/>
                <w:lang w:val="cs-CZ"/>
              </w:rPr>
            </w:pPr>
            <w:r w:rsidRPr="007C705C">
              <w:rPr>
                <w:rFonts w:cs="Times New Roman"/>
                <w:sz w:val="20"/>
                <w:szCs w:val="20"/>
                <w:lang w:val="cs-CZ"/>
              </w:rPr>
              <w:t>2830,7</w:t>
            </w:r>
          </w:p>
        </w:tc>
        <w:tc>
          <w:tcPr>
            <w:tcW w:w="369" w:type="pct"/>
            <w:shd w:val="clear" w:color="auto" w:fill="auto"/>
            <w:vAlign w:val="center"/>
            <w:hideMark/>
          </w:tcPr>
          <w:p w14:paraId="53A25FA7" w14:textId="77777777" w:rsidR="003E0F58" w:rsidRPr="007C705C" w:rsidRDefault="003E0F58" w:rsidP="004D2249">
            <w:pPr>
              <w:jc w:val="center"/>
              <w:rPr>
                <w:rFonts w:cs="Times New Roman"/>
                <w:sz w:val="18"/>
                <w:lang w:val="cs-CZ"/>
              </w:rPr>
            </w:pPr>
            <w:r w:rsidRPr="007C705C">
              <w:rPr>
                <w:rFonts w:cs="Times New Roman"/>
                <w:sz w:val="20"/>
                <w:szCs w:val="20"/>
                <w:lang w:val="cs-CZ"/>
              </w:rPr>
              <w:t>2844,2</w:t>
            </w:r>
          </w:p>
        </w:tc>
        <w:tc>
          <w:tcPr>
            <w:tcW w:w="368" w:type="pct"/>
            <w:shd w:val="clear" w:color="auto" w:fill="auto"/>
            <w:vAlign w:val="center"/>
            <w:hideMark/>
          </w:tcPr>
          <w:p w14:paraId="173C775E" w14:textId="77777777" w:rsidR="003E0F58" w:rsidRPr="007C705C" w:rsidRDefault="003E0F58" w:rsidP="004D2249">
            <w:pPr>
              <w:jc w:val="center"/>
              <w:rPr>
                <w:rFonts w:cs="Times New Roman"/>
                <w:sz w:val="18"/>
                <w:lang w:val="cs-CZ"/>
              </w:rPr>
            </w:pPr>
            <w:r w:rsidRPr="007C705C">
              <w:rPr>
                <w:rFonts w:cs="Times New Roman"/>
                <w:sz w:val="20"/>
                <w:szCs w:val="20"/>
                <w:lang w:val="cs-CZ"/>
              </w:rPr>
              <w:t>2936,6</w:t>
            </w:r>
          </w:p>
        </w:tc>
      </w:tr>
    </w:tbl>
    <w:p w14:paraId="7E3DC2DE" w14:textId="27014B6E" w:rsidR="003E0F58" w:rsidRPr="00BC1449" w:rsidRDefault="003E0F58" w:rsidP="00BC1449">
      <w:pPr>
        <w:pStyle w:val="UZEIZdroj"/>
      </w:pPr>
      <w:r w:rsidRPr="007C705C">
        <w:t>Zdroj: MPO (výpočet Ing. Bufka, zpracoval Nesňal, ÚZEI)</w:t>
      </w:r>
    </w:p>
    <w:p w14:paraId="2269CA9E" w14:textId="77777777" w:rsidR="003E0F58" w:rsidRPr="007C705C" w:rsidRDefault="003E0F58" w:rsidP="003E0F58">
      <w:pPr>
        <w:pStyle w:val="Odstavecseseznamem"/>
        <w:ind w:left="0"/>
        <w:rPr>
          <w:rFonts w:eastAsiaTheme="minorEastAsia"/>
        </w:rPr>
      </w:pPr>
      <w:r w:rsidRPr="007C705C">
        <w:rPr>
          <w:rFonts w:eastAsiaTheme="minorEastAsia"/>
        </w:rPr>
        <w:t>Podíl výroby obnovitelné energie v lesnictví</w:t>
      </w:r>
    </w:p>
    <w:p w14:paraId="4F8ECE90" w14:textId="00519EDD" w:rsidR="003E0F58" w:rsidRPr="007C705C" w:rsidRDefault="00BC1449" w:rsidP="00BC1449">
      <w:pPr>
        <w:pStyle w:val="UZEITaB"/>
      </w:pPr>
      <w:bookmarkStart w:id="199" w:name="_Toc77245818"/>
      <w:r>
        <w:t xml:space="preserve"> </w:t>
      </w:r>
      <w:bookmarkStart w:id="200" w:name="_Toc94181576"/>
      <w:r w:rsidR="003E0F58" w:rsidRPr="007C705C">
        <w:t>Podíl výroby obnovitelné energie v lesnictví v ČR v letech 2009 - 2018</w:t>
      </w:r>
      <w:bookmarkEnd w:id="199"/>
      <w:bookmarkEnd w:id="2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11"/>
        <w:gridCol w:w="1308"/>
        <w:gridCol w:w="645"/>
        <w:gridCol w:w="645"/>
        <w:gridCol w:w="645"/>
        <w:gridCol w:w="645"/>
        <w:gridCol w:w="645"/>
        <w:gridCol w:w="645"/>
        <w:gridCol w:w="645"/>
        <w:gridCol w:w="645"/>
        <w:gridCol w:w="645"/>
        <w:gridCol w:w="638"/>
      </w:tblGrid>
      <w:tr w:rsidR="003E0F58" w:rsidRPr="007C705C" w14:paraId="0AA5EFAB" w14:textId="77777777" w:rsidTr="004D2249">
        <w:trPr>
          <w:trHeight w:val="96"/>
        </w:trPr>
        <w:tc>
          <w:tcPr>
            <w:tcW w:w="723" w:type="pct"/>
            <w:shd w:val="clear" w:color="000000" w:fill="F2F2F2"/>
            <w:vAlign w:val="center"/>
            <w:hideMark/>
          </w:tcPr>
          <w:p w14:paraId="349748DF" w14:textId="77777777" w:rsidR="003E0F58" w:rsidRPr="007C705C" w:rsidRDefault="003E0F58" w:rsidP="004D2249">
            <w:pPr>
              <w:jc w:val="left"/>
              <w:rPr>
                <w:rFonts w:cs="Times New Roman"/>
                <w:b/>
                <w:bCs/>
                <w:color w:val="000000"/>
                <w:sz w:val="18"/>
                <w:szCs w:val="18"/>
                <w:lang w:val="cs-CZ"/>
              </w:rPr>
            </w:pPr>
            <w:r w:rsidRPr="007C705C">
              <w:rPr>
                <w:rFonts w:cs="Times New Roman"/>
                <w:b/>
                <w:bCs/>
                <w:color w:val="000000"/>
                <w:sz w:val="18"/>
                <w:szCs w:val="18"/>
                <w:lang w:val="cs-CZ"/>
              </w:rPr>
              <w:t>Popis</w:t>
            </w:r>
          </w:p>
        </w:tc>
        <w:tc>
          <w:tcPr>
            <w:tcW w:w="721" w:type="pct"/>
            <w:shd w:val="clear" w:color="000000" w:fill="F2F2F2"/>
            <w:vAlign w:val="center"/>
            <w:hideMark/>
          </w:tcPr>
          <w:p w14:paraId="2AD375B2"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Jednotka</w:t>
            </w:r>
          </w:p>
        </w:tc>
        <w:tc>
          <w:tcPr>
            <w:tcW w:w="356" w:type="pct"/>
            <w:shd w:val="clear" w:color="000000" w:fill="F2F2F2"/>
            <w:vAlign w:val="center"/>
            <w:hideMark/>
          </w:tcPr>
          <w:p w14:paraId="0D56E99C"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2009</w:t>
            </w:r>
          </w:p>
        </w:tc>
        <w:tc>
          <w:tcPr>
            <w:tcW w:w="356" w:type="pct"/>
            <w:shd w:val="clear" w:color="000000" w:fill="F2F2F2"/>
            <w:vAlign w:val="center"/>
            <w:hideMark/>
          </w:tcPr>
          <w:p w14:paraId="5A4CC523"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2010</w:t>
            </w:r>
          </w:p>
        </w:tc>
        <w:tc>
          <w:tcPr>
            <w:tcW w:w="356" w:type="pct"/>
            <w:shd w:val="clear" w:color="000000" w:fill="F2F2F2"/>
            <w:vAlign w:val="center"/>
            <w:hideMark/>
          </w:tcPr>
          <w:p w14:paraId="4E33A3C9"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2011</w:t>
            </w:r>
          </w:p>
        </w:tc>
        <w:tc>
          <w:tcPr>
            <w:tcW w:w="356" w:type="pct"/>
            <w:shd w:val="clear" w:color="000000" w:fill="F2F2F2"/>
            <w:vAlign w:val="center"/>
            <w:hideMark/>
          </w:tcPr>
          <w:p w14:paraId="2E1F2838"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2012</w:t>
            </w:r>
          </w:p>
        </w:tc>
        <w:tc>
          <w:tcPr>
            <w:tcW w:w="356" w:type="pct"/>
            <w:shd w:val="clear" w:color="000000" w:fill="F2F2F2"/>
            <w:vAlign w:val="center"/>
            <w:hideMark/>
          </w:tcPr>
          <w:p w14:paraId="7C56A9C8"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2013</w:t>
            </w:r>
          </w:p>
        </w:tc>
        <w:tc>
          <w:tcPr>
            <w:tcW w:w="356" w:type="pct"/>
            <w:shd w:val="clear" w:color="000000" w:fill="F2F2F2"/>
            <w:vAlign w:val="center"/>
            <w:hideMark/>
          </w:tcPr>
          <w:p w14:paraId="23BC5BC3"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2014</w:t>
            </w:r>
          </w:p>
        </w:tc>
        <w:tc>
          <w:tcPr>
            <w:tcW w:w="356" w:type="pct"/>
            <w:shd w:val="clear" w:color="000000" w:fill="F2F2F2"/>
            <w:vAlign w:val="center"/>
            <w:hideMark/>
          </w:tcPr>
          <w:p w14:paraId="0C19164B"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2015</w:t>
            </w:r>
          </w:p>
        </w:tc>
        <w:tc>
          <w:tcPr>
            <w:tcW w:w="356" w:type="pct"/>
            <w:shd w:val="clear" w:color="000000" w:fill="F2F2F2"/>
            <w:vAlign w:val="center"/>
            <w:hideMark/>
          </w:tcPr>
          <w:p w14:paraId="3978F58B"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2016</w:t>
            </w:r>
          </w:p>
        </w:tc>
        <w:tc>
          <w:tcPr>
            <w:tcW w:w="356" w:type="pct"/>
            <w:shd w:val="clear" w:color="000000" w:fill="F2F2F2"/>
            <w:vAlign w:val="center"/>
            <w:hideMark/>
          </w:tcPr>
          <w:p w14:paraId="7070951C"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2017</w:t>
            </w:r>
          </w:p>
        </w:tc>
        <w:tc>
          <w:tcPr>
            <w:tcW w:w="353" w:type="pct"/>
            <w:shd w:val="clear" w:color="000000" w:fill="F2F2F2"/>
            <w:vAlign w:val="center"/>
            <w:hideMark/>
          </w:tcPr>
          <w:p w14:paraId="2A15352E"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2018</w:t>
            </w:r>
          </w:p>
        </w:tc>
      </w:tr>
      <w:tr w:rsidR="003E0F58" w:rsidRPr="007C705C" w14:paraId="41B59883" w14:textId="77777777" w:rsidTr="00C51CF2">
        <w:trPr>
          <w:trHeight w:val="145"/>
        </w:trPr>
        <w:tc>
          <w:tcPr>
            <w:tcW w:w="723" w:type="pct"/>
            <w:shd w:val="clear" w:color="auto" w:fill="auto"/>
            <w:vAlign w:val="center"/>
            <w:hideMark/>
          </w:tcPr>
          <w:p w14:paraId="1AE83150" w14:textId="77777777" w:rsidR="003E0F58" w:rsidRPr="007C705C" w:rsidRDefault="003E0F58" w:rsidP="004D2249">
            <w:pPr>
              <w:jc w:val="left"/>
              <w:rPr>
                <w:rFonts w:cs="Times New Roman"/>
                <w:sz w:val="18"/>
                <w:szCs w:val="18"/>
                <w:lang w:val="cs-CZ"/>
              </w:rPr>
            </w:pPr>
            <w:r w:rsidRPr="007C705C">
              <w:rPr>
                <w:rFonts w:cs="Times New Roman"/>
                <w:sz w:val="18"/>
                <w:szCs w:val="18"/>
                <w:lang w:val="cs-CZ"/>
              </w:rPr>
              <w:t>Podíl výroby obnovitelné energie v lesnictví</w:t>
            </w:r>
          </w:p>
        </w:tc>
        <w:tc>
          <w:tcPr>
            <w:tcW w:w="721" w:type="pct"/>
            <w:shd w:val="clear" w:color="auto" w:fill="auto"/>
            <w:vAlign w:val="center"/>
            <w:hideMark/>
          </w:tcPr>
          <w:p w14:paraId="58B89AC2" w14:textId="77777777" w:rsidR="003E0F58" w:rsidRPr="007C705C" w:rsidRDefault="003E0F58" w:rsidP="004D2249">
            <w:pPr>
              <w:jc w:val="center"/>
              <w:rPr>
                <w:rFonts w:cs="Times New Roman"/>
                <w:sz w:val="18"/>
                <w:szCs w:val="18"/>
                <w:lang w:val="cs-CZ"/>
              </w:rPr>
            </w:pPr>
            <w:r w:rsidRPr="007C705C">
              <w:rPr>
                <w:rFonts w:cs="Times New Roman"/>
                <w:sz w:val="18"/>
                <w:szCs w:val="18"/>
                <w:lang w:val="cs-CZ"/>
              </w:rPr>
              <w:t>% z celkové výroby obnovitelné energie</w:t>
            </w:r>
          </w:p>
        </w:tc>
        <w:tc>
          <w:tcPr>
            <w:tcW w:w="356" w:type="pct"/>
            <w:shd w:val="clear" w:color="auto" w:fill="auto"/>
            <w:vAlign w:val="center"/>
            <w:hideMark/>
          </w:tcPr>
          <w:p w14:paraId="3D15F65E" w14:textId="77777777" w:rsidR="003E0F58" w:rsidRPr="00C51CF2" w:rsidRDefault="003E0F58" w:rsidP="00C51CF2">
            <w:pPr>
              <w:jc w:val="center"/>
              <w:rPr>
                <w:rFonts w:cs="Times New Roman"/>
                <w:sz w:val="20"/>
                <w:szCs w:val="20"/>
                <w:lang w:val="cs-CZ"/>
              </w:rPr>
            </w:pPr>
            <w:r w:rsidRPr="00C51CF2">
              <w:rPr>
                <w:rFonts w:cs="Times New Roman"/>
                <w:sz w:val="20"/>
                <w:szCs w:val="20"/>
                <w:lang w:val="cs-CZ"/>
              </w:rPr>
              <w:t>86,9</w:t>
            </w:r>
          </w:p>
        </w:tc>
        <w:tc>
          <w:tcPr>
            <w:tcW w:w="356" w:type="pct"/>
            <w:shd w:val="clear" w:color="auto" w:fill="auto"/>
            <w:vAlign w:val="center"/>
            <w:hideMark/>
          </w:tcPr>
          <w:p w14:paraId="0E995196" w14:textId="77777777" w:rsidR="003E0F58" w:rsidRPr="00C51CF2" w:rsidRDefault="003E0F58" w:rsidP="00C51CF2">
            <w:pPr>
              <w:jc w:val="center"/>
              <w:rPr>
                <w:rFonts w:cs="Times New Roman"/>
                <w:sz w:val="20"/>
                <w:szCs w:val="20"/>
                <w:lang w:val="cs-CZ"/>
              </w:rPr>
            </w:pPr>
            <w:r w:rsidRPr="00C51CF2">
              <w:rPr>
                <w:rFonts w:cs="Times New Roman"/>
                <w:sz w:val="20"/>
                <w:szCs w:val="20"/>
                <w:lang w:val="cs-CZ"/>
              </w:rPr>
              <w:t>83,5</w:t>
            </w:r>
          </w:p>
        </w:tc>
        <w:tc>
          <w:tcPr>
            <w:tcW w:w="356" w:type="pct"/>
            <w:shd w:val="clear" w:color="auto" w:fill="auto"/>
            <w:vAlign w:val="center"/>
            <w:hideMark/>
          </w:tcPr>
          <w:p w14:paraId="2ADBAE60" w14:textId="77777777" w:rsidR="003E0F58" w:rsidRPr="00C51CF2" w:rsidRDefault="003E0F58" w:rsidP="00C51CF2">
            <w:pPr>
              <w:jc w:val="center"/>
              <w:rPr>
                <w:rFonts w:cs="Times New Roman"/>
                <w:sz w:val="20"/>
                <w:szCs w:val="20"/>
                <w:lang w:val="cs-CZ"/>
              </w:rPr>
            </w:pPr>
            <w:r w:rsidRPr="00C51CF2">
              <w:rPr>
                <w:rFonts w:cs="Times New Roman"/>
                <w:sz w:val="20"/>
                <w:szCs w:val="20"/>
                <w:lang w:val="cs-CZ"/>
              </w:rPr>
              <w:t>82,2</w:t>
            </w:r>
          </w:p>
        </w:tc>
        <w:tc>
          <w:tcPr>
            <w:tcW w:w="356" w:type="pct"/>
            <w:shd w:val="clear" w:color="auto" w:fill="auto"/>
            <w:vAlign w:val="center"/>
            <w:hideMark/>
          </w:tcPr>
          <w:p w14:paraId="48BD6C45" w14:textId="77777777" w:rsidR="003E0F58" w:rsidRPr="00C51CF2" w:rsidRDefault="003E0F58" w:rsidP="00C51CF2">
            <w:pPr>
              <w:jc w:val="center"/>
              <w:rPr>
                <w:rFonts w:cs="Times New Roman"/>
                <w:sz w:val="20"/>
                <w:szCs w:val="20"/>
                <w:lang w:val="cs-CZ"/>
              </w:rPr>
            </w:pPr>
            <w:r w:rsidRPr="00C51CF2">
              <w:rPr>
                <w:rFonts w:cs="Times New Roman"/>
                <w:sz w:val="20"/>
                <w:szCs w:val="20"/>
                <w:lang w:val="cs-CZ"/>
              </w:rPr>
              <w:t>79,5</w:t>
            </w:r>
          </w:p>
        </w:tc>
        <w:tc>
          <w:tcPr>
            <w:tcW w:w="356" w:type="pct"/>
            <w:shd w:val="clear" w:color="auto" w:fill="auto"/>
            <w:vAlign w:val="center"/>
            <w:hideMark/>
          </w:tcPr>
          <w:p w14:paraId="25EF7347" w14:textId="77777777" w:rsidR="003E0F58" w:rsidRPr="00C51CF2" w:rsidRDefault="003E0F58" w:rsidP="00C51CF2">
            <w:pPr>
              <w:jc w:val="center"/>
              <w:rPr>
                <w:rFonts w:cs="Times New Roman"/>
                <w:sz w:val="20"/>
                <w:szCs w:val="20"/>
                <w:lang w:val="cs-CZ"/>
              </w:rPr>
            </w:pPr>
            <w:r w:rsidRPr="00C51CF2">
              <w:rPr>
                <w:rFonts w:cs="Times New Roman"/>
                <w:sz w:val="20"/>
                <w:szCs w:val="20"/>
                <w:lang w:val="cs-CZ"/>
              </w:rPr>
              <w:t>75,9</w:t>
            </w:r>
          </w:p>
        </w:tc>
        <w:tc>
          <w:tcPr>
            <w:tcW w:w="356" w:type="pct"/>
            <w:shd w:val="clear" w:color="auto" w:fill="auto"/>
            <w:vAlign w:val="center"/>
            <w:hideMark/>
          </w:tcPr>
          <w:p w14:paraId="6E2626F5" w14:textId="77777777" w:rsidR="003E0F58" w:rsidRPr="00C51CF2" w:rsidRDefault="003E0F58" w:rsidP="00C51CF2">
            <w:pPr>
              <w:jc w:val="center"/>
              <w:rPr>
                <w:rFonts w:cs="Times New Roman"/>
                <w:sz w:val="20"/>
                <w:szCs w:val="20"/>
                <w:lang w:val="cs-CZ"/>
              </w:rPr>
            </w:pPr>
            <w:r w:rsidRPr="00C51CF2">
              <w:rPr>
                <w:rFonts w:cs="Times New Roman"/>
                <w:sz w:val="20"/>
                <w:szCs w:val="20"/>
                <w:lang w:val="cs-CZ"/>
              </w:rPr>
              <w:t>74,7</w:t>
            </w:r>
          </w:p>
        </w:tc>
        <w:tc>
          <w:tcPr>
            <w:tcW w:w="356" w:type="pct"/>
            <w:shd w:val="clear" w:color="auto" w:fill="auto"/>
            <w:vAlign w:val="center"/>
            <w:hideMark/>
          </w:tcPr>
          <w:p w14:paraId="48B17FBC" w14:textId="77777777" w:rsidR="003E0F58" w:rsidRPr="00C51CF2" w:rsidRDefault="003E0F58" w:rsidP="00C51CF2">
            <w:pPr>
              <w:jc w:val="center"/>
              <w:rPr>
                <w:rFonts w:cs="Times New Roman"/>
                <w:sz w:val="20"/>
                <w:szCs w:val="20"/>
                <w:lang w:val="cs-CZ"/>
              </w:rPr>
            </w:pPr>
            <w:r w:rsidRPr="00C51CF2">
              <w:rPr>
                <w:rFonts w:cs="Times New Roman"/>
                <w:sz w:val="20"/>
                <w:szCs w:val="20"/>
                <w:lang w:val="cs-CZ"/>
              </w:rPr>
              <w:t>75,9</w:t>
            </w:r>
          </w:p>
        </w:tc>
        <w:tc>
          <w:tcPr>
            <w:tcW w:w="356" w:type="pct"/>
            <w:shd w:val="clear" w:color="auto" w:fill="auto"/>
            <w:vAlign w:val="center"/>
            <w:hideMark/>
          </w:tcPr>
          <w:p w14:paraId="5C7E3D84" w14:textId="77777777" w:rsidR="003E0F58" w:rsidRPr="00C51CF2" w:rsidRDefault="003E0F58" w:rsidP="00C51CF2">
            <w:pPr>
              <w:jc w:val="center"/>
              <w:rPr>
                <w:rFonts w:cs="Times New Roman"/>
                <w:sz w:val="20"/>
                <w:szCs w:val="20"/>
                <w:lang w:val="cs-CZ"/>
              </w:rPr>
            </w:pPr>
            <w:r w:rsidRPr="00C51CF2">
              <w:rPr>
                <w:rFonts w:cs="Times New Roman"/>
                <w:sz w:val="20"/>
                <w:szCs w:val="20"/>
                <w:lang w:val="cs-CZ"/>
              </w:rPr>
              <w:t>76,3</w:t>
            </w:r>
          </w:p>
        </w:tc>
        <w:tc>
          <w:tcPr>
            <w:tcW w:w="356" w:type="pct"/>
            <w:shd w:val="clear" w:color="auto" w:fill="auto"/>
            <w:vAlign w:val="center"/>
            <w:hideMark/>
          </w:tcPr>
          <w:p w14:paraId="720AD235" w14:textId="77777777" w:rsidR="003E0F58" w:rsidRPr="00C51CF2" w:rsidRDefault="003E0F58" w:rsidP="00C51CF2">
            <w:pPr>
              <w:jc w:val="center"/>
              <w:rPr>
                <w:rFonts w:cs="Times New Roman"/>
                <w:sz w:val="20"/>
                <w:szCs w:val="20"/>
                <w:lang w:val="cs-CZ"/>
              </w:rPr>
            </w:pPr>
            <w:r w:rsidRPr="00C51CF2">
              <w:rPr>
                <w:rFonts w:cs="Times New Roman"/>
                <w:sz w:val="20"/>
                <w:szCs w:val="20"/>
                <w:lang w:val="cs-CZ"/>
              </w:rPr>
              <w:t>76,0</w:t>
            </w:r>
          </w:p>
        </w:tc>
        <w:tc>
          <w:tcPr>
            <w:tcW w:w="353" w:type="pct"/>
            <w:shd w:val="clear" w:color="auto" w:fill="auto"/>
            <w:vAlign w:val="center"/>
            <w:hideMark/>
          </w:tcPr>
          <w:p w14:paraId="242F329E" w14:textId="77777777" w:rsidR="003E0F58" w:rsidRPr="00C51CF2" w:rsidRDefault="003E0F58" w:rsidP="00C51CF2">
            <w:pPr>
              <w:jc w:val="center"/>
              <w:rPr>
                <w:rFonts w:cs="Times New Roman"/>
                <w:sz w:val="20"/>
                <w:szCs w:val="20"/>
                <w:lang w:val="cs-CZ"/>
              </w:rPr>
            </w:pPr>
            <w:r w:rsidRPr="00C51CF2">
              <w:rPr>
                <w:rFonts w:cs="Times New Roman"/>
                <w:sz w:val="20"/>
                <w:szCs w:val="20"/>
                <w:lang w:val="cs-CZ"/>
              </w:rPr>
              <w:t>76,7</w:t>
            </w:r>
          </w:p>
        </w:tc>
      </w:tr>
    </w:tbl>
    <w:p w14:paraId="58153ED9" w14:textId="3B8FE031" w:rsidR="003E0F58" w:rsidRPr="00BC1449" w:rsidRDefault="003E0F58" w:rsidP="00BC1449">
      <w:pPr>
        <w:pStyle w:val="UZEIZdroj"/>
      </w:pPr>
      <w:r w:rsidRPr="007C705C">
        <w:t>Zdroj: dopočet ÚZEI</w:t>
      </w:r>
    </w:p>
    <w:p w14:paraId="4218F6F4" w14:textId="77777777" w:rsidR="003E0F58" w:rsidRPr="007C705C" w:rsidRDefault="003E0F58" w:rsidP="003E0F58">
      <w:pPr>
        <w:pStyle w:val="Odstavecseseznamem"/>
        <w:ind w:left="0"/>
        <w:rPr>
          <w:rFonts w:eastAsiaTheme="minorEastAsia"/>
        </w:rPr>
      </w:pPr>
      <w:r w:rsidRPr="007C705C">
        <w:rPr>
          <w:rFonts w:eastAsiaTheme="minorEastAsia"/>
        </w:rPr>
        <w:t>Celková výroba obnovitelné energie</w:t>
      </w:r>
    </w:p>
    <w:p w14:paraId="52C6CC9A" w14:textId="6665C77D" w:rsidR="003E0F58" w:rsidRPr="007C705C" w:rsidRDefault="00BC1449" w:rsidP="00BC1449">
      <w:pPr>
        <w:pStyle w:val="UZEITaB"/>
      </w:pPr>
      <w:bookmarkStart w:id="201" w:name="_Toc77245819"/>
      <w:r>
        <w:t xml:space="preserve"> </w:t>
      </w:r>
      <w:bookmarkStart w:id="202" w:name="_Toc94181577"/>
      <w:r w:rsidR="003E0F58" w:rsidRPr="007C705C">
        <w:t>Celková výroba obnovitelné energie v ČR v letech 2009 - 2018</w:t>
      </w:r>
      <w:bookmarkEnd w:id="201"/>
      <w:bookmarkEnd w:id="202"/>
    </w:p>
    <w:tbl>
      <w:tblPr>
        <w:tblW w:w="5247" w:type="pct"/>
        <w:tblCellMar>
          <w:left w:w="70" w:type="dxa"/>
          <w:right w:w="70" w:type="dxa"/>
        </w:tblCellMar>
        <w:tblLook w:val="04A0" w:firstRow="1" w:lastRow="0" w:firstColumn="1" w:lastColumn="0" w:noHBand="0" w:noVBand="1"/>
      </w:tblPr>
      <w:tblGrid>
        <w:gridCol w:w="1010"/>
        <w:gridCol w:w="867"/>
        <w:gridCol w:w="723"/>
        <w:gridCol w:w="723"/>
        <w:gridCol w:w="723"/>
        <w:gridCol w:w="723"/>
        <w:gridCol w:w="723"/>
        <w:gridCol w:w="723"/>
        <w:gridCol w:w="825"/>
        <w:gridCol w:w="825"/>
        <w:gridCol w:w="928"/>
        <w:gridCol w:w="717"/>
      </w:tblGrid>
      <w:tr w:rsidR="003E0F58" w:rsidRPr="007C705C" w14:paraId="50171B0F" w14:textId="77777777" w:rsidTr="004D2249">
        <w:trPr>
          <w:trHeight w:val="105"/>
        </w:trPr>
        <w:tc>
          <w:tcPr>
            <w:tcW w:w="531"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2FA4013E" w14:textId="77777777" w:rsidR="003E0F58" w:rsidRPr="007C705C" w:rsidRDefault="003E0F58" w:rsidP="004D2249">
            <w:pPr>
              <w:jc w:val="left"/>
              <w:rPr>
                <w:rFonts w:cs="Times New Roman"/>
                <w:b/>
                <w:bCs/>
                <w:color w:val="000000"/>
                <w:sz w:val="18"/>
                <w:szCs w:val="18"/>
                <w:lang w:val="cs-CZ"/>
              </w:rPr>
            </w:pPr>
            <w:r w:rsidRPr="007C705C">
              <w:rPr>
                <w:rFonts w:cs="Times New Roman"/>
                <w:b/>
                <w:bCs/>
                <w:color w:val="000000"/>
                <w:sz w:val="18"/>
                <w:szCs w:val="18"/>
                <w:lang w:val="cs-CZ"/>
              </w:rPr>
              <w:t>Popis</w:t>
            </w:r>
          </w:p>
        </w:tc>
        <w:tc>
          <w:tcPr>
            <w:tcW w:w="456"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41D0846F"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Jednotka</w:t>
            </w:r>
          </w:p>
        </w:tc>
        <w:tc>
          <w:tcPr>
            <w:tcW w:w="380"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77757927"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2009</w:t>
            </w:r>
          </w:p>
        </w:tc>
        <w:tc>
          <w:tcPr>
            <w:tcW w:w="380"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70B5BD68"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2010</w:t>
            </w:r>
          </w:p>
        </w:tc>
        <w:tc>
          <w:tcPr>
            <w:tcW w:w="380"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073042E2"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2011</w:t>
            </w:r>
          </w:p>
        </w:tc>
        <w:tc>
          <w:tcPr>
            <w:tcW w:w="380"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61829491"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2012</w:t>
            </w:r>
          </w:p>
        </w:tc>
        <w:tc>
          <w:tcPr>
            <w:tcW w:w="380"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698A6EEB"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2013</w:t>
            </w:r>
          </w:p>
        </w:tc>
        <w:tc>
          <w:tcPr>
            <w:tcW w:w="380"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7ECE0AF4"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2014</w:t>
            </w:r>
          </w:p>
        </w:tc>
        <w:tc>
          <w:tcPr>
            <w:tcW w:w="434"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41872DD3"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2015</w:t>
            </w:r>
          </w:p>
        </w:tc>
        <w:tc>
          <w:tcPr>
            <w:tcW w:w="434"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79F5C2CD" w14:textId="77777777" w:rsidR="003E0F58" w:rsidRPr="007C705C" w:rsidRDefault="003E0F58" w:rsidP="004D2249">
            <w:pPr>
              <w:jc w:val="center"/>
              <w:rPr>
                <w:rFonts w:cs="Times New Roman"/>
                <w:b/>
                <w:bCs/>
                <w:color w:val="000000"/>
                <w:sz w:val="18"/>
                <w:szCs w:val="18"/>
                <w:lang w:val="cs-CZ"/>
              </w:rPr>
            </w:pPr>
            <w:r w:rsidRPr="007C705C">
              <w:rPr>
                <w:rFonts w:cs="Times New Roman"/>
                <w:lang w:val="cs-CZ"/>
              </w:rPr>
              <w:t>2016</w:t>
            </w:r>
          </w:p>
        </w:tc>
        <w:tc>
          <w:tcPr>
            <w:tcW w:w="488"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643F39CB"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2017</w:t>
            </w:r>
          </w:p>
        </w:tc>
        <w:tc>
          <w:tcPr>
            <w:tcW w:w="377"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6898FC62"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2018</w:t>
            </w:r>
          </w:p>
        </w:tc>
      </w:tr>
      <w:tr w:rsidR="003E0F58" w:rsidRPr="007C705C" w14:paraId="054F7FF4" w14:textId="77777777" w:rsidTr="004D2249">
        <w:trPr>
          <w:trHeight w:val="171"/>
        </w:trPr>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75F806" w14:textId="77777777" w:rsidR="003E0F58" w:rsidRPr="007C705C" w:rsidRDefault="003E0F58" w:rsidP="004D2249">
            <w:pPr>
              <w:jc w:val="left"/>
              <w:rPr>
                <w:rFonts w:cs="Times New Roman"/>
                <w:sz w:val="18"/>
                <w:szCs w:val="18"/>
                <w:lang w:val="cs-CZ"/>
              </w:rPr>
            </w:pPr>
            <w:r w:rsidRPr="007C705C">
              <w:rPr>
                <w:rFonts w:cs="Times New Roman"/>
                <w:sz w:val="18"/>
                <w:szCs w:val="18"/>
                <w:lang w:val="cs-CZ"/>
              </w:rPr>
              <w:t>Celková výroba obnovitelné energie</w:t>
            </w:r>
          </w:p>
        </w:tc>
        <w:tc>
          <w:tcPr>
            <w:tcW w:w="456" w:type="pct"/>
            <w:tcBorders>
              <w:top w:val="single" w:sz="4" w:space="0" w:color="auto"/>
              <w:left w:val="nil"/>
              <w:bottom w:val="single" w:sz="4" w:space="0" w:color="auto"/>
              <w:right w:val="single" w:sz="4" w:space="0" w:color="auto"/>
            </w:tcBorders>
            <w:shd w:val="clear" w:color="auto" w:fill="auto"/>
            <w:vAlign w:val="center"/>
            <w:hideMark/>
          </w:tcPr>
          <w:p w14:paraId="45B8D565" w14:textId="77777777" w:rsidR="003E0F58" w:rsidRPr="007C705C" w:rsidRDefault="003E0F58" w:rsidP="004D2249">
            <w:pPr>
              <w:jc w:val="center"/>
              <w:rPr>
                <w:rFonts w:cs="Times New Roman"/>
                <w:sz w:val="18"/>
                <w:szCs w:val="18"/>
                <w:lang w:val="cs-CZ"/>
              </w:rPr>
            </w:pPr>
            <w:r w:rsidRPr="007C705C">
              <w:rPr>
                <w:rFonts w:cs="Times New Roman"/>
                <w:sz w:val="18"/>
                <w:szCs w:val="18"/>
                <w:lang w:val="cs-CZ"/>
              </w:rPr>
              <w:t>kToe</w:t>
            </w:r>
          </w:p>
        </w:tc>
        <w:tc>
          <w:tcPr>
            <w:tcW w:w="380" w:type="pct"/>
            <w:tcBorders>
              <w:top w:val="single" w:sz="4" w:space="0" w:color="auto"/>
              <w:left w:val="nil"/>
              <w:bottom w:val="single" w:sz="4" w:space="0" w:color="auto"/>
              <w:right w:val="single" w:sz="4" w:space="0" w:color="auto"/>
            </w:tcBorders>
            <w:shd w:val="clear" w:color="auto" w:fill="auto"/>
            <w:vAlign w:val="center"/>
            <w:hideMark/>
          </w:tcPr>
          <w:p w14:paraId="5EDF6E03" w14:textId="77777777" w:rsidR="003E0F58" w:rsidRPr="007C705C" w:rsidRDefault="003E0F58" w:rsidP="004D2249">
            <w:pPr>
              <w:jc w:val="center"/>
              <w:rPr>
                <w:rFonts w:cs="Times New Roman"/>
                <w:sz w:val="18"/>
                <w:lang w:val="cs-CZ"/>
              </w:rPr>
            </w:pPr>
            <w:r w:rsidRPr="007C705C">
              <w:rPr>
                <w:rFonts w:cs="Times New Roman"/>
                <w:sz w:val="18"/>
                <w:szCs w:val="18"/>
                <w:lang w:val="cs-CZ"/>
              </w:rPr>
              <w:t>2645,1</w:t>
            </w:r>
          </w:p>
        </w:tc>
        <w:tc>
          <w:tcPr>
            <w:tcW w:w="380" w:type="pct"/>
            <w:tcBorders>
              <w:top w:val="single" w:sz="4" w:space="0" w:color="auto"/>
              <w:left w:val="nil"/>
              <w:bottom w:val="single" w:sz="4" w:space="0" w:color="auto"/>
              <w:right w:val="single" w:sz="4" w:space="0" w:color="auto"/>
            </w:tcBorders>
            <w:shd w:val="clear" w:color="auto" w:fill="auto"/>
            <w:vAlign w:val="center"/>
            <w:hideMark/>
          </w:tcPr>
          <w:p w14:paraId="3C8C5FA0" w14:textId="77777777" w:rsidR="003E0F58" w:rsidRPr="007C705C" w:rsidRDefault="003E0F58" w:rsidP="004D2249">
            <w:pPr>
              <w:jc w:val="center"/>
              <w:rPr>
                <w:rFonts w:cs="Times New Roman"/>
                <w:sz w:val="18"/>
                <w:lang w:val="cs-CZ"/>
              </w:rPr>
            </w:pPr>
            <w:r w:rsidRPr="007C705C">
              <w:rPr>
                <w:rFonts w:cs="Times New Roman"/>
                <w:sz w:val="18"/>
                <w:szCs w:val="18"/>
                <w:lang w:val="cs-CZ"/>
              </w:rPr>
              <w:t>2792,1</w:t>
            </w:r>
          </w:p>
        </w:tc>
        <w:tc>
          <w:tcPr>
            <w:tcW w:w="380" w:type="pct"/>
            <w:tcBorders>
              <w:top w:val="single" w:sz="4" w:space="0" w:color="auto"/>
              <w:left w:val="nil"/>
              <w:bottom w:val="single" w:sz="4" w:space="0" w:color="auto"/>
              <w:right w:val="single" w:sz="4" w:space="0" w:color="auto"/>
            </w:tcBorders>
            <w:shd w:val="clear" w:color="auto" w:fill="auto"/>
            <w:vAlign w:val="center"/>
            <w:hideMark/>
          </w:tcPr>
          <w:p w14:paraId="703D6499" w14:textId="77777777" w:rsidR="003E0F58" w:rsidRPr="007C705C" w:rsidRDefault="003E0F58" w:rsidP="004D2249">
            <w:pPr>
              <w:jc w:val="center"/>
              <w:rPr>
                <w:rFonts w:cs="Times New Roman"/>
                <w:sz w:val="18"/>
                <w:lang w:val="cs-CZ"/>
              </w:rPr>
            </w:pPr>
            <w:r w:rsidRPr="007C705C">
              <w:rPr>
                <w:rFonts w:cs="Times New Roman"/>
                <w:sz w:val="18"/>
                <w:szCs w:val="18"/>
                <w:lang w:val="cs-CZ"/>
              </w:rPr>
              <w:t>2928,2</w:t>
            </w:r>
          </w:p>
        </w:tc>
        <w:tc>
          <w:tcPr>
            <w:tcW w:w="380" w:type="pct"/>
            <w:tcBorders>
              <w:top w:val="single" w:sz="4" w:space="0" w:color="auto"/>
              <w:left w:val="nil"/>
              <w:bottom w:val="single" w:sz="4" w:space="0" w:color="auto"/>
              <w:right w:val="single" w:sz="4" w:space="0" w:color="auto"/>
            </w:tcBorders>
            <w:shd w:val="clear" w:color="auto" w:fill="auto"/>
            <w:vAlign w:val="center"/>
            <w:hideMark/>
          </w:tcPr>
          <w:p w14:paraId="7E493BDD" w14:textId="77777777" w:rsidR="003E0F58" w:rsidRPr="007C705C" w:rsidRDefault="003E0F58" w:rsidP="004D2249">
            <w:pPr>
              <w:jc w:val="center"/>
              <w:rPr>
                <w:rFonts w:cs="Times New Roman"/>
                <w:sz w:val="18"/>
                <w:lang w:val="cs-CZ"/>
              </w:rPr>
            </w:pPr>
            <w:r w:rsidRPr="007C705C">
              <w:rPr>
                <w:rFonts w:cs="Times New Roman"/>
                <w:sz w:val="18"/>
                <w:szCs w:val="18"/>
                <w:lang w:val="cs-CZ"/>
              </w:rPr>
              <w:t>3154,9</w:t>
            </w:r>
          </w:p>
        </w:tc>
        <w:tc>
          <w:tcPr>
            <w:tcW w:w="380" w:type="pct"/>
            <w:tcBorders>
              <w:top w:val="single" w:sz="4" w:space="0" w:color="auto"/>
              <w:left w:val="nil"/>
              <w:bottom w:val="single" w:sz="4" w:space="0" w:color="auto"/>
              <w:right w:val="single" w:sz="4" w:space="0" w:color="auto"/>
            </w:tcBorders>
            <w:shd w:val="clear" w:color="auto" w:fill="auto"/>
            <w:vAlign w:val="center"/>
            <w:hideMark/>
          </w:tcPr>
          <w:p w14:paraId="5A8A77E8" w14:textId="77777777" w:rsidR="003E0F58" w:rsidRPr="007C705C" w:rsidRDefault="003E0F58" w:rsidP="004D2249">
            <w:pPr>
              <w:jc w:val="center"/>
              <w:rPr>
                <w:rFonts w:cs="Times New Roman"/>
                <w:sz w:val="18"/>
                <w:lang w:val="cs-CZ"/>
              </w:rPr>
            </w:pPr>
            <w:r w:rsidRPr="007C705C">
              <w:rPr>
                <w:rFonts w:cs="Times New Roman"/>
                <w:sz w:val="18"/>
                <w:szCs w:val="18"/>
                <w:lang w:val="cs-CZ"/>
              </w:rPr>
              <w:t>3499,1</w:t>
            </w:r>
          </w:p>
        </w:tc>
        <w:tc>
          <w:tcPr>
            <w:tcW w:w="380" w:type="pct"/>
            <w:tcBorders>
              <w:top w:val="single" w:sz="4" w:space="0" w:color="auto"/>
              <w:left w:val="nil"/>
              <w:bottom w:val="single" w:sz="4" w:space="0" w:color="auto"/>
              <w:right w:val="single" w:sz="4" w:space="0" w:color="auto"/>
            </w:tcBorders>
            <w:shd w:val="clear" w:color="auto" w:fill="auto"/>
            <w:vAlign w:val="center"/>
            <w:hideMark/>
          </w:tcPr>
          <w:p w14:paraId="0D26EB68" w14:textId="77777777" w:rsidR="003E0F58" w:rsidRPr="007C705C" w:rsidRDefault="003E0F58" w:rsidP="004D2249">
            <w:pPr>
              <w:jc w:val="center"/>
              <w:rPr>
                <w:rFonts w:cs="Times New Roman"/>
                <w:sz w:val="18"/>
                <w:lang w:val="cs-CZ"/>
              </w:rPr>
            </w:pPr>
            <w:r w:rsidRPr="007C705C">
              <w:rPr>
                <w:rFonts w:cs="Times New Roman"/>
                <w:sz w:val="18"/>
                <w:szCs w:val="18"/>
                <w:lang w:val="cs-CZ"/>
              </w:rPr>
              <w:t>3638,8</w:t>
            </w:r>
          </w:p>
        </w:tc>
        <w:tc>
          <w:tcPr>
            <w:tcW w:w="434" w:type="pct"/>
            <w:tcBorders>
              <w:top w:val="single" w:sz="4" w:space="0" w:color="auto"/>
              <w:left w:val="nil"/>
              <w:bottom w:val="single" w:sz="4" w:space="0" w:color="auto"/>
              <w:right w:val="single" w:sz="4" w:space="0" w:color="auto"/>
            </w:tcBorders>
            <w:shd w:val="clear" w:color="auto" w:fill="auto"/>
            <w:vAlign w:val="center"/>
            <w:hideMark/>
          </w:tcPr>
          <w:p w14:paraId="2921AC61" w14:textId="77777777" w:rsidR="003E0F58" w:rsidRPr="007C705C" w:rsidRDefault="003E0F58" w:rsidP="004D2249">
            <w:pPr>
              <w:jc w:val="center"/>
              <w:rPr>
                <w:rFonts w:cs="Times New Roman"/>
                <w:sz w:val="18"/>
                <w:lang w:val="cs-CZ"/>
              </w:rPr>
            </w:pPr>
            <w:r w:rsidRPr="007C705C">
              <w:rPr>
                <w:rFonts w:cs="Times New Roman"/>
                <w:sz w:val="18"/>
                <w:szCs w:val="18"/>
                <w:lang w:val="cs-CZ"/>
              </w:rPr>
              <w:t>3715,6</w:t>
            </w:r>
          </w:p>
        </w:tc>
        <w:tc>
          <w:tcPr>
            <w:tcW w:w="434" w:type="pct"/>
            <w:tcBorders>
              <w:top w:val="single" w:sz="4" w:space="0" w:color="auto"/>
              <w:left w:val="nil"/>
              <w:bottom w:val="single" w:sz="4" w:space="0" w:color="auto"/>
              <w:right w:val="single" w:sz="4" w:space="0" w:color="auto"/>
            </w:tcBorders>
            <w:shd w:val="clear" w:color="auto" w:fill="auto"/>
            <w:vAlign w:val="center"/>
            <w:hideMark/>
          </w:tcPr>
          <w:p w14:paraId="0BDED68A" w14:textId="77777777" w:rsidR="003E0F58" w:rsidRPr="007C705C" w:rsidRDefault="003E0F58" w:rsidP="004D2249">
            <w:pPr>
              <w:jc w:val="center"/>
              <w:rPr>
                <w:rFonts w:cs="Times New Roman"/>
                <w:sz w:val="18"/>
                <w:lang w:val="cs-CZ"/>
              </w:rPr>
            </w:pPr>
            <w:r w:rsidRPr="007C705C">
              <w:rPr>
                <w:rFonts w:cs="Times New Roman"/>
                <w:sz w:val="18"/>
                <w:szCs w:val="18"/>
                <w:lang w:val="cs-CZ"/>
              </w:rPr>
              <w:t>3708,9</w:t>
            </w:r>
          </w:p>
        </w:tc>
        <w:tc>
          <w:tcPr>
            <w:tcW w:w="488" w:type="pct"/>
            <w:tcBorders>
              <w:top w:val="single" w:sz="4" w:space="0" w:color="auto"/>
              <w:left w:val="nil"/>
              <w:bottom w:val="single" w:sz="4" w:space="0" w:color="auto"/>
              <w:right w:val="single" w:sz="4" w:space="0" w:color="auto"/>
            </w:tcBorders>
            <w:shd w:val="clear" w:color="auto" w:fill="auto"/>
            <w:vAlign w:val="center"/>
            <w:hideMark/>
          </w:tcPr>
          <w:p w14:paraId="7ED922AD" w14:textId="77777777" w:rsidR="003E0F58" w:rsidRPr="007C705C" w:rsidRDefault="003E0F58" w:rsidP="004D2249">
            <w:pPr>
              <w:jc w:val="center"/>
              <w:rPr>
                <w:rFonts w:cs="Times New Roman"/>
                <w:sz w:val="18"/>
                <w:lang w:val="cs-CZ"/>
              </w:rPr>
            </w:pPr>
            <w:r w:rsidRPr="007C705C">
              <w:rPr>
                <w:rFonts w:cs="Times New Roman"/>
                <w:sz w:val="18"/>
                <w:szCs w:val="18"/>
                <w:lang w:val="cs-CZ"/>
              </w:rPr>
              <w:t>3743,0</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6B14500A" w14:textId="77777777" w:rsidR="003E0F58" w:rsidRPr="007C705C" w:rsidRDefault="003E0F58" w:rsidP="004D2249">
            <w:pPr>
              <w:jc w:val="center"/>
              <w:rPr>
                <w:rFonts w:cs="Times New Roman"/>
                <w:sz w:val="18"/>
                <w:lang w:val="cs-CZ"/>
              </w:rPr>
            </w:pPr>
            <w:r w:rsidRPr="007C705C">
              <w:rPr>
                <w:rFonts w:cs="Times New Roman"/>
                <w:sz w:val="18"/>
                <w:szCs w:val="18"/>
                <w:lang w:val="cs-CZ"/>
              </w:rPr>
              <w:t>3828,2</w:t>
            </w:r>
          </w:p>
        </w:tc>
      </w:tr>
    </w:tbl>
    <w:p w14:paraId="55EC71E8" w14:textId="77777777" w:rsidR="003E0F58" w:rsidRPr="007C705C" w:rsidRDefault="003E0F58" w:rsidP="00BC1449">
      <w:pPr>
        <w:pStyle w:val="UZEIZdroj"/>
      </w:pPr>
      <w:r w:rsidRPr="007C705C">
        <w:t>Zdroj: Eurostat, Primary production of energy by resource 1 000 tonnes of oil equivalent Renewable energies</w:t>
      </w:r>
    </w:p>
    <w:p w14:paraId="7501CC75" w14:textId="111CEC2B" w:rsidR="003E0F58" w:rsidRPr="007C705C" w:rsidRDefault="00C51CF2" w:rsidP="00C51CF2">
      <w:pPr>
        <w:pStyle w:val="UZEITaB"/>
      </w:pPr>
      <w:bookmarkStart w:id="203" w:name="_Toc77245820"/>
      <w:r>
        <w:t xml:space="preserve"> </w:t>
      </w:r>
      <w:bookmarkStart w:id="204" w:name="_Toc94181578"/>
      <w:r w:rsidR="003E0F58" w:rsidRPr="007C705C">
        <w:t>Share of the combined production of renewable energy from agricultural and forestry biomass</w:t>
      </w:r>
      <w:bookmarkEnd w:id="203"/>
      <w:bookmarkEnd w:id="204"/>
    </w:p>
    <w:tbl>
      <w:tblPr>
        <w:tblW w:w="98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42"/>
        <w:gridCol w:w="760"/>
        <w:gridCol w:w="760"/>
        <w:gridCol w:w="760"/>
        <w:gridCol w:w="760"/>
        <w:gridCol w:w="760"/>
        <w:gridCol w:w="760"/>
        <w:gridCol w:w="760"/>
        <w:gridCol w:w="760"/>
        <w:gridCol w:w="760"/>
        <w:gridCol w:w="760"/>
        <w:gridCol w:w="760"/>
      </w:tblGrid>
      <w:tr w:rsidR="003E0F58" w:rsidRPr="007C705C" w14:paraId="37CB3BD8" w14:textId="77777777" w:rsidTr="00C51CF2">
        <w:trPr>
          <w:trHeight w:val="220"/>
        </w:trPr>
        <w:tc>
          <w:tcPr>
            <w:tcW w:w="1442" w:type="dxa"/>
            <w:shd w:val="clear" w:color="auto" w:fill="auto"/>
            <w:noWrap/>
            <w:vAlign w:val="center"/>
            <w:hideMark/>
          </w:tcPr>
          <w:p w14:paraId="610D9532" w14:textId="77777777" w:rsidR="003E0F58" w:rsidRPr="007C705C" w:rsidRDefault="003E0F58" w:rsidP="004D2249">
            <w:pPr>
              <w:jc w:val="center"/>
              <w:rPr>
                <w:rFonts w:cs="Times New Roman"/>
                <w:sz w:val="20"/>
                <w:szCs w:val="20"/>
                <w:lang w:val="cs-CZ"/>
              </w:rPr>
            </w:pPr>
          </w:p>
        </w:tc>
        <w:tc>
          <w:tcPr>
            <w:tcW w:w="760" w:type="dxa"/>
            <w:shd w:val="clear" w:color="000000" w:fill="F2F2F2"/>
            <w:vAlign w:val="center"/>
            <w:hideMark/>
          </w:tcPr>
          <w:p w14:paraId="61218032"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2009</w:t>
            </w:r>
          </w:p>
        </w:tc>
        <w:tc>
          <w:tcPr>
            <w:tcW w:w="760" w:type="dxa"/>
            <w:shd w:val="clear" w:color="000000" w:fill="F2F2F2"/>
            <w:vAlign w:val="center"/>
            <w:hideMark/>
          </w:tcPr>
          <w:p w14:paraId="5D3FE09E"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2010</w:t>
            </w:r>
          </w:p>
        </w:tc>
        <w:tc>
          <w:tcPr>
            <w:tcW w:w="760" w:type="dxa"/>
            <w:shd w:val="clear" w:color="000000" w:fill="F2F2F2"/>
            <w:vAlign w:val="center"/>
            <w:hideMark/>
          </w:tcPr>
          <w:p w14:paraId="76990129"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2011</w:t>
            </w:r>
          </w:p>
        </w:tc>
        <w:tc>
          <w:tcPr>
            <w:tcW w:w="760" w:type="dxa"/>
            <w:shd w:val="clear" w:color="000000" w:fill="F2F2F2"/>
            <w:vAlign w:val="center"/>
            <w:hideMark/>
          </w:tcPr>
          <w:p w14:paraId="66CE7415"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2012</w:t>
            </w:r>
          </w:p>
        </w:tc>
        <w:tc>
          <w:tcPr>
            <w:tcW w:w="760" w:type="dxa"/>
            <w:shd w:val="clear" w:color="000000" w:fill="F2F2F2"/>
            <w:vAlign w:val="center"/>
            <w:hideMark/>
          </w:tcPr>
          <w:p w14:paraId="194842F1"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2013</w:t>
            </w:r>
          </w:p>
        </w:tc>
        <w:tc>
          <w:tcPr>
            <w:tcW w:w="760" w:type="dxa"/>
            <w:shd w:val="clear" w:color="000000" w:fill="F2F2F2"/>
            <w:vAlign w:val="center"/>
            <w:hideMark/>
          </w:tcPr>
          <w:p w14:paraId="043CCDF4"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2014</w:t>
            </w:r>
          </w:p>
        </w:tc>
        <w:tc>
          <w:tcPr>
            <w:tcW w:w="760" w:type="dxa"/>
            <w:shd w:val="clear" w:color="000000" w:fill="F2F2F2"/>
            <w:vAlign w:val="center"/>
            <w:hideMark/>
          </w:tcPr>
          <w:p w14:paraId="2BB5B82C"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2015</w:t>
            </w:r>
          </w:p>
        </w:tc>
        <w:tc>
          <w:tcPr>
            <w:tcW w:w="760" w:type="dxa"/>
            <w:shd w:val="clear" w:color="000000" w:fill="F2F2F2"/>
            <w:vAlign w:val="center"/>
            <w:hideMark/>
          </w:tcPr>
          <w:p w14:paraId="7567421A"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2016</w:t>
            </w:r>
          </w:p>
        </w:tc>
        <w:tc>
          <w:tcPr>
            <w:tcW w:w="760" w:type="dxa"/>
            <w:shd w:val="clear" w:color="000000" w:fill="F2F2F2"/>
            <w:vAlign w:val="center"/>
            <w:hideMark/>
          </w:tcPr>
          <w:p w14:paraId="155FE2A6"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2017</w:t>
            </w:r>
          </w:p>
        </w:tc>
        <w:tc>
          <w:tcPr>
            <w:tcW w:w="760" w:type="dxa"/>
            <w:shd w:val="clear" w:color="000000" w:fill="F2F2F2"/>
            <w:vAlign w:val="center"/>
            <w:hideMark/>
          </w:tcPr>
          <w:p w14:paraId="1A86AFE2"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2018</w:t>
            </w:r>
          </w:p>
        </w:tc>
        <w:tc>
          <w:tcPr>
            <w:tcW w:w="760" w:type="dxa"/>
            <w:shd w:val="clear" w:color="000000" w:fill="F2F2F2"/>
            <w:vAlign w:val="center"/>
            <w:hideMark/>
          </w:tcPr>
          <w:p w14:paraId="3C161FB5"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2019</w:t>
            </w:r>
          </w:p>
        </w:tc>
      </w:tr>
      <w:tr w:rsidR="003E0F58" w:rsidRPr="007C705C" w14:paraId="42D81753" w14:textId="77777777" w:rsidTr="00C51CF2">
        <w:trPr>
          <w:trHeight w:val="1541"/>
        </w:trPr>
        <w:tc>
          <w:tcPr>
            <w:tcW w:w="1442" w:type="dxa"/>
            <w:shd w:val="clear" w:color="auto" w:fill="auto"/>
            <w:vAlign w:val="center"/>
            <w:hideMark/>
          </w:tcPr>
          <w:p w14:paraId="0AC3A630" w14:textId="77777777" w:rsidR="003E0F58" w:rsidRPr="004A1EF0" w:rsidRDefault="003E0F58" w:rsidP="004D2249">
            <w:pPr>
              <w:jc w:val="center"/>
              <w:rPr>
                <w:rFonts w:cs="Times New Roman"/>
                <w:color w:val="000000"/>
                <w:sz w:val="20"/>
                <w:szCs w:val="20"/>
                <w:lang w:val="cs-CZ"/>
              </w:rPr>
            </w:pPr>
            <w:r w:rsidRPr="004A1EF0">
              <w:rPr>
                <w:rFonts w:cs="Times New Roman"/>
                <w:color w:val="000000"/>
                <w:sz w:val="20"/>
                <w:szCs w:val="20"/>
                <w:lang w:val="cs-CZ"/>
              </w:rPr>
              <w:t>share of the combined production of renewable energy from agricultural and forestry biomass*</w:t>
            </w:r>
          </w:p>
        </w:tc>
        <w:tc>
          <w:tcPr>
            <w:tcW w:w="760" w:type="dxa"/>
            <w:shd w:val="clear" w:color="auto" w:fill="auto"/>
            <w:noWrap/>
            <w:vAlign w:val="center"/>
            <w:hideMark/>
          </w:tcPr>
          <w:p w14:paraId="0ECB3550" w14:textId="77777777" w:rsidR="003E0F58" w:rsidRPr="007C705C" w:rsidRDefault="003E0F58" w:rsidP="004D2249">
            <w:pPr>
              <w:jc w:val="center"/>
              <w:rPr>
                <w:rFonts w:cs="Times New Roman"/>
                <w:color w:val="000000"/>
                <w:sz w:val="22"/>
                <w:lang w:val="cs-CZ"/>
              </w:rPr>
            </w:pPr>
            <w:r w:rsidRPr="007C705C">
              <w:rPr>
                <w:rFonts w:cs="Times New Roman"/>
                <w:color w:val="000000"/>
                <w:sz w:val="22"/>
                <w:lang w:val="cs-CZ"/>
              </w:rPr>
              <w:t>92%</w:t>
            </w:r>
          </w:p>
        </w:tc>
        <w:tc>
          <w:tcPr>
            <w:tcW w:w="760" w:type="dxa"/>
            <w:shd w:val="clear" w:color="auto" w:fill="auto"/>
            <w:noWrap/>
            <w:vAlign w:val="center"/>
            <w:hideMark/>
          </w:tcPr>
          <w:p w14:paraId="24C9088B" w14:textId="77777777" w:rsidR="003E0F58" w:rsidRPr="007C705C" w:rsidRDefault="003E0F58" w:rsidP="004D2249">
            <w:pPr>
              <w:jc w:val="center"/>
              <w:rPr>
                <w:rFonts w:cs="Times New Roman"/>
                <w:color w:val="000000"/>
                <w:sz w:val="22"/>
                <w:lang w:val="cs-CZ"/>
              </w:rPr>
            </w:pPr>
            <w:r w:rsidRPr="007C705C">
              <w:rPr>
                <w:rFonts w:cs="Times New Roman"/>
                <w:color w:val="000000"/>
                <w:sz w:val="22"/>
                <w:lang w:val="cs-CZ"/>
              </w:rPr>
              <w:t>88%</w:t>
            </w:r>
          </w:p>
        </w:tc>
        <w:tc>
          <w:tcPr>
            <w:tcW w:w="760" w:type="dxa"/>
            <w:shd w:val="clear" w:color="auto" w:fill="auto"/>
            <w:noWrap/>
            <w:vAlign w:val="center"/>
            <w:hideMark/>
          </w:tcPr>
          <w:p w14:paraId="4F59851A" w14:textId="77777777" w:rsidR="003E0F58" w:rsidRPr="007C705C" w:rsidRDefault="003E0F58" w:rsidP="004D2249">
            <w:pPr>
              <w:jc w:val="center"/>
              <w:rPr>
                <w:rFonts w:cs="Times New Roman"/>
                <w:color w:val="000000"/>
                <w:sz w:val="22"/>
                <w:lang w:val="cs-CZ"/>
              </w:rPr>
            </w:pPr>
            <w:r w:rsidRPr="007C705C">
              <w:rPr>
                <w:rFonts w:cs="Times New Roman"/>
                <w:color w:val="000000"/>
                <w:sz w:val="22"/>
                <w:lang w:val="cs-CZ"/>
              </w:rPr>
              <w:t>84%</w:t>
            </w:r>
          </w:p>
        </w:tc>
        <w:tc>
          <w:tcPr>
            <w:tcW w:w="760" w:type="dxa"/>
            <w:shd w:val="clear" w:color="auto" w:fill="auto"/>
            <w:noWrap/>
            <w:vAlign w:val="center"/>
            <w:hideMark/>
          </w:tcPr>
          <w:p w14:paraId="385410A9" w14:textId="77777777" w:rsidR="003E0F58" w:rsidRPr="007C705C" w:rsidRDefault="003E0F58" w:rsidP="004D2249">
            <w:pPr>
              <w:jc w:val="center"/>
              <w:rPr>
                <w:rFonts w:cs="Times New Roman"/>
                <w:color w:val="000000"/>
                <w:sz w:val="22"/>
                <w:lang w:val="cs-CZ"/>
              </w:rPr>
            </w:pPr>
            <w:r w:rsidRPr="007C705C">
              <w:rPr>
                <w:rFonts w:cs="Times New Roman"/>
                <w:color w:val="000000"/>
                <w:sz w:val="22"/>
                <w:lang w:val="cs-CZ"/>
              </w:rPr>
              <w:t>84%</w:t>
            </w:r>
          </w:p>
        </w:tc>
        <w:tc>
          <w:tcPr>
            <w:tcW w:w="760" w:type="dxa"/>
            <w:shd w:val="clear" w:color="auto" w:fill="auto"/>
            <w:noWrap/>
            <w:vAlign w:val="center"/>
            <w:hideMark/>
          </w:tcPr>
          <w:p w14:paraId="0C0FF18C" w14:textId="77777777" w:rsidR="003E0F58" w:rsidRPr="007C705C" w:rsidRDefault="003E0F58" w:rsidP="004D2249">
            <w:pPr>
              <w:jc w:val="center"/>
              <w:rPr>
                <w:rFonts w:cs="Times New Roman"/>
                <w:color w:val="000000"/>
                <w:sz w:val="22"/>
                <w:lang w:val="cs-CZ"/>
              </w:rPr>
            </w:pPr>
            <w:r w:rsidRPr="007C705C">
              <w:rPr>
                <w:rFonts w:cs="Times New Roman"/>
                <w:color w:val="000000"/>
                <w:sz w:val="22"/>
                <w:lang w:val="cs-CZ"/>
              </w:rPr>
              <w:t>85%</w:t>
            </w:r>
          </w:p>
        </w:tc>
        <w:tc>
          <w:tcPr>
            <w:tcW w:w="760" w:type="dxa"/>
            <w:shd w:val="clear" w:color="auto" w:fill="auto"/>
            <w:noWrap/>
            <w:vAlign w:val="center"/>
            <w:hideMark/>
          </w:tcPr>
          <w:p w14:paraId="5AB24CA4" w14:textId="77777777" w:rsidR="003E0F58" w:rsidRPr="007C705C" w:rsidRDefault="003E0F58" w:rsidP="004D2249">
            <w:pPr>
              <w:jc w:val="center"/>
              <w:rPr>
                <w:rFonts w:cs="Times New Roman"/>
                <w:color w:val="000000"/>
                <w:sz w:val="22"/>
                <w:lang w:val="cs-CZ"/>
              </w:rPr>
            </w:pPr>
            <w:r w:rsidRPr="007C705C">
              <w:rPr>
                <w:rFonts w:cs="Times New Roman"/>
                <w:color w:val="000000"/>
                <w:sz w:val="22"/>
                <w:lang w:val="cs-CZ"/>
              </w:rPr>
              <w:t>85%</w:t>
            </w:r>
          </w:p>
        </w:tc>
        <w:tc>
          <w:tcPr>
            <w:tcW w:w="760" w:type="dxa"/>
            <w:shd w:val="clear" w:color="auto" w:fill="auto"/>
            <w:noWrap/>
            <w:vAlign w:val="center"/>
            <w:hideMark/>
          </w:tcPr>
          <w:p w14:paraId="0533260B" w14:textId="77777777" w:rsidR="003E0F58" w:rsidRPr="007C705C" w:rsidRDefault="003E0F58" w:rsidP="004D2249">
            <w:pPr>
              <w:jc w:val="center"/>
              <w:rPr>
                <w:rFonts w:cs="Times New Roman"/>
                <w:color w:val="000000"/>
                <w:sz w:val="22"/>
                <w:lang w:val="cs-CZ"/>
              </w:rPr>
            </w:pPr>
            <w:r w:rsidRPr="007C705C">
              <w:rPr>
                <w:rFonts w:cs="Times New Roman"/>
                <w:color w:val="000000"/>
                <w:sz w:val="22"/>
                <w:lang w:val="cs-CZ"/>
              </w:rPr>
              <w:t>85%</w:t>
            </w:r>
          </w:p>
        </w:tc>
        <w:tc>
          <w:tcPr>
            <w:tcW w:w="760" w:type="dxa"/>
            <w:shd w:val="clear" w:color="auto" w:fill="auto"/>
            <w:noWrap/>
            <w:vAlign w:val="center"/>
            <w:hideMark/>
          </w:tcPr>
          <w:p w14:paraId="16472E25" w14:textId="77777777" w:rsidR="003E0F58" w:rsidRPr="007C705C" w:rsidRDefault="003E0F58" w:rsidP="004D2249">
            <w:pPr>
              <w:jc w:val="center"/>
              <w:rPr>
                <w:rFonts w:cs="Times New Roman"/>
                <w:color w:val="000000"/>
                <w:sz w:val="22"/>
                <w:lang w:val="cs-CZ"/>
              </w:rPr>
            </w:pPr>
            <w:r w:rsidRPr="007C705C">
              <w:rPr>
                <w:rFonts w:cs="Times New Roman"/>
                <w:color w:val="000000"/>
                <w:sz w:val="22"/>
                <w:lang w:val="cs-CZ"/>
              </w:rPr>
              <w:t>84%</w:t>
            </w:r>
          </w:p>
        </w:tc>
        <w:tc>
          <w:tcPr>
            <w:tcW w:w="760" w:type="dxa"/>
            <w:shd w:val="clear" w:color="auto" w:fill="auto"/>
            <w:noWrap/>
            <w:vAlign w:val="center"/>
            <w:hideMark/>
          </w:tcPr>
          <w:p w14:paraId="43C1F31E" w14:textId="77777777" w:rsidR="003E0F58" w:rsidRPr="007C705C" w:rsidRDefault="003E0F58" w:rsidP="004D2249">
            <w:pPr>
              <w:jc w:val="center"/>
              <w:rPr>
                <w:rFonts w:cs="Times New Roman"/>
                <w:color w:val="000000"/>
                <w:sz w:val="22"/>
                <w:lang w:val="cs-CZ"/>
              </w:rPr>
            </w:pPr>
            <w:r w:rsidRPr="007C705C">
              <w:rPr>
                <w:rFonts w:cs="Times New Roman"/>
                <w:color w:val="000000"/>
                <w:sz w:val="22"/>
                <w:lang w:val="cs-CZ"/>
              </w:rPr>
              <w:t>82%</w:t>
            </w:r>
          </w:p>
        </w:tc>
        <w:tc>
          <w:tcPr>
            <w:tcW w:w="760" w:type="dxa"/>
            <w:shd w:val="clear" w:color="auto" w:fill="auto"/>
            <w:noWrap/>
            <w:vAlign w:val="center"/>
            <w:hideMark/>
          </w:tcPr>
          <w:p w14:paraId="0298B027" w14:textId="77777777" w:rsidR="003E0F58" w:rsidRPr="007C705C" w:rsidRDefault="003E0F58" w:rsidP="004D2249">
            <w:pPr>
              <w:jc w:val="center"/>
              <w:rPr>
                <w:rFonts w:cs="Times New Roman"/>
                <w:color w:val="000000"/>
                <w:sz w:val="22"/>
                <w:lang w:val="cs-CZ"/>
              </w:rPr>
            </w:pPr>
            <w:r w:rsidRPr="007C705C">
              <w:rPr>
                <w:rFonts w:cs="Times New Roman"/>
                <w:color w:val="000000"/>
                <w:sz w:val="22"/>
                <w:lang w:val="cs-CZ"/>
              </w:rPr>
              <w:t>84%</w:t>
            </w:r>
          </w:p>
        </w:tc>
        <w:tc>
          <w:tcPr>
            <w:tcW w:w="760" w:type="dxa"/>
            <w:shd w:val="clear" w:color="auto" w:fill="auto"/>
            <w:noWrap/>
            <w:vAlign w:val="center"/>
            <w:hideMark/>
          </w:tcPr>
          <w:p w14:paraId="36AA6B03" w14:textId="77777777" w:rsidR="003E0F58" w:rsidRPr="007C705C" w:rsidRDefault="003E0F58" w:rsidP="004D2249">
            <w:pPr>
              <w:jc w:val="center"/>
              <w:rPr>
                <w:rFonts w:cs="Times New Roman"/>
                <w:color w:val="000000"/>
                <w:sz w:val="22"/>
                <w:lang w:val="cs-CZ"/>
              </w:rPr>
            </w:pPr>
            <w:r w:rsidRPr="007C705C">
              <w:rPr>
                <w:rFonts w:cs="Times New Roman"/>
                <w:color w:val="000000"/>
                <w:sz w:val="22"/>
                <w:lang w:val="cs-CZ"/>
              </w:rPr>
              <w:t>85%</w:t>
            </w:r>
          </w:p>
        </w:tc>
      </w:tr>
    </w:tbl>
    <w:p w14:paraId="7703B5B3" w14:textId="77777777" w:rsidR="003E0F58" w:rsidRPr="007C705C" w:rsidRDefault="003E0F58" w:rsidP="00C51CF2">
      <w:pPr>
        <w:pStyle w:val="UZEIZdroj"/>
      </w:pPr>
      <w:r w:rsidRPr="007C705C">
        <w:t>* over the total primary energy production of renewable energy</w:t>
      </w:r>
    </w:p>
    <w:p w14:paraId="1758DC00" w14:textId="5A9A1EFA" w:rsidR="003E0F58" w:rsidRPr="007C705C" w:rsidRDefault="003E0F58" w:rsidP="00C51CF2">
      <w:pPr>
        <w:pStyle w:val="UZEIZdroj"/>
        <w:rPr>
          <w:rFonts w:eastAsiaTheme="minorEastAsia"/>
        </w:rPr>
      </w:pPr>
      <w:r w:rsidRPr="007C705C">
        <w:rPr>
          <w:rFonts w:eastAsiaTheme="minorEastAsia"/>
        </w:rPr>
        <w:t>Zdroj: Eurostat, Complete energy balances - annual data + dopočet UZEI</w:t>
      </w:r>
    </w:p>
    <w:p w14:paraId="46FCA1A6" w14:textId="77777777" w:rsidR="003E0F58" w:rsidRPr="007C705C" w:rsidRDefault="003E0F58" w:rsidP="003E0F58">
      <w:pPr>
        <w:pStyle w:val="Odstavecseseznamem"/>
        <w:ind w:left="0"/>
        <w:rPr>
          <w:rFonts w:eastAsiaTheme="minorEastAsia"/>
        </w:rPr>
      </w:pPr>
      <w:r w:rsidRPr="007C705C">
        <w:rPr>
          <w:rFonts w:eastAsiaTheme="minorEastAsia"/>
        </w:rPr>
        <w:t>C.44 Spotřeba energie v zemědělství, lesnictví a potravinářství</w:t>
      </w:r>
    </w:p>
    <w:p w14:paraId="6FEAD47D" w14:textId="2446994B" w:rsidR="003E0F58" w:rsidRPr="007C705C" w:rsidRDefault="003E0F58" w:rsidP="003E0F58">
      <w:pPr>
        <w:pStyle w:val="Odstavecseseznamem"/>
        <w:ind w:left="0"/>
        <w:rPr>
          <w:rFonts w:eastAsiaTheme="minorEastAsia"/>
        </w:rPr>
      </w:pPr>
      <w:r w:rsidRPr="007C705C">
        <w:rPr>
          <w:rFonts w:eastAsiaTheme="minorEastAsia"/>
        </w:rPr>
        <w:t>Níže jsou doplněny tabulky charakterizující vývoj spotřeby energií ze zemědělství, lesnictví a potravinářství.</w:t>
      </w:r>
    </w:p>
    <w:p w14:paraId="1EE6BEDE" w14:textId="7C1E6114" w:rsidR="003E0F58" w:rsidRPr="007C705C" w:rsidRDefault="00C51CF2" w:rsidP="00C51CF2">
      <w:pPr>
        <w:pStyle w:val="UZEITaB"/>
      </w:pPr>
      <w:bookmarkStart w:id="205" w:name="_Toc77245821"/>
      <w:r>
        <w:t xml:space="preserve"> </w:t>
      </w:r>
      <w:bookmarkStart w:id="206" w:name="_Toc94181579"/>
      <w:r w:rsidR="003E0F58" w:rsidRPr="007C705C">
        <w:t>Přímá spotřeba energie v </w:t>
      </w:r>
      <w:r w:rsidR="003E0F58" w:rsidRPr="007C705C">
        <w:rPr>
          <w:rFonts w:eastAsiaTheme="minorEastAsia"/>
        </w:rPr>
        <w:t>zemědělství a lesnictví</w:t>
      </w:r>
      <w:r w:rsidR="003E0F58" w:rsidRPr="007C705C">
        <w:t xml:space="preserve"> v ČR v letech 2009 - 2018</w:t>
      </w:r>
      <w:bookmarkEnd w:id="205"/>
      <w:bookmarkEnd w:id="2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15"/>
        <w:gridCol w:w="947"/>
        <w:gridCol w:w="691"/>
        <w:gridCol w:w="691"/>
        <w:gridCol w:w="691"/>
        <w:gridCol w:w="691"/>
        <w:gridCol w:w="691"/>
        <w:gridCol w:w="691"/>
        <w:gridCol w:w="691"/>
        <w:gridCol w:w="691"/>
        <w:gridCol w:w="636"/>
        <w:gridCol w:w="636"/>
      </w:tblGrid>
      <w:tr w:rsidR="003E0F58" w:rsidRPr="007C705C" w14:paraId="3C49D1CD" w14:textId="77777777" w:rsidTr="004D2249">
        <w:trPr>
          <w:trHeight w:val="123"/>
        </w:trPr>
        <w:tc>
          <w:tcPr>
            <w:tcW w:w="726" w:type="pct"/>
            <w:shd w:val="clear" w:color="000000" w:fill="F2F2F2"/>
            <w:vAlign w:val="center"/>
            <w:hideMark/>
          </w:tcPr>
          <w:p w14:paraId="1534FD14" w14:textId="77777777" w:rsidR="003E0F58" w:rsidRPr="007C705C" w:rsidRDefault="003E0F58" w:rsidP="004D2249">
            <w:pPr>
              <w:jc w:val="left"/>
              <w:rPr>
                <w:rFonts w:cs="Times New Roman"/>
                <w:b/>
                <w:bCs/>
                <w:color w:val="000000"/>
                <w:sz w:val="18"/>
                <w:szCs w:val="18"/>
                <w:lang w:val="cs-CZ"/>
              </w:rPr>
            </w:pPr>
            <w:r w:rsidRPr="007C705C">
              <w:rPr>
                <w:rFonts w:cs="Times New Roman"/>
                <w:b/>
                <w:bCs/>
                <w:color w:val="000000"/>
                <w:sz w:val="18"/>
                <w:szCs w:val="18"/>
                <w:lang w:val="cs-CZ"/>
              </w:rPr>
              <w:t>Popis</w:t>
            </w:r>
          </w:p>
        </w:tc>
        <w:tc>
          <w:tcPr>
            <w:tcW w:w="523" w:type="pct"/>
            <w:shd w:val="clear" w:color="000000" w:fill="F2F2F2"/>
            <w:vAlign w:val="center"/>
            <w:hideMark/>
          </w:tcPr>
          <w:p w14:paraId="2CDDA51C"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Jednotka</w:t>
            </w:r>
          </w:p>
        </w:tc>
        <w:tc>
          <w:tcPr>
            <w:tcW w:w="381" w:type="pct"/>
            <w:shd w:val="clear" w:color="000000" w:fill="F2F2F2"/>
            <w:vAlign w:val="center"/>
            <w:hideMark/>
          </w:tcPr>
          <w:p w14:paraId="4E13E987"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2009</w:t>
            </w:r>
          </w:p>
        </w:tc>
        <w:tc>
          <w:tcPr>
            <w:tcW w:w="381" w:type="pct"/>
            <w:shd w:val="clear" w:color="000000" w:fill="F2F2F2"/>
            <w:vAlign w:val="center"/>
            <w:hideMark/>
          </w:tcPr>
          <w:p w14:paraId="6CF2CF62"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2010</w:t>
            </w:r>
          </w:p>
        </w:tc>
        <w:tc>
          <w:tcPr>
            <w:tcW w:w="381" w:type="pct"/>
            <w:shd w:val="clear" w:color="000000" w:fill="F2F2F2"/>
            <w:vAlign w:val="center"/>
            <w:hideMark/>
          </w:tcPr>
          <w:p w14:paraId="3A0ADFA8"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2011</w:t>
            </w:r>
          </w:p>
        </w:tc>
        <w:tc>
          <w:tcPr>
            <w:tcW w:w="381" w:type="pct"/>
            <w:shd w:val="clear" w:color="000000" w:fill="F2F2F2"/>
            <w:vAlign w:val="center"/>
            <w:hideMark/>
          </w:tcPr>
          <w:p w14:paraId="4E331004"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2012</w:t>
            </w:r>
          </w:p>
        </w:tc>
        <w:tc>
          <w:tcPr>
            <w:tcW w:w="381" w:type="pct"/>
            <w:shd w:val="clear" w:color="000000" w:fill="F2F2F2"/>
            <w:vAlign w:val="center"/>
            <w:hideMark/>
          </w:tcPr>
          <w:p w14:paraId="17FA3715"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2013</w:t>
            </w:r>
          </w:p>
        </w:tc>
        <w:tc>
          <w:tcPr>
            <w:tcW w:w="381" w:type="pct"/>
            <w:shd w:val="clear" w:color="000000" w:fill="F2F2F2"/>
            <w:vAlign w:val="center"/>
            <w:hideMark/>
          </w:tcPr>
          <w:p w14:paraId="751FDAFF"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2014</w:t>
            </w:r>
          </w:p>
        </w:tc>
        <w:tc>
          <w:tcPr>
            <w:tcW w:w="381" w:type="pct"/>
            <w:shd w:val="clear" w:color="000000" w:fill="F2F2F2"/>
            <w:vAlign w:val="center"/>
            <w:hideMark/>
          </w:tcPr>
          <w:p w14:paraId="62215595"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2015</w:t>
            </w:r>
          </w:p>
        </w:tc>
        <w:tc>
          <w:tcPr>
            <w:tcW w:w="381" w:type="pct"/>
            <w:shd w:val="clear" w:color="000000" w:fill="F2F2F2"/>
            <w:vAlign w:val="center"/>
            <w:hideMark/>
          </w:tcPr>
          <w:p w14:paraId="33DD132A"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2016</w:t>
            </w:r>
          </w:p>
        </w:tc>
        <w:tc>
          <w:tcPr>
            <w:tcW w:w="351" w:type="pct"/>
            <w:shd w:val="clear" w:color="000000" w:fill="F2F2F2"/>
            <w:vAlign w:val="center"/>
            <w:hideMark/>
          </w:tcPr>
          <w:p w14:paraId="43350A86"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2017</w:t>
            </w:r>
          </w:p>
        </w:tc>
        <w:tc>
          <w:tcPr>
            <w:tcW w:w="351" w:type="pct"/>
            <w:shd w:val="clear" w:color="000000" w:fill="F2F2F2"/>
            <w:vAlign w:val="center"/>
            <w:hideMark/>
          </w:tcPr>
          <w:p w14:paraId="64E18F78"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2018</w:t>
            </w:r>
          </w:p>
        </w:tc>
      </w:tr>
      <w:tr w:rsidR="003E0F58" w:rsidRPr="007C705C" w14:paraId="7C5571EE" w14:textId="77777777" w:rsidTr="004D2249">
        <w:trPr>
          <w:trHeight w:val="185"/>
        </w:trPr>
        <w:tc>
          <w:tcPr>
            <w:tcW w:w="726" w:type="pct"/>
            <w:shd w:val="clear" w:color="auto" w:fill="auto"/>
            <w:vAlign w:val="center"/>
            <w:hideMark/>
          </w:tcPr>
          <w:p w14:paraId="77026BD4" w14:textId="77777777" w:rsidR="003E0F58" w:rsidRPr="007C705C" w:rsidRDefault="003E0F58" w:rsidP="004D2249">
            <w:pPr>
              <w:jc w:val="left"/>
              <w:rPr>
                <w:rFonts w:cs="Times New Roman"/>
                <w:sz w:val="18"/>
                <w:szCs w:val="18"/>
                <w:lang w:val="cs-CZ"/>
              </w:rPr>
            </w:pPr>
            <w:r w:rsidRPr="007C705C">
              <w:rPr>
                <w:rFonts w:cs="Times New Roman"/>
                <w:sz w:val="18"/>
                <w:szCs w:val="18"/>
                <w:lang w:val="cs-CZ"/>
              </w:rPr>
              <w:lastRenderedPageBreak/>
              <w:t>Přímá spotřeba energie v zemědělství a lesnictví</w:t>
            </w:r>
          </w:p>
        </w:tc>
        <w:tc>
          <w:tcPr>
            <w:tcW w:w="523" w:type="pct"/>
            <w:shd w:val="clear" w:color="auto" w:fill="auto"/>
            <w:vAlign w:val="center"/>
            <w:hideMark/>
          </w:tcPr>
          <w:p w14:paraId="32EF935C" w14:textId="77777777" w:rsidR="003E0F58" w:rsidRPr="007C705C" w:rsidRDefault="003E0F58" w:rsidP="004D2249">
            <w:pPr>
              <w:jc w:val="center"/>
              <w:rPr>
                <w:rFonts w:cs="Times New Roman"/>
                <w:sz w:val="18"/>
                <w:szCs w:val="18"/>
                <w:lang w:val="cs-CZ"/>
              </w:rPr>
            </w:pPr>
            <w:r w:rsidRPr="007C705C">
              <w:rPr>
                <w:rFonts w:cs="Times New Roman"/>
                <w:sz w:val="18"/>
                <w:szCs w:val="18"/>
                <w:lang w:val="cs-CZ"/>
              </w:rPr>
              <w:t>kToe</w:t>
            </w:r>
          </w:p>
        </w:tc>
        <w:tc>
          <w:tcPr>
            <w:tcW w:w="381" w:type="pct"/>
            <w:shd w:val="clear" w:color="auto" w:fill="auto"/>
            <w:vAlign w:val="center"/>
            <w:hideMark/>
          </w:tcPr>
          <w:p w14:paraId="2BF50744" w14:textId="77777777" w:rsidR="003E0F58" w:rsidRPr="007C705C" w:rsidRDefault="003E0F58" w:rsidP="004D2249">
            <w:pPr>
              <w:jc w:val="center"/>
              <w:rPr>
                <w:rFonts w:cs="Times New Roman"/>
                <w:sz w:val="20"/>
                <w:lang w:val="cs-CZ"/>
              </w:rPr>
            </w:pPr>
            <w:r w:rsidRPr="007C705C">
              <w:rPr>
                <w:rFonts w:cs="Times New Roman"/>
                <w:sz w:val="20"/>
                <w:lang w:val="cs-CZ"/>
              </w:rPr>
              <w:t>513,4</w:t>
            </w:r>
          </w:p>
        </w:tc>
        <w:tc>
          <w:tcPr>
            <w:tcW w:w="381" w:type="pct"/>
            <w:shd w:val="clear" w:color="auto" w:fill="auto"/>
            <w:vAlign w:val="center"/>
            <w:hideMark/>
          </w:tcPr>
          <w:p w14:paraId="7224832F" w14:textId="77777777" w:rsidR="003E0F58" w:rsidRPr="007C705C" w:rsidRDefault="003E0F58" w:rsidP="004D2249">
            <w:pPr>
              <w:jc w:val="center"/>
              <w:rPr>
                <w:rFonts w:cs="Times New Roman"/>
                <w:sz w:val="20"/>
                <w:lang w:val="cs-CZ"/>
              </w:rPr>
            </w:pPr>
            <w:r w:rsidRPr="007C705C">
              <w:rPr>
                <w:rFonts w:cs="Times New Roman"/>
                <w:sz w:val="18"/>
                <w:szCs w:val="18"/>
                <w:lang w:val="cs-CZ"/>
              </w:rPr>
              <w:t>546,0</w:t>
            </w:r>
          </w:p>
        </w:tc>
        <w:tc>
          <w:tcPr>
            <w:tcW w:w="381" w:type="pct"/>
            <w:shd w:val="clear" w:color="auto" w:fill="auto"/>
            <w:vAlign w:val="center"/>
            <w:hideMark/>
          </w:tcPr>
          <w:p w14:paraId="7DC986D9" w14:textId="77777777" w:rsidR="003E0F58" w:rsidRPr="007C705C" w:rsidRDefault="003E0F58" w:rsidP="004D2249">
            <w:pPr>
              <w:jc w:val="center"/>
              <w:rPr>
                <w:rFonts w:cs="Times New Roman"/>
                <w:sz w:val="20"/>
                <w:lang w:val="cs-CZ"/>
              </w:rPr>
            </w:pPr>
            <w:r w:rsidRPr="007C705C">
              <w:rPr>
                <w:rFonts w:cs="Times New Roman"/>
                <w:sz w:val="18"/>
                <w:szCs w:val="18"/>
                <w:lang w:val="cs-CZ"/>
              </w:rPr>
              <w:t>547,9</w:t>
            </w:r>
          </w:p>
        </w:tc>
        <w:tc>
          <w:tcPr>
            <w:tcW w:w="381" w:type="pct"/>
            <w:shd w:val="clear" w:color="auto" w:fill="auto"/>
            <w:vAlign w:val="center"/>
            <w:hideMark/>
          </w:tcPr>
          <w:p w14:paraId="37473EE0" w14:textId="77777777" w:rsidR="003E0F58" w:rsidRPr="007C705C" w:rsidRDefault="003E0F58" w:rsidP="004D2249">
            <w:pPr>
              <w:jc w:val="center"/>
              <w:rPr>
                <w:rFonts w:cs="Times New Roman"/>
                <w:sz w:val="20"/>
                <w:lang w:val="cs-CZ"/>
              </w:rPr>
            </w:pPr>
            <w:r w:rsidRPr="007C705C">
              <w:rPr>
                <w:rFonts w:cs="Times New Roman"/>
                <w:sz w:val="20"/>
                <w:lang w:val="cs-CZ"/>
              </w:rPr>
              <w:t>563,5</w:t>
            </w:r>
          </w:p>
        </w:tc>
        <w:tc>
          <w:tcPr>
            <w:tcW w:w="381" w:type="pct"/>
            <w:shd w:val="clear" w:color="auto" w:fill="auto"/>
            <w:vAlign w:val="center"/>
            <w:hideMark/>
          </w:tcPr>
          <w:p w14:paraId="4343DD95" w14:textId="77777777" w:rsidR="003E0F58" w:rsidRPr="007C705C" w:rsidRDefault="003E0F58" w:rsidP="004D2249">
            <w:pPr>
              <w:jc w:val="center"/>
              <w:rPr>
                <w:rFonts w:cs="Times New Roman"/>
                <w:sz w:val="20"/>
                <w:lang w:val="cs-CZ"/>
              </w:rPr>
            </w:pPr>
            <w:r w:rsidRPr="007C705C">
              <w:rPr>
                <w:rFonts w:cs="Times New Roman"/>
                <w:sz w:val="20"/>
                <w:lang w:val="cs-CZ"/>
              </w:rPr>
              <w:t>609,9</w:t>
            </w:r>
          </w:p>
        </w:tc>
        <w:tc>
          <w:tcPr>
            <w:tcW w:w="381" w:type="pct"/>
            <w:shd w:val="clear" w:color="auto" w:fill="auto"/>
            <w:vAlign w:val="center"/>
            <w:hideMark/>
          </w:tcPr>
          <w:p w14:paraId="1D987E8A" w14:textId="77777777" w:rsidR="003E0F58" w:rsidRPr="007C705C" w:rsidRDefault="003E0F58" w:rsidP="004D2249">
            <w:pPr>
              <w:jc w:val="center"/>
              <w:rPr>
                <w:rFonts w:cs="Times New Roman"/>
                <w:sz w:val="20"/>
                <w:lang w:val="cs-CZ"/>
              </w:rPr>
            </w:pPr>
            <w:r w:rsidRPr="007C705C">
              <w:rPr>
                <w:rFonts w:cs="Times New Roman"/>
                <w:sz w:val="18"/>
                <w:szCs w:val="18"/>
                <w:lang w:val="cs-CZ"/>
              </w:rPr>
              <w:t>615,1</w:t>
            </w:r>
          </w:p>
        </w:tc>
        <w:tc>
          <w:tcPr>
            <w:tcW w:w="381" w:type="pct"/>
            <w:shd w:val="clear" w:color="auto" w:fill="auto"/>
            <w:vAlign w:val="center"/>
            <w:hideMark/>
          </w:tcPr>
          <w:p w14:paraId="7E3B2CB3" w14:textId="77777777" w:rsidR="003E0F58" w:rsidRPr="007C705C" w:rsidRDefault="003E0F58" w:rsidP="004D2249">
            <w:pPr>
              <w:jc w:val="center"/>
              <w:rPr>
                <w:rFonts w:cs="Times New Roman"/>
                <w:sz w:val="20"/>
                <w:lang w:val="cs-CZ"/>
              </w:rPr>
            </w:pPr>
            <w:r w:rsidRPr="007C705C">
              <w:rPr>
                <w:rFonts w:cs="Times New Roman"/>
                <w:sz w:val="18"/>
                <w:szCs w:val="18"/>
                <w:lang w:val="cs-CZ"/>
              </w:rPr>
              <w:t>606,8</w:t>
            </w:r>
          </w:p>
        </w:tc>
        <w:tc>
          <w:tcPr>
            <w:tcW w:w="381" w:type="pct"/>
            <w:shd w:val="clear" w:color="auto" w:fill="auto"/>
            <w:vAlign w:val="center"/>
            <w:hideMark/>
          </w:tcPr>
          <w:p w14:paraId="3F2ED48D" w14:textId="77777777" w:rsidR="003E0F58" w:rsidRPr="007C705C" w:rsidRDefault="003E0F58" w:rsidP="004D2249">
            <w:pPr>
              <w:jc w:val="center"/>
              <w:rPr>
                <w:rFonts w:cs="Times New Roman"/>
                <w:sz w:val="20"/>
                <w:lang w:val="cs-CZ"/>
              </w:rPr>
            </w:pPr>
            <w:r w:rsidRPr="007C705C">
              <w:rPr>
                <w:rFonts w:cs="Times New Roman"/>
                <w:sz w:val="18"/>
                <w:szCs w:val="18"/>
                <w:lang w:val="cs-CZ"/>
              </w:rPr>
              <w:t>640,6</w:t>
            </w:r>
          </w:p>
        </w:tc>
        <w:tc>
          <w:tcPr>
            <w:tcW w:w="351" w:type="pct"/>
            <w:shd w:val="clear" w:color="auto" w:fill="auto"/>
            <w:vAlign w:val="center"/>
            <w:hideMark/>
          </w:tcPr>
          <w:p w14:paraId="029CF314" w14:textId="77777777" w:rsidR="003E0F58" w:rsidRPr="007C705C" w:rsidRDefault="003E0F58" w:rsidP="004D2249">
            <w:pPr>
              <w:jc w:val="center"/>
              <w:rPr>
                <w:rFonts w:cs="Times New Roman"/>
                <w:sz w:val="18"/>
                <w:lang w:val="cs-CZ"/>
              </w:rPr>
            </w:pPr>
            <w:r w:rsidRPr="007C705C">
              <w:rPr>
                <w:rFonts w:cs="Times New Roman"/>
                <w:sz w:val="18"/>
                <w:szCs w:val="18"/>
                <w:lang w:val="cs-CZ"/>
              </w:rPr>
              <w:t>639,5</w:t>
            </w:r>
          </w:p>
        </w:tc>
        <w:tc>
          <w:tcPr>
            <w:tcW w:w="351" w:type="pct"/>
            <w:shd w:val="clear" w:color="auto" w:fill="auto"/>
            <w:vAlign w:val="center"/>
            <w:hideMark/>
          </w:tcPr>
          <w:p w14:paraId="5A25EF2D" w14:textId="77777777" w:rsidR="003E0F58" w:rsidRPr="007C705C" w:rsidRDefault="003E0F58" w:rsidP="004D2249">
            <w:pPr>
              <w:jc w:val="center"/>
              <w:rPr>
                <w:rFonts w:cs="Times New Roman"/>
                <w:sz w:val="18"/>
                <w:lang w:val="cs-CZ"/>
              </w:rPr>
            </w:pPr>
            <w:r w:rsidRPr="007C705C">
              <w:rPr>
                <w:rFonts w:cs="Times New Roman"/>
                <w:sz w:val="18"/>
                <w:szCs w:val="18"/>
                <w:lang w:val="cs-CZ"/>
              </w:rPr>
              <w:t>619,4</w:t>
            </w:r>
          </w:p>
        </w:tc>
      </w:tr>
    </w:tbl>
    <w:p w14:paraId="360BD818" w14:textId="4329761E" w:rsidR="003E0F58" w:rsidRPr="00C51CF2" w:rsidRDefault="003E0F58" w:rsidP="00C51CF2">
      <w:pPr>
        <w:pStyle w:val="UZEIZdroj"/>
      </w:pPr>
      <w:r w:rsidRPr="007C705C">
        <w:t>Zdroj: Eurostat, Final energy consumption by sector, 1 000 tonnes of oil equivalent, Agriculture/Forestry</w:t>
      </w:r>
    </w:p>
    <w:p w14:paraId="358A501B" w14:textId="5E6DEC98" w:rsidR="003E0F58" w:rsidRPr="007C705C" w:rsidRDefault="003E0F58" w:rsidP="003E0F58">
      <w:pPr>
        <w:pStyle w:val="Odstavecseseznamem"/>
        <w:ind w:left="0"/>
        <w:rPr>
          <w:rFonts w:eastAsiaTheme="minorEastAsia"/>
        </w:rPr>
      </w:pPr>
      <w:r w:rsidRPr="007C705C">
        <w:rPr>
          <w:rFonts w:eastAsiaTheme="minorEastAsia"/>
        </w:rPr>
        <w:t>Podíl zemědělství a lesnictví na celkové konečné spotřebě energie</w:t>
      </w:r>
    </w:p>
    <w:p w14:paraId="162FF68D" w14:textId="1F737E22" w:rsidR="003E0F58" w:rsidRPr="007C705C" w:rsidRDefault="00C51CF2" w:rsidP="00C51CF2">
      <w:pPr>
        <w:pStyle w:val="UZEITaB"/>
      </w:pPr>
      <w:bookmarkStart w:id="207" w:name="_Toc77245822"/>
      <w:r>
        <w:t xml:space="preserve">  </w:t>
      </w:r>
      <w:bookmarkStart w:id="208" w:name="_Toc94181580"/>
      <w:r w:rsidR="003E0F58" w:rsidRPr="007C705C">
        <w:t xml:space="preserve">Podíl </w:t>
      </w:r>
      <w:r w:rsidR="003E0F58" w:rsidRPr="007C705C">
        <w:rPr>
          <w:rFonts w:eastAsiaTheme="minorEastAsia"/>
        </w:rPr>
        <w:t>zemědělství a lesnictví</w:t>
      </w:r>
      <w:r w:rsidR="003E0F58" w:rsidRPr="007C705C">
        <w:t xml:space="preserve"> na celkové konečné spotřebě energie v ČR v letech 2009 - 2018</w:t>
      </w:r>
      <w:bookmarkEnd w:id="207"/>
      <w:bookmarkEnd w:id="20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03"/>
        <w:gridCol w:w="1003"/>
        <w:gridCol w:w="658"/>
        <w:gridCol w:w="658"/>
        <w:gridCol w:w="658"/>
        <w:gridCol w:w="658"/>
        <w:gridCol w:w="658"/>
        <w:gridCol w:w="658"/>
        <w:gridCol w:w="658"/>
        <w:gridCol w:w="658"/>
        <w:gridCol w:w="649"/>
        <w:gridCol w:w="643"/>
      </w:tblGrid>
      <w:tr w:rsidR="003E0F58" w:rsidRPr="007C705C" w14:paraId="5C137E3A" w14:textId="77777777" w:rsidTr="004D2249">
        <w:trPr>
          <w:trHeight w:val="114"/>
        </w:trPr>
        <w:tc>
          <w:tcPr>
            <w:tcW w:w="829" w:type="pct"/>
            <w:shd w:val="clear" w:color="000000" w:fill="F2F2F2"/>
            <w:vAlign w:val="center"/>
            <w:hideMark/>
          </w:tcPr>
          <w:p w14:paraId="4912316D" w14:textId="77777777" w:rsidR="003E0F58" w:rsidRPr="007C705C" w:rsidRDefault="003E0F58" w:rsidP="004D2249">
            <w:pPr>
              <w:jc w:val="left"/>
              <w:rPr>
                <w:rFonts w:cs="Times New Roman"/>
                <w:b/>
                <w:bCs/>
                <w:color w:val="000000"/>
                <w:sz w:val="18"/>
                <w:szCs w:val="18"/>
                <w:lang w:val="cs-CZ"/>
              </w:rPr>
            </w:pPr>
            <w:r w:rsidRPr="007C705C">
              <w:rPr>
                <w:rFonts w:cs="Times New Roman"/>
                <w:b/>
                <w:bCs/>
                <w:color w:val="000000"/>
                <w:sz w:val="18"/>
                <w:szCs w:val="18"/>
                <w:lang w:val="cs-CZ"/>
              </w:rPr>
              <w:t>Popis</w:t>
            </w:r>
          </w:p>
        </w:tc>
        <w:tc>
          <w:tcPr>
            <w:tcW w:w="553" w:type="pct"/>
            <w:shd w:val="clear" w:color="000000" w:fill="F2F2F2"/>
            <w:vAlign w:val="center"/>
            <w:hideMark/>
          </w:tcPr>
          <w:p w14:paraId="59FEF0E5"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Jednotka</w:t>
            </w:r>
          </w:p>
        </w:tc>
        <w:tc>
          <w:tcPr>
            <w:tcW w:w="363" w:type="pct"/>
            <w:shd w:val="clear" w:color="000000" w:fill="F2F2F2"/>
            <w:vAlign w:val="center"/>
            <w:hideMark/>
          </w:tcPr>
          <w:p w14:paraId="246C7A47"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2009</w:t>
            </w:r>
          </w:p>
        </w:tc>
        <w:tc>
          <w:tcPr>
            <w:tcW w:w="363" w:type="pct"/>
            <w:shd w:val="clear" w:color="000000" w:fill="F2F2F2"/>
            <w:vAlign w:val="center"/>
            <w:hideMark/>
          </w:tcPr>
          <w:p w14:paraId="709BBDA6"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2010</w:t>
            </w:r>
          </w:p>
        </w:tc>
        <w:tc>
          <w:tcPr>
            <w:tcW w:w="363" w:type="pct"/>
            <w:shd w:val="clear" w:color="000000" w:fill="F2F2F2"/>
            <w:vAlign w:val="center"/>
            <w:hideMark/>
          </w:tcPr>
          <w:p w14:paraId="21C76A90"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2011</w:t>
            </w:r>
          </w:p>
        </w:tc>
        <w:tc>
          <w:tcPr>
            <w:tcW w:w="363" w:type="pct"/>
            <w:shd w:val="clear" w:color="000000" w:fill="F2F2F2"/>
            <w:vAlign w:val="center"/>
            <w:hideMark/>
          </w:tcPr>
          <w:p w14:paraId="7A4FE775"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2012</w:t>
            </w:r>
          </w:p>
        </w:tc>
        <w:tc>
          <w:tcPr>
            <w:tcW w:w="363" w:type="pct"/>
            <w:shd w:val="clear" w:color="000000" w:fill="F2F2F2"/>
            <w:vAlign w:val="center"/>
            <w:hideMark/>
          </w:tcPr>
          <w:p w14:paraId="666F68D7"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2013</w:t>
            </w:r>
          </w:p>
        </w:tc>
        <w:tc>
          <w:tcPr>
            <w:tcW w:w="363" w:type="pct"/>
            <w:shd w:val="clear" w:color="000000" w:fill="F2F2F2"/>
            <w:vAlign w:val="center"/>
            <w:hideMark/>
          </w:tcPr>
          <w:p w14:paraId="5B15EB54"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2014</w:t>
            </w:r>
          </w:p>
        </w:tc>
        <w:tc>
          <w:tcPr>
            <w:tcW w:w="363" w:type="pct"/>
            <w:shd w:val="clear" w:color="000000" w:fill="F2F2F2"/>
            <w:vAlign w:val="center"/>
            <w:hideMark/>
          </w:tcPr>
          <w:p w14:paraId="72F1CC94"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2015</w:t>
            </w:r>
          </w:p>
        </w:tc>
        <w:tc>
          <w:tcPr>
            <w:tcW w:w="363" w:type="pct"/>
            <w:shd w:val="clear" w:color="000000" w:fill="F2F2F2"/>
            <w:vAlign w:val="center"/>
            <w:hideMark/>
          </w:tcPr>
          <w:p w14:paraId="41424C84" w14:textId="77777777" w:rsidR="003E0F58" w:rsidRPr="007C705C" w:rsidRDefault="003E0F58" w:rsidP="004D2249">
            <w:pPr>
              <w:jc w:val="center"/>
              <w:rPr>
                <w:rFonts w:cs="Times New Roman"/>
                <w:b/>
                <w:bCs/>
                <w:color w:val="000000"/>
                <w:sz w:val="18"/>
                <w:szCs w:val="18"/>
                <w:lang w:val="cs-CZ"/>
              </w:rPr>
            </w:pPr>
            <w:r w:rsidRPr="007C705C">
              <w:rPr>
                <w:rFonts w:cs="Times New Roman"/>
                <w:lang w:val="cs-CZ"/>
              </w:rPr>
              <w:t>2016</w:t>
            </w:r>
          </w:p>
        </w:tc>
        <w:tc>
          <w:tcPr>
            <w:tcW w:w="358" w:type="pct"/>
            <w:shd w:val="clear" w:color="000000" w:fill="F2F2F2"/>
            <w:vAlign w:val="center"/>
            <w:hideMark/>
          </w:tcPr>
          <w:p w14:paraId="277E3C72"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2017</w:t>
            </w:r>
          </w:p>
        </w:tc>
        <w:tc>
          <w:tcPr>
            <w:tcW w:w="355" w:type="pct"/>
            <w:shd w:val="clear" w:color="000000" w:fill="F2F2F2"/>
            <w:vAlign w:val="center"/>
            <w:hideMark/>
          </w:tcPr>
          <w:p w14:paraId="30E1A8BF"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2018</w:t>
            </w:r>
          </w:p>
        </w:tc>
      </w:tr>
      <w:tr w:rsidR="003E0F58" w:rsidRPr="007C705C" w14:paraId="6F9C60B1" w14:textId="77777777" w:rsidTr="004D2249">
        <w:trPr>
          <w:trHeight w:val="171"/>
        </w:trPr>
        <w:tc>
          <w:tcPr>
            <w:tcW w:w="829" w:type="pct"/>
            <w:shd w:val="clear" w:color="auto" w:fill="auto"/>
            <w:vAlign w:val="center"/>
            <w:hideMark/>
          </w:tcPr>
          <w:p w14:paraId="72DE64EA" w14:textId="77777777" w:rsidR="003E0F58" w:rsidRPr="007C705C" w:rsidRDefault="003E0F58" w:rsidP="004D2249">
            <w:pPr>
              <w:jc w:val="left"/>
              <w:rPr>
                <w:rFonts w:cs="Times New Roman"/>
                <w:sz w:val="18"/>
                <w:szCs w:val="18"/>
                <w:lang w:val="cs-CZ"/>
              </w:rPr>
            </w:pPr>
            <w:r w:rsidRPr="007C705C">
              <w:rPr>
                <w:rFonts w:cs="Times New Roman"/>
                <w:sz w:val="18"/>
                <w:szCs w:val="18"/>
                <w:lang w:val="cs-CZ"/>
              </w:rPr>
              <w:t>Podíl zemědělství a lesnictví na celkové konečné spotřebě energie</w:t>
            </w:r>
          </w:p>
        </w:tc>
        <w:tc>
          <w:tcPr>
            <w:tcW w:w="553" w:type="pct"/>
            <w:shd w:val="clear" w:color="auto" w:fill="auto"/>
            <w:vAlign w:val="center"/>
            <w:hideMark/>
          </w:tcPr>
          <w:p w14:paraId="58D249C9" w14:textId="77777777" w:rsidR="003E0F58" w:rsidRPr="007C705C" w:rsidRDefault="003E0F58" w:rsidP="004D2249">
            <w:pPr>
              <w:jc w:val="center"/>
              <w:rPr>
                <w:rFonts w:cs="Times New Roman"/>
                <w:sz w:val="18"/>
                <w:szCs w:val="18"/>
                <w:lang w:val="cs-CZ"/>
              </w:rPr>
            </w:pPr>
            <w:r w:rsidRPr="007C705C">
              <w:rPr>
                <w:rFonts w:cs="Times New Roman"/>
                <w:sz w:val="18"/>
                <w:szCs w:val="18"/>
                <w:lang w:val="cs-CZ"/>
              </w:rPr>
              <w:t>% z celkové spotřeby energie</w:t>
            </w:r>
          </w:p>
        </w:tc>
        <w:tc>
          <w:tcPr>
            <w:tcW w:w="363" w:type="pct"/>
            <w:shd w:val="clear" w:color="auto" w:fill="auto"/>
            <w:vAlign w:val="center"/>
            <w:hideMark/>
          </w:tcPr>
          <w:p w14:paraId="166589B3" w14:textId="77777777" w:rsidR="003E0F58" w:rsidRPr="007C705C" w:rsidRDefault="003E0F58" w:rsidP="004D2249">
            <w:pPr>
              <w:jc w:val="center"/>
              <w:rPr>
                <w:rFonts w:cs="Times New Roman"/>
                <w:sz w:val="18"/>
                <w:lang w:val="cs-CZ"/>
              </w:rPr>
            </w:pPr>
            <w:r w:rsidRPr="007C705C">
              <w:rPr>
                <w:rFonts w:cs="Times New Roman"/>
                <w:sz w:val="18"/>
                <w:lang w:val="cs-CZ"/>
              </w:rPr>
              <w:t>2,</w:t>
            </w:r>
            <w:r w:rsidRPr="007C705C">
              <w:rPr>
                <w:rFonts w:cs="Times New Roman"/>
                <w:sz w:val="18"/>
                <w:szCs w:val="18"/>
                <w:lang w:val="cs-CZ"/>
              </w:rPr>
              <w:t>2</w:t>
            </w:r>
          </w:p>
        </w:tc>
        <w:tc>
          <w:tcPr>
            <w:tcW w:w="363" w:type="pct"/>
            <w:shd w:val="clear" w:color="auto" w:fill="auto"/>
            <w:vAlign w:val="center"/>
            <w:hideMark/>
          </w:tcPr>
          <w:p w14:paraId="50605E29" w14:textId="77777777" w:rsidR="003E0F58" w:rsidRPr="007C705C" w:rsidRDefault="003E0F58" w:rsidP="004D2249">
            <w:pPr>
              <w:jc w:val="center"/>
              <w:rPr>
                <w:rFonts w:cs="Times New Roman"/>
                <w:sz w:val="18"/>
                <w:lang w:val="cs-CZ"/>
              </w:rPr>
            </w:pPr>
            <w:r w:rsidRPr="007C705C">
              <w:rPr>
                <w:rFonts w:cs="Times New Roman"/>
                <w:sz w:val="18"/>
                <w:lang w:val="cs-CZ"/>
              </w:rPr>
              <w:t>2,</w:t>
            </w:r>
            <w:r w:rsidRPr="007C705C">
              <w:rPr>
                <w:rFonts w:cs="Times New Roman"/>
                <w:sz w:val="18"/>
                <w:szCs w:val="18"/>
                <w:lang w:val="cs-CZ"/>
              </w:rPr>
              <w:t>3</w:t>
            </w:r>
          </w:p>
        </w:tc>
        <w:tc>
          <w:tcPr>
            <w:tcW w:w="363" w:type="pct"/>
            <w:shd w:val="clear" w:color="auto" w:fill="auto"/>
            <w:vAlign w:val="center"/>
            <w:hideMark/>
          </w:tcPr>
          <w:p w14:paraId="1C092556" w14:textId="77777777" w:rsidR="003E0F58" w:rsidRPr="007C705C" w:rsidRDefault="003E0F58" w:rsidP="004D2249">
            <w:pPr>
              <w:jc w:val="center"/>
              <w:rPr>
                <w:rFonts w:cs="Times New Roman"/>
                <w:sz w:val="18"/>
                <w:lang w:val="cs-CZ"/>
              </w:rPr>
            </w:pPr>
            <w:r w:rsidRPr="007C705C">
              <w:rPr>
                <w:rFonts w:cs="Times New Roman"/>
                <w:sz w:val="18"/>
                <w:lang w:val="cs-CZ"/>
              </w:rPr>
              <w:t>2,</w:t>
            </w:r>
            <w:r w:rsidRPr="007C705C">
              <w:rPr>
                <w:rFonts w:cs="Times New Roman"/>
                <w:sz w:val="18"/>
                <w:szCs w:val="18"/>
                <w:lang w:val="cs-CZ"/>
              </w:rPr>
              <w:t>3</w:t>
            </w:r>
          </w:p>
        </w:tc>
        <w:tc>
          <w:tcPr>
            <w:tcW w:w="363" w:type="pct"/>
            <w:shd w:val="clear" w:color="auto" w:fill="auto"/>
            <w:vAlign w:val="center"/>
            <w:hideMark/>
          </w:tcPr>
          <w:p w14:paraId="25EA10F0" w14:textId="77777777" w:rsidR="003E0F58" w:rsidRPr="007C705C" w:rsidRDefault="003E0F58" w:rsidP="004D2249">
            <w:pPr>
              <w:jc w:val="center"/>
              <w:rPr>
                <w:rFonts w:cs="Times New Roman"/>
                <w:sz w:val="18"/>
                <w:lang w:val="cs-CZ"/>
              </w:rPr>
            </w:pPr>
            <w:r w:rsidRPr="007C705C">
              <w:rPr>
                <w:rFonts w:cs="Times New Roman"/>
                <w:sz w:val="18"/>
                <w:lang w:val="cs-CZ"/>
              </w:rPr>
              <w:t>2,</w:t>
            </w:r>
            <w:r w:rsidRPr="007C705C">
              <w:rPr>
                <w:rFonts w:cs="Times New Roman"/>
                <w:sz w:val="18"/>
                <w:szCs w:val="18"/>
                <w:lang w:val="cs-CZ"/>
              </w:rPr>
              <w:t>4</w:t>
            </w:r>
          </w:p>
        </w:tc>
        <w:tc>
          <w:tcPr>
            <w:tcW w:w="363" w:type="pct"/>
            <w:shd w:val="clear" w:color="auto" w:fill="auto"/>
            <w:vAlign w:val="center"/>
            <w:hideMark/>
          </w:tcPr>
          <w:p w14:paraId="1F987F9C" w14:textId="77777777" w:rsidR="003E0F58" w:rsidRPr="007C705C" w:rsidRDefault="003E0F58" w:rsidP="004D2249">
            <w:pPr>
              <w:jc w:val="center"/>
              <w:rPr>
                <w:rFonts w:cs="Times New Roman"/>
                <w:sz w:val="18"/>
                <w:lang w:val="cs-CZ"/>
              </w:rPr>
            </w:pPr>
            <w:r w:rsidRPr="007C705C">
              <w:rPr>
                <w:rFonts w:cs="Times New Roman"/>
                <w:sz w:val="18"/>
                <w:lang w:val="cs-CZ"/>
              </w:rPr>
              <w:t>2,</w:t>
            </w:r>
            <w:r w:rsidRPr="007C705C">
              <w:rPr>
                <w:rFonts w:cs="Times New Roman"/>
                <w:sz w:val="18"/>
                <w:szCs w:val="18"/>
                <w:lang w:val="cs-CZ"/>
              </w:rPr>
              <w:t>6</w:t>
            </w:r>
          </w:p>
        </w:tc>
        <w:tc>
          <w:tcPr>
            <w:tcW w:w="363" w:type="pct"/>
            <w:shd w:val="clear" w:color="auto" w:fill="auto"/>
            <w:vAlign w:val="center"/>
            <w:hideMark/>
          </w:tcPr>
          <w:p w14:paraId="386454E5" w14:textId="77777777" w:rsidR="003E0F58" w:rsidRPr="007C705C" w:rsidRDefault="003E0F58" w:rsidP="004D2249">
            <w:pPr>
              <w:jc w:val="center"/>
              <w:rPr>
                <w:rFonts w:cs="Times New Roman"/>
                <w:sz w:val="18"/>
                <w:lang w:val="cs-CZ"/>
              </w:rPr>
            </w:pPr>
            <w:r w:rsidRPr="007C705C">
              <w:rPr>
                <w:rFonts w:cs="Times New Roman"/>
                <w:sz w:val="18"/>
                <w:lang w:val="cs-CZ"/>
              </w:rPr>
              <w:t>2,</w:t>
            </w:r>
            <w:r w:rsidRPr="007C705C">
              <w:rPr>
                <w:rFonts w:cs="Times New Roman"/>
                <w:sz w:val="18"/>
                <w:szCs w:val="18"/>
                <w:lang w:val="cs-CZ"/>
              </w:rPr>
              <w:t>7</w:t>
            </w:r>
          </w:p>
        </w:tc>
        <w:tc>
          <w:tcPr>
            <w:tcW w:w="363" w:type="pct"/>
            <w:shd w:val="clear" w:color="auto" w:fill="auto"/>
            <w:vAlign w:val="center"/>
            <w:hideMark/>
          </w:tcPr>
          <w:p w14:paraId="7C19AB21" w14:textId="77777777" w:rsidR="003E0F58" w:rsidRPr="007C705C" w:rsidRDefault="003E0F58" w:rsidP="004D2249">
            <w:pPr>
              <w:jc w:val="center"/>
              <w:rPr>
                <w:rFonts w:cs="Times New Roman"/>
                <w:sz w:val="18"/>
                <w:lang w:val="cs-CZ"/>
              </w:rPr>
            </w:pPr>
            <w:r w:rsidRPr="007C705C">
              <w:rPr>
                <w:rFonts w:cs="Times New Roman"/>
                <w:sz w:val="18"/>
                <w:lang w:val="cs-CZ"/>
              </w:rPr>
              <w:t>2,</w:t>
            </w:r>
            <w:r w:rsidRPr="007C705C">
              <w:rPr>
                <w:rFonts w:cs="Times New Roman"/>
                <w:sz w:val="18"/>
                <w:szCs w:val="18"/>
                <w:lang w:val="cs-CZ"/>
              </w:rPr>
              <w:t>6</w:t>
            </w:r>
          </w:p>
        </w:tc>
        <w:tc>
          <w:tcPr>
            <w:tcW w:w="363" w:type="pct"/>
            <w:shd w:val="clear" w:color="auto" w:fill="auto"/>
            <w:vAlign w:val="center"/>
            <w:hideMark/>
          </w:tcPr>
          <w:p w14:paraId="7FC71E4D" w14:textId="77777777" w:rsidR="003E0F58" w:rsidRPr="007C705C" w:rsidRDefault="003E0F58" w:rsidP="004D2249">
            <w:pPr>
              <w:jc w:val="center"/>
              <w:rPr>
                <w:rFonts w:cs="Times New Roman"/>
                <w:sz w:val="18"/>
                <w:lang w:val="cs-CZ"/>
              </w:rPr>
            </w:pPr>
            <w:r w:rsidRPr="007C705C">
              <w:rPr>
                <w:rFonts w:cs="Times New Roman"/>
                <w:sz w:val="18"/>
                <w:lang w:val="cs-CZ"/>
              </w:rPr>
              <w:t>2,</w:t>
            </w:r>
            <w:r w:rsidRPr="007C705C">
              <w:rPr>
                <w:rFonts w:cs="Times New Roman"/>
                <w:sz w:val="18"/>
                <w:szCs w:val="18"/>
                <w:lang w:val="cs-CZ"/>
              </w:rPr>
              <w:t>7</w:t>
            </w:r>
          </w:p>
        </w:tc>
        <w:tc>
          <w:tcPr>
            <w:tcW w:w="358" w:type="pct"/>
            <w:shd w:val="clear" w:color="auto" w:fill="auto"/>
            <w:vAlign w:val="center"/>
            <w:hideMark/>
          </w:tcPr>
          <w:p w14:paraId="14E25FFE" w14:textId="77777777" w:rsidR="003E0F58" w:rsidRPr="007C705C" w:rsidRDefault="003E0F58" w:rsidP="004D2249">
            <w:pPr>
              <w:jc w:val="center"/>
              <w:rPr>
                <w:rFonts w:cs="Times New Roman"/>
                <w:sz w:val="18"/>
                <w:lang w:val="cs-CZ"/>
              </w:rPr>
            </w:pPr>
            <w:r w:rsidRPr="007C705C">
              <w:rPr>
                <w:rFonts w:cs="Times New Roman"/>
                <w:sz w:val="18"/>
                <w:lang w:val="cs-CZ"/>
              </w:rPr>
              <w:t>2,</w:t>
            </w:r>
            <w:r w:rsidRPr="007C705C">
              <w:rPr>
                <w:rFonts w:cs="Times New Roman"/>
                <w:sz w:val="18"/>
                <w:szCs w:val="18"/>
                <w:lang w:val="cs-CZ"/>
              </w:rPr>
              <w:t>6</w:t>
            </w:r>
          </w:p>
        </w:tc>
        <w:tc>
          <w:tcPr>
            <w:tcW w:w="355" w:type="pct"/>
            <w:shd w:val="clear" w:color="auto" w:fill="auto"/>
            <w:vAlign w:val="center"/>
            <w:hideMark/>
          </w:tcPr>
          <w:p w14:paraId="4B895C07" w14:textId="77777777" w:rsidR="003E0F58" w:rsidRPr="007C705C" w:rsidRDefault="003E0F58" w:rsidP="004D2249">
            <w:pPr>
              <w:jc w:val="center"/>
              <w:rPr>
                <w:rFonts w:cs="Times New Roman"/>
                <w:sz w:val="18"/>
                <w:lang w:val="cs-CZ"/>
              </w:rPr>
            </w:pPr>
            <w:r w:rsidRPr="007C705C">
              <w:rPr>
                <w:rFonts w:cs="Times New Roman"/>
                <w:sz w:val="18"/>
                <w:lang w:val="cs-CZ"/>
              </w:rPr>
              <w:t>2,6</w:t>
            </w:r>
          </w:p>
        </w:tc>
      </w:tr>
    </w:tbl>
    <w:p w14:paraId="080A9704" w14:textId="658471FE" w:rsidR="003E0F58" w:rsidRPr="00C51CF2" w:rsidRDefault="003E0F58" w:rsidP="00C51CF2">
      <w:pPr>
        <w:pStyle w:val="UZEIZdroj"/>
      </w:pPr>
      <w:r w:rsidRPr="007C705C">
        <w:t>Zdroj: dopočet ÚZEI</w:t>
      </w:r>
    </w:p>
    <w:p w14:paraId="31A01813" w14:textId="08B2B6E5" w:rsidR="003E0F58" w:rsidRPr="007C705C" w:rsidRDefault="003E0F58" w:rsidP="003E0F58">
      <w:pPr>
        <w:pStyle w:val="Odstavecseseznamem"/>
        <w:ind w:left="0"/>
        <w:rPr>
          <w:rFonts w:eastAsiaTheme="minorEastAsia"/>
        </w:rPr>
      </w:pPr>
      <w:r w:rsidRPr="007C705C">
        <w:rPr>
          <w:rFonts w:eastAsiaTheme="minorEastAsia"/>
        </w:rPr>
        <w:t>Spotřeba energie v zemědělství a lesnictví na ha obhospodařované nebo lesní půdy</w:t>
      </w:r>
    </w:p>
    <w:p w14:paraId="65C86D10" w14:textId="7ED886A0" w:rsidR="003E0F58" w:rsidRPr="007C705C" w:rsidRDefault="00C51CF2" w:rsidP="00C51CF2">
      <w:pPr>
        <w:pStyle w:val="UZEITaB"/>
      </w:pPr>
      <w:bookmarkStart w:id="209" w:name="_Toc77245823"/>
      <w:r>
        <w:t xml:space="preserve"> </w:t>
      </w:r>
      <w:bookmarkStart w:id="210" w:name="_Toc94181581"/>
      <w:r w:rsidR="003E0F58" w:rsidRPr="007C705C">
        <w:t xml:space="preserve">Spotřeba energie </w:t>
      </w:r>
      <w:r w:rsidR="003E0F58" w:rsidRPr="007C705C">
        <w:rPr>
          <w:rFonts w:eastAsiaTheme="minorEastAsia"/>
        </w:rPr>
        <w:t>zemědělství a lesnictví</w:t>
      </w:r>
      <w:r w:rsidR="003E0F58" w:rsidRPr="007C705C">
        <w:t xml:space="preserve"> na ha obhospodařované nebo lesní půdy v ČR v letech 2009 - 2018</w:t>
      </w:r>
      <w:bookmarkEnd w:id="209"/>
      <w:bookmarkEnd w:id="21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38"/>
        <w:gridCol w:w="1684"/>
        <w:gridCol w:w="500"/>
        <w:gridCol w:w="500"/>
        <w:gridCol w:w="500"/>
        <w:gridCol w:w="500"/>
        <w:gridCol w:w="500"/>
        <w:gridCol w:w="545"/>
        <w:gridCol w:w="500"/>
        <w:gridCol w:w="590"/>
        <w:gridCol w:w="560"/>
        <w:gridCol w:w="545"/>
      </w:tblGrid>
      <w:tr w:rsidR="003E0F58" w:rsidRPr="007C705C" w14:paraId="69470B5D" w14:textId="77777777" w:rsidTr="004D2249">
        <w:trPr>
          <w:trHeight w:val="35"/>
        </w:trPr>
        <w:tc>
          <w:tcPr>
            <w:tcW w:w="1196" w:type="pct"/>
            <w:shd w:val="clear" w:color="000000" w:fill="F2F2F2"/>
            <w:vAlign w:val="center"/>
            <w:hideMark/>
          </w:tcPr>
          <w:p w14:paraId="550CE8AF" w14:textId="77777777" w:rsidR="003E0F58" w:rsidRPr="007C705C" w:rsidRDefault="003E0F58" w:rsidP="004D2249">
            <w:pPr>
              <w:jc w:val="left"/>
              <w:rPr>
                <w:rFonts w:cs="Times New Roman"/>
                <w:b/>
                <w:bCs/>
                <w:color w:val="000000"/>
                <w:sz w:val="18"/>
                <w:szCs w:val="18"/>
                <w:lang w:val="cs-CZ"/>
              </w:rPr>
            </w:pPr>
            <w:r w:rsidRPr="007C705C">
              <w:rPr>
                <w:rFonts w:cs="Times New Roman"/>
                <w:b/>
                <w:bCs/>
                <w:color w:val="000000"/>
                <w:sz w:val="18"/>
                <w:szCs w:val="18"/>
                <w:lang w:val="cs-CZ"/>
              </w:rPr>
              <w:t>Popis</w:t>
            </w:r>
          </w:p>
        </w:tc>
        <w:tc>
          <w:tcPr>
            <w:tcW w:w="945" w:type="pct"/>
            <w:shd w:val="clear" w:color="000000" w:fill="F2F2F2"/>
            <w:vAlign w:val="center"/>
            <w:hideMark/>
          </w:tcPr>
          <w:p w14:paraId="6B4774A9"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Jednotka</w:t>
            </w:r>
          </w:p>
        </w:tc>
        <w:tc>
          <w:tcPr>
            <w:tcW w:w="276" w:type="pct"/>
            <w:shd w:val="clear" w:color="000000" w:fill="F2F2F2"/>
            <w:vAlign w:val="center"/>
            <w:hideMark/>
          </w:tcPr>
          <w:p w14:paraId="2F537799"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2009</w:t>
            </w:r>
          </w:p>
        </w:tc>
        <w:tc>
          <w:tcPr>
            <w:tcW w:w="276" w:type="pct"/>
            <w:shd w:val="clear" w:color="000000" w:fill="F2F2F2"/>
            <w:vAlign w:val="center"/>
            <w:hideMark/>
          </w:tcPr>
          <w:p w14:paraId="301FFA55"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2010</w:t>
            </w:r>
          </w:p>
        </w:tc>
        <w:tc>
          <w:tcPr>
            <w:tcW w:w="276" w:type="pct"/>
            <w:shd w:val="clear" w:color="000000" w:fill="F2F2F2"/>
            <w:vAlign w:val="center"/>
            <w:hideMark/>
          </w:tcPr>
          <w:p w14:paraId="55D348DF"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2011</w:t>
            </w:r>
          </w:p>
        </w:tc>
        <w:tc>
          <w:tcPr>
            <w:tcW w:w="276" w:type="pct"/>
            <w:shd w:val="clear" w:color="000000" w:fill="F2F2F2"/>
            <w:vAlign w:val="center"/>
            <w:hideMark/>
          </w:tcPr>
          <w:p w14:paraId="259F837B"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2012</w:t>
            </w:r>
          </w:p>
        </w:tc>
        <w:tc>
          <w:tcPr>
            <w:tcW w:w="276" w:type="pct"/>
            <w:shd w:val="clear" w:color="000000" w:fill="F2F2F2"/>
            <w:vAlign w:val="center"/>
            <w:hideMark/>
          </w:tcPr>
          <w:p w14:paraId="7383D1CF"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2013</w:t>
            </w:r>
          </w:p>
        </w:tc>
        <w:tc>
          <w:tcPr>
            <w:tcW w:w="276" w:type="pct"/>
            <w:shd w:val="clear" w:color="000000" w:fill="F2F2F2"/>
            <w:vAlign w:val="center"/>
            <w:hideMark/>
          </w:tcPr>
          <w:p w14:paraId="2314E105"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2014</w:t>
            </w:r>
          </w:p>
        </w:tc>
        <w:tc>
          <w:tcPr>
            <w:tcW w:w="276" w:type="pct"/>
            <w:shd w:val="clear" w:color="000000" w:fill="F2F2F2"/>
            <w:vAlign w:val="center"/>
            <w:hideMark/>
          </w:tcPr>
          <w:p w14:paraId="7309492A"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2015</w:t>
            </w:r>
          </w:p>
        </w:tc>
        <w:tc>
          <w:tcPr>
            <w:tcW w:w="326" w:type="pct"/>
            <w:shd w:val="clear" w:color="000000" w:fill="F2F2F2"/>
            <w:vAlign w:val="center"/>
            <w:hideMark/>
          </w:tcPr>
          <w:p w14:paraId="4648D3FB"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2016</w:t>
            </w:r>
          </w:p>
        </w:tc>
        <w:tc>
          <w:tcPr>
            <w:tcW w:w="276" w:type="pct"/>
            <w:shd w:val="clear" w:color="000000" w:fill="F2F2F2"/>
            <w:vAlign w:val="center"/>
            <w:hideMark/>
          </w:tcPr>
          <w:p w14:paraId="72F92A9C"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2017</w:t>
            </w:r>
          </w:p>
        </w:tc>
        <w:tc>
          <w:tcPr>
            <w:tcW w:w="326" w:type="pct"/>
            <w:shd w:val="clear" w:color="000000" w:fill="F2F2F2"/>
            <w:vAlign w:val="center"/>
            <w:hideMark/>
          </w:tcPr>
          <w:p w14:paraId="5BE48820"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2018</w:t>
            </w:r>
          </w:p>
        </w:tc>
      </w:tr>
      <w:tr w:rsidR="003E0F58" w:rsidRPr="007C705C" w14:paraId="10510A19" w14:textId="77777777" w:rsidTr="004D2249">
        <w:trPr>
          <w:trHeight w:val="35"/>
        </w:trPr>
        <w:tc>
          <w:tcPr>
            <w:tcW w:w="1196" w:type="pct"/>
            <w:shd w:val="clear" w:color="auto" w:fill="auto"/>
            <w:vAlign w:val="center"/>
            <w:hideMark/>
          </w:tcPr>
          <w:p w14:paraId="658BE385" w14:textId="77777777" w:rsidR="003E0F58" w:rsidRPr="007C705C" w:rsidRDefault="003E0F58" w:rsidP="004D2249">
            <w:pPr>
              <w:jc w:val="left"/>
              <w:rPr>
                <w:rFonts w:cs="Times New Roman"/>
                <w:sz w:val="18"/>
                <w:szCs w:val="18"/>
                <w:lang w:val="cs-CZ"/>
              </w:rPr>
            </w:pPr>
            <w:r w:rsidRPr="007C705C">
              <w:rPr>
                <w:rFonts w:cs="Times New Roman"/>
                <w:sz w:val="18"/>
                <w:szCs w:val="18"/>
                <w:lang w:val="cs-CZ"/>
              </w:rPr>
              <w:t>Spotřeba energie v zemědělství a lesnictví na ha obhospodařované nebo lesní půdy</w:t>
            </w:r>
          </w:p>
        </w:tc>
        <w:tc>
          <w:tcPr>
            <w:tcW w:w="945" w:type="pct"/>
            <w:shd w:val="clear" w:color="auto" w:fill="auto"/>
            <w:vAlign w:val="center"/>
            <w:hideMark/>
          </w:tcPr>
          <w:p w14:paraId="42A4655E" w14:textId="77777777" w:rsidR="003E0F58" w:rsidRPr="007C705C" w:rsidRDefault="003E0F58" w:rsidP="004D2249">
            <w:pPr>
              <w:jc w:val="center"/>
              <w:rPr>
                <w:rFonts w:cs="Times New Roman"/>
                <w:sz w:val="18"/>
                <w:szCs w:val="18"/>
                <w:lang w:val="cs-CZ"/>
              </w:rPr>
            </w:pPr>
            <w:r w:rsidRPr="007C705C">
              <w:rPr>
                <w:rFonts w:cs="Times New Roman"/>
                <w:sz w:val="18"/>
                <w:szCs w:val="18"/>
                <w:lang w:val="cs-CZ"/>
              </w:rPr>
              <w:t>kg ropného ekvivalentu na ha obhospodařované a/nebo lesní půdy</w:t>
            </w:r>
          </w:p>
        </w:tc>
        <w:tc>
          <w:tcPr>
            <w:tcW w:w="276" w:type="pct"/>
            <w:shd w:val="clear" w:color="auto" w:fill="auto"/>
            <w:vAlign w:val="center"/>
            <w:hideMark/>
          </w:tcPr>
          <w:p w14:paraId="37D1B13F" w14:textId="77777777" w:rsidR="003E0F58" w:rsidRPr="007C705C" w:rsidRDefault="003E0F58" w:rsidP="004D2249">
            <w:pPr>
              <w:jc w:val="center"/>
              <w:rPr>
                <w:rFonts w:cs="Times New Roman"/>
                <w:sz w:val="20"/>
                <w:lang w:val="cs-CZ"/>
              </w:rPr>
            </w:pPr>
            <w:r w:rsidRPr="007C705C">
              <w:rPr>
                <w:rFonts w:cs="Times New Roman"/>
                <w:sz w:val="20"/>
                <w:lang w:val="cs-CZ"/>
              </w:rPr>
              <w:t>83,3</w:t>
            </w:r>
          </w:p>
        </w:tc>
        <w:tc>
          <w:tcPr>
            <w:tcW w:w="276" w:type="pct"/>
            <w:shd w:val="clear" w:color="auto" w:fill="auto"/>
            <w:vAlign w:val="center"/>
            <w:hideMark/>
          </w:tcPr>
          <w:p w14:paraId="02899F86" w14:textId="77777777" w:rsidR="003E0F58" w:rsidRPr="007C705C" w:rsidRDefault="003E0F58" w:rsidP="004D2249">
            <w:pPr>
              <w:jc w:val="center"/>
              <w:rPr>
                <w:rFonts w:cs="Times New Roman"/>
                <w:sz w:val="20"/>
                <w:lang w:val="cs-CZ"/>
              </w:rPr>
            </w:pPr>
            <w:r w:rsidRPr="007C705C">
              <w:rPr>
                <w:rFonts w:cs="Times New Roman"/>
                <w:sz w:val="18"/>
                <w:szCs w:val="18"/>
                <w:lang w:val="cs-CZ"/>
              </w:rPr>
              <w:t>88,9</w:t>
            </w:r>
          </w:p>
        </w:tc>
        <w:tc>
          <w:tcPr>
            <w:tcW w:w="276" w:type="pct"/>
            <w:shd w:val="clear" w:color="auto" w:fill="auto"/>
            <w:vAlign w:val="center"/>
            <w:hideMark/>
          </w:tcPr>
          <w:p w14:paraId="74B97ECA" w14:textId="77777777" w:rsidR="003E0F58" w:rsidRPr="007C705C" w:rsidRDefault="003E0F58" w:rsidP="004D2249">
            <w:pPr>
              <w:jc w:val="center"/>
              <w:rPr>
                <w:rFonts w:cs="Times New Roman"/>
                <w:sz w:val="20"/>
                <w:lang w:val="cs-CZ"/>
              </w:rPr>
            </w:pPr>
            <w:r w:rsidRPr="007C705C">
              <w:rPr>
                <w:rFonts w:cs="Times New Roman"/>
                <w:sz w:val="18"/>
                <w:szCs w:val="18"/>
                <w:lang w:val="cs-CZ"/>
              </w:rPr>
              <w:t>89,2</w:t>
            </w:r>
          </w:p>
        </w:tc>
        <w:tc>
          <w:tcPr>
            <w:tcW w:w="276" w:type="pct"/>
            <w:shd w:val="clear" w:color="auto" w:fill="auto"/>
            <w:vAlign w:val="center"/>
            <w:hideMark/>
          </w:tcPr>
          <w:p w14:paraId="0B42048C" w14:textId="77777777" w:rsidR="003E0F58" w:rsidRPr="007C705C" w:rsidRDefault="003E0F58" w:rsidP="004D2249">
            <w:pPr>
              <w:jc w:val="center"/>
              <w:rPr>
                <w:rFonts w:cs="Times New Roman"/>
                <w:sz w:val="20"/>
                <w:lang w:val="cs-CZ"/>
              </w:rPr>
            </w:pPr>
            <w:r w:rsidRPr="007C705C">
              <w:rPr>
                <w:rFonts w:cs="Times New Roman"/>
                <w:sz w:val="20"/>
                <w:lang w:val="cs-CZ"/>
              </w:rPr>
              <w:t>91,8</w:t>
            </w:r>
          </w:p>
        </w:tc>
        <w:tc>
          <w:tcPr>
            <w:tcW w:w="276" w:type="pct"/>
            <w:shd w:val="clear" w:color="auto" w:fill="auto"/>
            <w:vAlign w:val="center"/>
            <w:hideMark/>
          </w:tcPr>
          <w:p w14:paraId="7EB52E52" w14:textId="77777777" w:rsidR="003E0F58" w:rsidRPr="007C705C" w:rsidRDefault="003E0F58" w:rsidP="004D2249">
            <w:pPr>
              <w:jc w:val="center"/>
              <w:rPr>
                <w:rFonts w:cs="Times New Roman"/>
                <w:sz w:val="20"/>
                <w:lang w:val="cs-CZ"/>
              </w:rPr>
            </w:pPr>
            <w:r w:rsidRPr="007C705C">
              <w:rPr>
                <w:rFonts w:cs="Times New Roman"/>
                <w:sz w:val="18"/>
                <w:szCs w:val="18"/>
                <w:lang w:val="cs-CZ"/>
              </w:rPr>
              <w:t>99</w:t>
            </w:r>
            <w:r w:rsidRPr="007C705C">
              <w:rPr>
                <w:rFonts w:cs="Times New Roman"/>
                <w:sz w:val="20"/>
                <w:lang w:val="cs-CZ"/>
              </w:rPr>
              <w:t>,2</w:t>
            </w:r>
          </w:p>
        </w:tc>
        <w:tc>
          <w:tcPr>
            <w:tcW w:w="276" w:type="pct"/>
            <w:shd w:val="clear" w:color="auto" w:fill="auto"/>
            <w:vAlign w:val="center"/>
            <w:hideMark/>
          </w:tcPr>
          <w:p w14:paraId="07BEFA3A" w14:textId="77777777" w:rsidR="003E0F58" w:rsidRPr="007C705C" w:rsidRDefault="003E0F58" w:rsidP="004D2249">
            <w:pPr>
              <w:jc w:val="center"/>
              <w:rPr>
                <w:rFonts w:cs="Times New Roman"/>
                <w:sz w:val="20"/>
                <w:lang w:val="cs-CZ"/>
              </w:rPr>
            </w:pPr>
            <w:r w:rsidRPr="007C705C">
              <w:rPr>
                <w:rFonts w:cs="Times New Roman"/>
                <w:sz w:val="18"/>
                <w:szCs w:val="18"/>
                <w:lang w:val="cs-CZ"/>
              </w:rPr>
              <w:t>100,0</w:t>
            </w:r>
          </w:p>
        </w:tc>
        <w:tc>
          <w:tcPr>
            <w:tcW w:w="276" w:type="pct"/>
            <w:shd w:val="clear" w:color="auto" w:fill="auto"/>
            <w:vAlign w:val="center"/>
            <w:hideMark/>
          </w:tcPr>
          <w:p w14:paraId="44922F0E" w14:textId="77777777" w:rsidR="003E0F58" w:rsidRPr="007C705C" w:rsidRDefault="003E0F58" w:rsidP="004D2249">
            <w:pPr>
              <w:jc w:val="center"/>
              <w:rPr>
                <w:rFonts w:cs="Times New Roman"/>
                <w:sz w:val="20"/>
                <w:lang w:val="cs-CZ"/>
              </w:rPr>
            </w:pPr>
            <w:r w:rsidRPr="007C705C">
              <w:rPr>
                <w:rFonts w:cs="Times New Roman"/>
                <w:sz w:val="18"/>
                <w:szCs w:val="18"/>
                <w:lang w:val="cs-CZ"/>
              </w:rPr>
              <w:t>98,5</w:t>
            </w:r>
          </w:p>
        </w:tc>
        <w:tc>
          <w:tcPr>
            <w:tcW w:w="326" w:type="pct"/>
            <w:shd w:val="clear" w:color="auto" w:fill="auto"/>
            <w:vAlign w:val="center"/>
            <w:hideMark/>
          </w:tcPr>
          <w:p w14:paraId="3723F777" w14:textId="77777777" w:rsidR="003E0F58" w:rsidRPr="007C705C" w:rsidRDefault="003E0F58" w:rsidP="004D2249">
            <w:pPr>
              <w:jc w:val="center"/>
              <w:rPr>
                <w:rFonts w:cs="Times New Roman"/>
                <w:sz w:val="20"/>
                <w:lang w:val="cs-CZ"/>
              </w:rPr>
            </w:pPr>
            <w:r w:rsidRPr="007C705C">
              <w:rPr>
                <w:rFonts w:cs="Times New Roman"/>
                <w:sz w:val="20"/>
                <w:lang w:val="cs-CZ"/>
              </w:rPr>
              <w:t>104,6</w:t>
            </w:r>
          </w:p>
        </w:tc>
        <w:tc>
          <w:tcPr>
            <w:tcW w:w="276" w:type="pct"/>
            <w:shd w:val="clear" w:color="auto" w:fill="auto"/>
            <w:vAlign w:val="center"/>
            <w:hideMark/>
          </w:tcPr>
          <w:p w14:paraId="79D95FBA" w14:textId="77777777" w:rsidR="003E0F58" w:rsidRPr="007C705C" w:rsidRDefault="003E0F58" w:rsidP="004D2249">
            <w:pPr>
              <w:jc w:val="center"/>
              <w:rPr>
                <w:rFonts w:cs="Times New Roman"/>
                <w:sz w:val="20"/>
                <w:lang w:val="cs-CZ"/>
              </w:rPr>
            </w:pPr>
            <w:r w:rsidRPr="007C705C">
              <w:rPr>
                <w:rFonts w:cs="Times New Roman"/>
                <w:sz w:val="18"/>
                <w:szCs w:val="18"/>
                <w:lang w:val="cs-CZ"/>
              </w:rPr>
              <w:t>104</w:t>
            </w:r>
            <w:r w:rsidRPr="007C705C">
              <w:rPr>
                <w:rFonts w:cs="Times New Roman"/>
                <w:sz w:val="20"/>
                <w:lang w:val="cs-CZ"/>
              </w:rPr>
              <w:t>,5</w:t>
            </w:r>
          </w:p>
        </w:tc>
        <w:tc>
          <w:tcPr>
            <w:tcW w:w="326" w:type="pct"/>
            <w:shd w:val="clear" w:color="auto" w:fill="auto"/>
            <w:vAlign w:val="center"/>
            <w:hideMark/>
          </w:tcPr>
          <w:p w14:paraId="233A580F" w14:textId="77777777" w:rsidR="003E0F58" w:rsidRPr="007C705C" w:rsidRDefault="003E0F58" w:rsidP="004D2249">
            <w:pPr>
              <w:jc w:val="center"/>
              <w:rPr>
                <w:rFonts w:cs="Times New Roman"/>
                <w:sz w:val="20"/>
                <w:lang w:val="cs-CZ"/>
              </w:rPr>
            </w:pPr>
            <w:r w:rsidRPr="007C705C">
              <w:rPr>
                <w:rFonts w:cs="Times New Roman"/>
                <w:sz w:val="18"/>
                <w:szCs w:val="18"/>
                <w:lang w:val="cs-CZ"/>
              </w:rPr>
              <w:t>101,2</w:t>
            </w:r>
          </w:p>
        </w:tc>
      </w:tr>
    </w:tbl>
    <w:p w14:paraId="7D0D0C78" w14:textId="2B9762C6" w:rsidR="003E0F58" w:rsidRPr="00C51CF2" w:rsidRDefault="003E0F58" w:rsidP="00C51CF2">
      <w:pPr>
        <w:pStyle w:val="UZEIZdroj"/>
      </w:pPr>
      <w:r w:rsidRPr="007C705C">
        <w:t>Zdroj: Eurostat</w:t>
      </w:r>
    </w:p>
    <w:p w14:paraId="52676EB0" w14:textId="3D473AFB" w:rsidR="003E0F58" w:rsidRPr="007C705C" w:rsidRDefault="003E0F58" w:rsidP="003E0F58">
      <w:pPr>
        <w:pStyle w:val="Odstavecseseznamem"/>
        <w:ind w:left="0"/>
        <w:rPr>
          <w:rFonts w:eastAsiaTheme="minorEastAsia"/>
        </w:rPr>
      </w:pPr>
      <w:r w:rsidRPr="007C705C">
        <w:rPr>
          <w:rFonts w:eastAsiaTheme="minorEastAsia"/>
        </w:rPr>
        <w:t>Přímá spotřeba energie v potravinářství</w:t>
      </w:r>
    </w:p>
    <w:p w14:paraId="650E3791" w14:textId="52360837" w:rsidR="003E0F58" w:rsidRPr="007C705C" w:rsidRDefault="00C51CF2" w:rsidP="00C51CF2">
      <w:pPr>
        <w:pStyle w:val="UZEITaB"/>
      </w:pPr>
      <w:bookmarkStart w:id="211" w:name="_Toc77245824"/>
      <w:r>
        <w:t xml:space="preserve"> </w:t>
      </w:r>
      <w:bookmarkStart w:id="212" w:name="_Toc94181582"/>
      <w:r w:rsidR="003E0F58" w:rsidRPr="007C705C">
        <w:t>Přímá spotřeba energie v potravinářství v ČR v letech 2009 - 2018</w:t>
      </w:r>
      <w:bookmarkEnd w:id="211"/>
      <w:bookmarkEnd w:id="2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395"/>
        <w:gridCol w:w="851"/>
        <w:gridCol w:w="583"/>
        <w:gridCol w:w="587"/>
        <w:gridCol w:w="587"/>
        <w:gridCol w:w="587"/>
        <w:gridCol w:w="587"/>
        <w:gridCol w:w="587"/>
        <w:gridCol w:w="588"/>
        <w:gridCol w:w="620"/>
        <w:gridCol w:w="545"/>
        <w:gridCol w:w="545"/>
      </w:tblGrid>
      <w:tr w:rsidR="003E0F58" w:rsidRPr="007C705C" w14:paraId="52A0DF25" w14:textId="77777777" w:rsidTr="004D2249">
        <w:trPr>
          <w:trHeight w:val="55"/>
        </w:trPr>
        <w:tc>
          <w:tcPr>
            <w:tcW w:w="1324" w:type="pct"/>
            <w:shd w:val="clear" w:color="000000" w:fill="F2F2F2"/>
            <w:vAlign w:val="center"/>
            <w:hideMark/>
          </w:tcPr>
          <w:p w14:paraId="6D76A983" w14:textId="77777777" w:rsidR="003E0F58" w:rsidRPr="007C705C" w:rsidRDefault="003E0F58" w:rsidP="004D2249">
            <w:pPr>
              <w:jc w:val="left"/>
              <w:rPr>
                <w:rFonts w:cs="Times New Roman"/>
                <w:b/>
                <w:bCs/>
                <w:color w:val="000000"/>
                <w:sz w:val="18"/>
                <w:szCs w:val="18"/>
                <w:lang w:val="cs-CZ"/>
              </w:rPr>
            </w:pPr>
            <w:r w:rsidRPr="007C705C">
              <w:rPr>
                <w:rFonts w:cs="Times New Roman"/>
                <w:b/>
                <w:bCs/>
                <w:color w:val="000000"/>
                <w:sz w:val="18"/>
                <w:szCs w:val="18"/>
                <w:lang w:val="cs-CZ"/>
              </w:rPr>
              <w:t>Popis</w:t>
            </w:r>
          </w:p>
        </w:tc>
        <w:tc>
          <w:tcPr>
            <w:tcW w:w="470" w:type="pct"/>
            <w:shd w:val="clear" w:color="000000" w:fill="F2F2F2"/>
            <w:vAlign w:val="center"/>
            <w:hideMark/>
          </w:tcPr>
          <w:p w14:paraId="7C51FFBF"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Jednotka</w:t>
            </w:r>
          </w:p>
        </w:tc>
        <w:tc>
          <w:tcPr>
            <w:tcW w:w="326" w:type="pct"/>
            <w:shd w:val="clear" w:color="000000" w:fill="F2F2F2"/>
            <w:vAlign w:val="center"/>
            <w:hideMark/>
          </w:tcPr>
          <w:p w14:paraId="70CD37A6"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2009</w:t>
            </w:r>
          </w:p>
        </w:tc>
        <w:tc>
          <w:tcPr>
            <w:tcW w:w="326" w:type="pct"/>
            <w:shd w:val="clear" w:color="000000" w:fill="F2F2F2"/>
            <w:vAlign w:val="center"/>
            <w:hideMark/>
          </w:tcPr>
          <w:p w14:paraId="0BDCBF7D"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2010</w:t>
            </w:r>
          </w:p>
        </w:tc>
        <w:tc>
          <w:tcPr>
            <w:tcW w:w="326" w:type="pct"/>
            <w:shd w:val="clear" w:color="000000" w:fill="F2F2F2"/>
            <w:vAlign w:val="center"/>
            <w:hideMark/>
          </w:tcPr>
          <w:p w14:paraId="2EAACC58"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2011</w:t>
            </w:r>
          </w:p>
        </w:tc>
        <w:tc>
          <w:tcPr>
            <w:tcW w:w="326" w:type="pct"/>
            <w:shd w:val="clear" w:color="000000" w:fill="F2F2F2"/>
            <w:vAlign w:val="center"/>
            <w:hideMark/>
          </w:tcPr>
          <w:p w14:paraId="696E0CB4"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2012</w:t>
            </w:r>
          </w:p>
        </w:tc>
        <w:tc>
          <w:tcPr>
            <w:tcW w:w="326" w:type="pct"/>
            <w:shd w:val="clear" w:color="000000" w:fill="F2F2F2"/>
            <w:vAlign w:val="center"/>
            <w:hideMark/>
          </w:tcPr>
          <w:p w14:paraId="3DEA5332"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2013</w:t>
            </w:r>
          </w:p>
        </w:tc>
        <w:tc>
          <w:tcPr>
            <w:tcW w:w="326" w:type="pct"/>
            <w:shd w:val="clear" w:color="000000" w:fill="F2F2F2"/>
            <w:vAlign w:val="center"/>
            <w:hideMark/>
          </w:tcPr>
          <w:p w14:paraId="61867E07"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2014</w:t>
            </w:r>
          </w:p>
        </w:tc>
        <w:tc>
          <w:tcPr>
            <w:tcW w:w="326" w:type="pct"/>
            <w:shd w:val="clear" w:color="000000" w:fill="F2F2F2"/>
            <w:vAlign w:val="center"/>
            <w:hideMark/>
          </w:tcPr>
          <w:p w14:paraId="7F9DBCB6"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2015</w:t>
            </w:r>
          </w:p>
        </w:tc>
        <w:tc>
          <w:tcPr>
            <w:tcW w:w="326" w:type="pct"/>
            <w:shd w:val="clear" w:color="000000" w:fill="F2F2F2"/>
            <w:vAlign w:val="center"/>
            <w:hideMark/>
          </w:tcPr>
          <w:p w14:paraId="615DA114" w14:textId="77777777" w:rsidR="003E0F58" w:rsidRPr="007C705C" w:rsidRDefault="003E0F58" w:rsidP="004D2249">
            <w:pPr>
              <w:jc w:val="center"/>
              <w:rPr>
                <w:rFonts w:cs="Times New Roman"/>
                <w:b/>
                <w:bCs/>
                <w:color w:val="000000"/>
                <w:sz w:val="18"/>
                <w:szCs w:val="18"/>
                <w:lang w:val="cs-CZ"/>
              </w:rPr>
            </w:pPr>
            <w:r w:rsidRPr="007C705C">
              <w:rPr>
                <w:rFonts w:cs="Times New Roman"/>
                <w:lang w:val="cs-CZ"/>
              </w:rPr>
              <w:t>2016</w:t>
            </w:r>
          </w:p>
        </w:tc>
        <w:tc>
          <w:tcPr>
            <w:tcW w:w="301" w:type="pct"/>
            <w:shd w:val="clear" w:color="000000" w:fill="F2F2F2"/>
            <w:vAlign w:val="center"/>
            <w:hideMark/>
          </w:tcPr>
          <w:p w14:paraId="5FF96BFB"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2017</w:t>
            </w:r>
          </w:p>
        </w:tc>
        <w:tc>
          <w:tcPr>
            <w:tcW w:w="301" w:type="pct"/>
            <w:shd w:val="clear" w:color="000000" w:fill="F2F2F2"/>
            <w:vAlign w:val="center"/>
            <w:hideMark/>
          </w:tcPr>
          <w:p w14:paraId="7EB075B7"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2018</w:t>
            </w:r>
          </w:p>
        </w:tc>
      </w:tr>
      <w:tr w:rsidR="003E0F58" w:rsidRPr="007C705C" w14:paraId="7EA5206F" w14:textId="77777777" w:rsidTr="004D2249">
        <w:trPr>
          <w:trHeight w:val="55"/>
        </w:trPr>
        <w:tc>
          <w:tcPr>
            <w:tcW w:w="1324" w:type="pct"/>
            <w:shd w:val="clear" w:color="auto" w:fill="auto"/>
            <w:vAlign w:val="center"/>
            <w:hideMark/>
          </w:tcPr>
          <w:p w14:paraId="009D7D6A" w14:textId="77777777" w:rsidR="003E0F58" w:rsidRPr="007C705C" w:rsidRDefault="003E0F58" w:rsidP="004D2249">
            <w:pPr>
              <w:jc w:val="left"/>
              <w:rPr>
                <w:rFonts w:cs="Times New Roman"/>
                <w:sz w:val="18"/>
                <w:szCs w:val="18"/>
                <w:lang w:val="cs-CZ"/>
              </w:rPr>
            </w:pPr>
            <w:r w:rsidRPr="007C705C">
              <w:rPr>
                <w:rFonts w:cs="Times New Roman"/>
                <w:sz w:val="18"/>
                <w:szCs w:val="18"/>
                <w:lang w:val="cs-CZ"/>
              </w:rPr>
              <w:t>Přímá spotřeba energie v potravinářství</w:t>
            </w:r>
          </w:p>
        </w:tc>
        <w:tc>
          <w:tcPr>
            <w:tcW w:w="470" w:type="pct"/>
            <w:shd w:val="clear" w:color="auto" w:fill="auto"/>
            <w:vAlign w:val="center"/>
            <w:hideMark/>
          </w:tcPr>
          <w:p w14:paraId="34E0FF5C" w14:textId="77777777" w:rsidR="003E0F58" w:rsidRPr="007C705C" w:rsidRDefault="003E0F58" w:rsidP="004D2249">
            <w:pPr>
              <w:jc w:val="center"/>
              <w:rPr>
                <w:rFonts w:cs="Times New Roman"/>
                <w:sz w:val="18"/>
                <w:szCs w:val="18"/>
                <w:lang w:val="cs-CZ"/>
              </w:rPr>
            </w:pPr>
            <w:r w:rsidRPr="007C705C">
              <w:rPr>
                <w:rFonts w:cs="Times New Roman"/>
                <w:sz w:val="18"/>
                <w:szCs w:val="18"/>
                <w:lang w:val="cs-CZ"/>
              </w:rPr>
              <w:t>kToe</w:t>
            </w:r>
          </w:p>
        </w:tc>
        <w:tc>
          <w:tcPr>
            <w:tcW w:w="326" w:type="pct"/>
            <w:shd w:val="clear" w:color="auto" w:fill="auto"/>
            <w:vAlign w:val="center"/>
            <w:hideMark/>
          </w:tcPr>
          <w:p w14:paraId="36B13A93" w14:textId="77777777" w:rsidR="003E0F58" w:rsidRPr="007C705C" w:rsidRDefault="003E0F58" w:rsidP="004D2249">
            <w:pPr>
              <w:jc w:val="center"/>
              <w:rPr>
                <w:rFonts w:cs="Times New Roman"/>
                <w:sz w:val="20"/>
                <w:lang w:val="cs-CZ"/>
              </w:rPr>
            </w:pPr>
            <w:r w:rsidRPr="007C705C">
              <w:rPr>
                <w:rFonts w:cs="Times New Roman"/>
                <w:sz w:val="18"/>
                <w:szCs w:val="18"/>
                <w:lang w:val="cs-CZ"/>
              </w:rPr>
              <w:t>547,4</w:t>
            </w:r>
          </w:p>
        </w:tc>
        <w:tc>
          <w:tcPr>
            <w:tcW w:w="326" w:type="pct"/>
            <w:shd w:val="clear" w:color="auto" w:fill="auto"/>
            <w:vAlign w:val="center"/>
            <w:hideMark/>
          </w:tcPr>
          <w:p w14:paraId="4820E9B0" w14:textId="77777777" w:rsidR="003E0F58" w:rsidRPr="007C705C" w:rsidRDefault="003E0F58" w:rsidP="004D2249">
            <w:pPr>
              <w:jc w:val="center"/>
              <w:rPr>
                <w:rFonts w:cs="Times New Roman"/>
                <w:sz w:val="20"/>
                <w:lang w:val="cs-CZ"/>
              </w:rPr>
            </w:pPr>
            <w:r w:rsidRPr="007C705C">
              <w:rPr>
                <w:rFonts w:cs="Times New Roman"/>
                <w:sz w:val="18"/>
                <w:szCs w:val="18"/>
                <w:lang w:val="cs-CZ"/>
              </w:rPr>
              <w:t>554,9</w:t>
            </w:r>
          </w:p>
        </w:tc>
        <w:tc>
          <w:tcPr>
            <w:tcW w:w="326" w:type="pct"/>
            <w:shd w:val="clear" w:color="auto" w:fill="auto"/>
            <w:vAlign w:val="center"/>
            <w:hideMark/>
          </w:tcPr>
          <w:p w14:paraId="31B1E3A6" w14:textId="77777777" w:rsidR="003E0F58" w:rsidRPr="007C705C" w:rsidRDefault="003E0F58" w:rsidP="004D2249">
            <w:pPr>
              <w:jc w:val="center"/>
              <w:rPr>
                <w:rFonts w:cs="Times New Roman"/>
                <w:sz w:val="20"/>
                <w:lang w:val="cs-CZ"/>
              </w:rPr>
            </w:pPr>
            <w:r w:rsidRPr="007C705C">
              <w:rPr>
                <w:rFonts w:cs="Times New Roman"/>
                <w:sz w:val="18"/>
                <w:szCs w:val="18"/>
                <w:lang w:val="cs-CZ"/>
              </w:rPr>
              <w:t>558,0</w:t>
            </w:r>
          </w:p>
        </w:tc>
        <w:tc>
          <w:tcPr>
            <w:tcW w:w="326" w:type="pct"/>
            <w:shd w:val="clear" w:color="auto" w:fill="auto"/>
            <w:vAlign w:val="center"/>
            <w:hideMark/>
          </w:tcPr>
          <w:p w14:paraId="10772190" w14:textId="77777777" w:rsidR="003E0F58" w:rsidRPr="007C705C" w:rsidRDefault="003E0F58" w:rsidP="004D2249">
            <w:pPr>
              <w:jc w:val="center"/>
              <w:rPr>
                <w:rFonts w:cs="Times New Roman"/>
                <w:sz w:val="20"/>
                <w:lang w:val="cs-CZ"/>
              </w:rPr>
            </w:pPr>
            <w:r w:rsidRPr="007C705C">
              <w:rPr>
                <w:rFonts w:cs="Times New Roman"/>
                <w:sz w:val="18"/>
                <w:szCs w:val="18"/>
                <w:lang w:val="cs-CZ"/>
              </w:rPr>
              <w:t>553,3</w:t>
            </w:r>
          </w:p>
        </w:tc>
        <w:tc>
          <w:tcPr>
            <w:tcW w:w="326" w:type="pct"/>
            <w:shd w:val="clear" w:color="auto" w:fill="auto"/>
            <w:vAlign w:val="center"/>
            <w:hideMark/>
          </w:tcPr>
          <w:p w14:paraId="454F4503" w14:textId="77777777" w:rsidR="003E0F58" w:rsidRPr="007C705C" w:rsidRDefault="003E0F58" w:rsidP="004D2249">
            <w:pPr>
              <w:jc w:val="center"/>
              <w:rPr>
                <w:rFonts w:cs="Times New Roman"/>
                <w:sz w:val="20"/>
                <w:lang w:val="cs-CZ"/>
              </w:rPr>
            </w:pPr>
            <w:r w:rsidRPr="007C705C">
              <w:rPr>
                <w:rFonts w:cs="Times New Roman"/>
                <w:sz w:val="18"/>
                <w:szCs w:val="18"/>
                <w:lang w:val="cs-CZ"/>
              </w:rPr>
              <w:t>538,0</w:t>
            </w:r>
          </w:p>
        </w:tc>
        <w:tc>
          <w:tcPr>
            <w:tcW w:w="326" w:type="pct"/>
            <w:shd w:val="clear" w:color="auto" w:fill="auto"/>
            <w:vAlign w:val="center"/>
            <w:hideMark/>
          </w:tcPr>
          <w:p w14:paraId="0D176AAC" w14:textId="77777777" w:rsidR="003E0F58" w:rsidRPr="007C705C" w:rsidRDefault="003E0F58" w:rsidP="004D2249">
            <w:pPr>
              <w:jc w:val="center"/>
              <w:rPr>
                <w:rFonts w:cs="Times New Roman"/>
                <w:sz w:val="20"/>
                <w:lang w:val="cs-CZ"/>
              </w:rPr>
            </w:pPr>
            <w:r w:rsidRPr="007C705C">
              <w:rPr>
                <w:rFonts w:cs="Times New Roman"/>
                <w:sz w:val="18"/>
                <w:szCs w:val="18"/>
                <w:lang w:val="cs-CZ"/>
              </w:rPr>
              <w:t>551</w:t>
            </w:r>
            <w:r w:rsidRPr="007C705C">
              <w:rPr>
                <w:rFonts w:cs="Times New Roman"/>
                <w:sz w:val="20"/>
                <w:lang w:val="cs-CZ"/>
              </w:rPr>
              <w:t>,3</w:t>
            </w:r>
          </w:p>
        </w:tc>
        <w:tc>
          <w:tcPr>
            <w:tcW w:w="326" w:type="pct"/>
            <w:shd w:val="clear" w:color="auto" w:fill="auto"/>
            <w:vAlign w:val="center"/>
            <w:hideMark/>
          </w:tcPr>
          <w:p w14:paraId="5663EF25" w14:textId="77777777" w:rsidR="003E0F58" w:rsidRPr="007C705C" w:rsidRDefault="003E0F58" w:rsidP="004D2249">
            <w:pPr>
              <w:jc w:val="center"/>
              <w:rPr>
                <w:rFonts w:cs="Times New Roman"/>
                <w:sz w:val="20"/>
                <w:lang w:val="cs-CZ"/>
              </w:rPr>
            </w:pPr>
            <w:r w:rsidRPr="007C705C">
              <w:rPr>
                <w:rFonts w:cs="Times New Roman"/>
                <w:sz w:val="18"/>
                <w:szCs w:val="18"/>
                <w:lang w:val="cs-CZ"/>
              </w:rPr>
              <w:t>583,8</w:t>
            </w:r>
          </w:p>
        </w:tc>
        <w:tc>
          <w:tcPr>
            <w:tcW w:w="326" w:type="pct"/>
            <w:shd w:val="clear" w:color="auto" w:fill="auto"/>
            <w:vAlign w:val="center"/>
            <w:hideMark/>
          </w:tcPr>
          <w:p w14:paraId="52DA5427" w14:textId="77777777" w:rsidR="003E0F58" w:rsidRPr="007C705C" w:rsidRDefault="003E0F58" w:rsidP="004D2249">
            <w:pPr>
              <w:jc w:val="center"/>
              <w:rPr>
                <w:rFonts w:cs="Times New Roman"/>
                <w:sz w:val="20"/>
                <w:lang w:val="cs-CZ"/>
              </w:rPr>
            </w:pPr>
            <w:r w:rsidRPr="007C705C">
              <w:rPr>
                <w:rFonts w:cs="Times New Roman"/>
                <w:sz w:val="18"/>
                <w:szCs w:val="18"/>
                <w:lang w:val="cs-CZ"/>
              </w:rPr>
              <w:t>580,2</w:t>
            </w:r>
          </w:p>
        </w:tc>
        <w:tc>
          <w:tcPr>
            <w:tcW w:w="301" w:type="pct"/>
            <w:shd w:val="clear" w:color="auto" w:fill="auto"/>
            <w:vAlign w:val="center"/>
            <w:hideMark/>
          </w:tcPr>
          <w:p w14:paraId="1CDB43B9" w14:textId="77777777" w:rsidR="003E0F58" w:rsidRPr="007C705C" w:rsidRDefault="003E0F58" w:rsidP="004D2249">
            <w:pPr>
              <w:jc w:val="center"/>
              <w:rPr>
                <w:rFonts w:cs="Times New Roman"/>
                <w:sz w:val="18"/>
                <w:lang w:val="cs-CZ"/>
              </w:rPr>
            </w:pPr>
            <w:r w:rsidRPr="007C705C">
              <w:rPr>
                <w:rFonts w:cs="Times New Roman"/>
                <w:sz w:val="18"/>
                <w:szCs w:val="18"/>
                <w:lang w:val="cs-CZ"/>
              </w:rPr>
              <w:t>593,9</w:t>
            </w:r>
          </w:p>
        </w:tc>
        <w:tc>
          <w:tcPr>
            <w:tcW w:w="301" w:type="pct"/>
            <w:shd w:val="clear" w:color="auto" w:fill="auto"/>
            <w:vAlign w:val="center"/>
          </w:tcPr>
          <w:p w14:paraId="22C1C4BC" w14:textId="77777777" w:rsidR="003E0F58" w:rsidRPr="007C705C" w:rsidRDefault="003E0F58" w:rsidP="004D2249">
            <w:pPr>
              <w:jc w:val="center"/>
              <w:rPr>
                <w:rFonts w:cs="Times New Roman"/>
                <w:sz w:val="18"/>
                <w:lang w:val="cs-CZ"/>
              </w:rPr>
            </w:pPr>
            <w:r w:rsidRPr="007C705C">
              <w:rPr>
                <w:rFonts w:cs="Times New Roman"/>
                <w:sz w:val="18"/>
                <w:szCs w:val="18"/>
                <w:lang w:val="cs-CZ"/>
              </w:rPr>
              <w:t>573,4</w:t>
            </w:r>
          </w:p>
        </w:tc>
      </w:tr>
    </w:tbl>
    <w:p w14:paraId="2A42B499" w14:textId="4B51CC70" w:rsidR="003E0F58" w:rsidRPr="00BA39E1" w:rsidRDefault="003E0F58" w:rsidP="00BA39E1">
      <w:pPr>
        <w:pStyle w:val="UZEIZdroj"/>
      </w:pPr>
      <w:r w:rsidRPr="007C705C">
        <w:t>Zdroj: Eurostat</w:t>
      </w:r>
      <w:r w:rsidRPr="007C705C">
        <w:rPr>
          <w:rFonts w:eastAsiaTheme="minorEastAsia"/>
        </w:rPr>
        <w:t>Podíl potravinářství na celkové konečné spotřebě energie</w:t>
      </w:r>
    </w:p>
    <w:p w14:paraId="5C1726B3" w14:textId="2FC81DEE" w:rsidR="003E0F58" w:rsidRPr="007C705C" w:rsidRDefault="006A458C" w:rsidP="006A458C">
      <w:pPr>
        <w:pStyle w:val="UZEITaB"/>
      </w:pPr>
      <w:bookmarkStart w:id="213" w:name="_Toc77245825"/>
      <w:r>
        <w:t xml:space="preserve"> </w:t>
      </w:r>
      <w:bookmarkStart w:id="214" w:name="_Toc94181583"/>
      <w:r w:rsidR="003E0F58" w:rsidRPr="007C705C">
        <w:t>Podíl potravinářství na celkové konečné spotřebě energie v ČR v letech 2009 - 2018</w:t>
      </w:r>
      <w:bookmarkEnd w:id="213"/>
      <w:bookmarkEnd w:id="2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666"/>
        <w:gridCol w:w="1396"/>
        <w:gridCol w:w="500"/>
        <w:gridCol w:w="500"/>
        <w:gridCol w:w="500"/>
        <w:gridCol w:w="500"/>
        <w:gridCol w:w="500"/>
        <w:gridCol w:w="500"/>
        <w:gridCol w:w="500"/>
        <w:gridCol w:w="500"/>
        <w:gridCol w:w="500"/>
        <w:gridCol w:w="500"/>
      </w:tblGrid>
      <w:tr w:rsidR="003E0F58" w:rsidRPr="007C705C" w14:paraId="56BD7BF5" w14:textId="77777777" w:rsidTr="004D2249">
        <w:trPr>
          <w:trHeight w:val="19"/>
        </w:trPr>
        <w:tc>
          <w:tcPr>
            <w:tcW w:w="1471" w:type="pct"/>
            <w:shd w:val="clear" w:color="000000" w:fill="F2F2F2"/>
            <w:vAlign w:val="center"/>
            <w:hideMark/>
          </w:tcPr>
          <w:p w14:paraId="7F34880D" w14:textId="77777777" w:rsidR="003E0F58" w:rsidRPr="007C705C" w:rsidRDefault="003E0F58" w:rsidP="004D2249">
            <w:pPr>
              <w:jc w:val="left"/>
              <w:rPr>
                <w:rFonts w:cs="Times New Roman"/>
                <w:b/>
                <w:bCs/>
                <w:color w:val="000000"/>
                <w:sz w:val="18"/>
                <w:szCs w:val="18"/>
                <w:lang w:val="cs-CZ"/>
              </w:rPr>
            </w:pPr>
            <w:r w:rsidRPr="007C705C">
              <w:rPr>
                <w:rFonts w:cs="Times New Roman"/>
                <w:b/>
                <w:bCs/>
                <w:color w:val="000000"/>
                <w:sz w:val="18"/>
                <w:szCs w:val="18"/>
                <w:lang w:val="cs-CZ"/>
              </w:rPr>
              <w:t>Popis</w:t>
            </w:r>
          </w:p>
        </w:tc>
        <w:tc>
          <w:tcPr>
            <w:tcW w:w="770" w:type="pct"/>
            <w:shd w:val="clear" w:color="000000" w:fill="F2F2F2"/>
            <w:vAlign w:val="center"/>
            <w:hideMark/>
          </w:tcPr>
          <w:p w14:paraId="1D545190"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Jednotka</w:t>
            </w:r>
          </w:p>
        </w:tc>
        <w:tc>
          <w:tcPr>
            <w:tcW w:w="276" w:type="pct"/>
            <w:shd w:val="clear" w:color="000000" w:fill="F2F2F2"/>
            <w:vAlign w:val="center"/>
            <w:hideMark/>
          </w:tcPr>
          <w:p w14:paraId="46C9B816"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2009</w:t>
            </w:r>
          </w:p>
        </w:tc>
        <w:tc>
          <w:tcPr>
            <w:tcW w:w="276" w:type="pct"/>
            <w:shd w:val="clear" w:color="000000" w:fill="F2F2F2"/>
            <w:vAlign w:val="center"/>
            <w:hideMark/>
          </w:tcPr>
          <w:p w14:paraId="43A7F55D"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2010</w:t>
            </w:r>
          </w:p>
        </w:tc>
        <w:tc>
          <w:tcPr>
            <w:tcW w:w="276" w:type="pct"/>
            <w:shd w:val="clear" w:color="000000" w:fill="F2F2F2"/>
            <w:vAlign w:val="center"/>
            <w:hideMark/>
          </w:tcPr>
          <w:p w14:paraId="1D7CD4AB"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2011</w:t>
            </w:r>
          </w:p>
        </w:tc>
        <w:tc>
          <w:tcPr>
            <w:tcW w:w="276" w:type="pct"/>
            <w:shd w:val="clear" w:color="000000" w:fill="F2F2F2"/>
            <w:vAlign w:val="center"/>
            <w:hideMark/>
          </w:tcPr>
          <w:p w14:paraId="58F75C77"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2012</w:t>
            </w:r>
          </w:p>
        </w:tc>
        <w:tc>
          <w:tcPr>
            <w:tcW w:w="276" w:type="pct"/>
            <w:shd w:val="clear" w:color="000000" w:fill="F2F2F2"/>
            <w:vAlign w:val="center"/>
            <w:hideMark/>
          </w:tcPr>
          <w:p w14:paraId="24A331DA"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2013</w:t>
            </w:r>
          </w:p>
        </w:tc>
        <w:tc>
          <w:tcPr>
            <w:tcW w:w="276" w:type="pct"/>
            <w:shd w:val="clear" w:color="000000" w:fill="F2F2F2"/>
            <w:vAlign w:val="center"/>
            <w:hideMark/>
          </w:tcPr>
          <w:p w14:paraId="23BC2BE6"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2014</w:t>
            </w:r>
          </w:p>
        </w:tc>
        <w:tc>
          <w:tcPr>
            <w:tcW w:w="276" w:type="pct"/>
            <w:shd w:val="clear" w:color="000000" w:fill="F2F2F2"/>
            <w:vAlign w:val="center"/>
            <w:hideMark/>
          </w:tcPr>
          <w:p w14:paraId="04ECD6C6"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2015</w:t>
            </w:r>
          </w:p>
        </w:tc>
        <w:tc>
          <w:tcPr>
            <w:tcW w:w="276" w:type="pct"/>
            <w:shd w:val="clear" w:color="000000" w:fill="F2F2F2"/>
            <w:vAlign w:val="center"/>
            <w:hideMark/>
          </w:tcPr>
          <w:p w14:paraId="0CF81099"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2016</w:t>
            </w:r>
          </w:p>
        </w:tc>
        <w:tc>
          <w:tcPr>
            <w:tcW w:w="276" w:type="pct"/>
            <w:shd w:val="clear" w:color="000000" w:fill="F2F2F2"/>
            <w:vAlign w:val="center"/>
            <w:hideMark/>
          </w:tcPr>
          <w:p w14:paraId="23A16692"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2017</w:t>
            </w:r>
          </w:p>
        </w:tc>
        <w:tc>
          <w:tcPr>
            <w:tcW w:w="276" w:type="pct"/>
            <w:shd w:val="clear" w:color="000000" w:fill="F2F2F2"/>
            <w:vAlign w:val="center"/>
            <w:hideMark/>
          </w:tcPr>
          <w:p w14:paraId="01E8B03B" w14:textId="77777777" w:rsidR="003E0F58" w:rsidRPr="007C705C" w:rsidRDefault="003E0F58" w:rsidP="004D2249">
            <w:pPr>
              <w:jc w:val="center"/>
              <w:rPr>
                <w:rFonts w:cs="Times New Roman"/>
                <w:b/>
                <w:bCs/>
                <w:color w:val="000000"/>
                <w:sz w:val="18"/>
                <w:szCs w:val="18"/>
                <w:lang w:val="cs-CZ"/>
              </w:rPr>
            </w:pPr>
            <w:r w:rsidRPr="007C705C">
              <w:rPr>
                <w:rFonts w:cs="Times New Roman"/>
                <w:b/>
                <w:bCs/>
                <w:color w:val="000000"/>
                <w:sz w:val="18"/>
                <w:szCs w:val="18"/>
                <w:lang w:val="cs-CZ"/>
              </w:rPr>
              <w:t>2018</w:t>
            </w:r>
          </w:p>
        </w:tc>
      </w:tr>
      <w:tr w:rsidR="003E0F58" w:rsidRPr="007C705C" w14:paraId="0FC6B3AE" w14:textId="77777777" w:rsidTr="004D2249">
        <w:trPr>
          <w:trHeight w:val="28"/>
        </w:trPr>
        <w:tc>
          <w:tcPr>
            <w:tcW w:w="1471" w:type="pct"/>
            <w:shd w:val="clear" w:color="auto" w:fill="auto"/>
            <w:vAlign w:val="center"/>
            <w:hideMark/>
          </w:tcPr>
          <w:p w14:paraId="3E494C82" w14:textId="77777777" w:rsidR="003E0F58" w:rsidRPr="007C705C" w:rsidRDefault="003E0F58" w:rsidP="004D2249">
            <w:pPr>
              <w:jc w:val="left"/>
              <w:rPr>
                <w:rFonts w:cs="Times New Roman"/>
                <w:sz w:val="18"/>
                <w:szCs w:val="18"/>
                <w:lang w:val="cs-CZ"/>
              </w:rPr>
            </w:pPr>
            <w:r w:rsidRPr="007C705C">
              <w:rPr>
                <w:rFonts w:cs="Times New Roman"/>
                <w:sz w:val="18"/>
                <w:szCs w:val="18"/>
                <w:lang w:val="cs-CZ"/>
              </w:rPr>
              <w:t>Podíl potravinářství na celkové konečné spotřebě energie</w:t>
            </w:r>
          </w:p>
        </w:tc>
        <w:tc>
          <w:tcPr>
            <w:tcW w:w="770" w:type="pct"/>
            <w:shd w:val="clear" w:color="auto" w:fill="auto"/>
            <w:vAlign w:val="center"/>
            <w:hideMark/>
          </w:tcPr>
          <w:p w14:paraId="1D08F44A" w14:textId="77777777" w:rsidR="003E0F58" w:rsidRPr="007C705C" w:rsidRDefault="003E0F58" w:rsidP="004D2249">
            <w:pPr>
              <w:jc w:val="center"/>
              <w:rPr>
                <w:rFonts w:cs="Times New Roman"/>
                <w:sz w:val="18"/>
                <w:szCs w:val="18"/>
                <w:lang w:val="cs-CZ"/>
              </w:rPr>
            </w:pPr>
            <w:r w:rsidRPr="007C705C">
              <w:rPr>
                <w:rFonts w:cs="Times New Roman"/>
                <w:sz w:val="18"/>
                <w:szCs w:val="18"/>
                <w:lang w:val="cs-CZ"/>
              </w:rPr>
              <w:t>% z celkové spotřeby energie</w:t>
            </w:r>
          </w:p>
        </w:tc>
        <w:tc>
          <w:tcPr>
            <w:tcW w:w="276" w:type="pct"/>
            <w:shd w:val="clear" w:color="auto" w:fill="auto"/>
            <w:vAlign w:val="center"/>
            <w:hideMark/>
          </w:tcPr>
          <w:p w14:paraId="7B908549" w14:textId="77777777" w:rsidR="003E0F58" w:rsidRPr="007C705C" w:rsidRDefault="003E0F58" w:rsidP="004D2249">
            <w:pPr>
              <w:jc w:val="center"/>
              <w:rPr>
                <w:rFonts w:cs="Times New Roman"/>
                <w:sz w:val="18"/>
                <w:lang w:val="cs-CZ"/>
              </w:rPr>
            </w:pPr>
            <w:r w:rsidRPr="007C705C">
              <w:rPr>
                <w:rFonts w:cs="Times New Roman"/>
                <w:sz w:val="18"/>
                <w:lang w:val="cs-CZ"/>
              </w:rPr>
              <w:t>2,</w:t>
            </w:r>
            <w:r w:rsidRPr="007C705C">
              <w:rPr>
                <w:rFonts w:cs="Times New Roman"/>
                <w:sz w:val="18"/>
                <w:szCs w:val="18"/>
                <w:lang w:val="cs-CZ"/>
              </w:rPr>
              <w:t>3</w:t>
            </w:r>
          </w:p>
        </w:tc>
        <w:tc>
          <w:tcPr>
            <w:tcW w:w="276" w:type="pct"/>
            <w:shd w:val="clear" w:color="auto" w:fill="auto"/>
            <w:vAlign w:val="center"/>
            <w:hideMark/>
          </w:tcPr>
          <w:p w14:paraId="72562984" w14:textId="77777777" w:rsidR="003E0F58" w:rsidRPr="007C705C" w:rsidRDefault="003E0F58" w:rsidP="004D2249">
            <w:pPr>
              <w:jc w:val="center"/>
              <w:rPr>
                <w:rFonts w:cs="Times New Roman"/>
                <w:sz w:val="18"/>
                <w:lang w:val="cs-CZ"/>
              </w:rPr>
            </w:pPr>
            <w:r w:rsidRPr="007C705C">
              <w:rPr>
                <w:rFonts w:cs="Times New Roman"/>
                <w:sz w:val="18"/>
                <w:lang w:val="cs-CZ"/>
              </w:rPr>
              <w:t>2,3</w:t>
            </w:r>
          </w:p>
        </w:tc>
        <w:tc>
          <w:tcPr>
            <w:tcW w:w="276" w:type="pct"/>
            <w:shd w:val="clear" w:color="auto" w:fill="auto"/>
            <w:vAlign w:val="center"/>
            <w:hideMark/>
          </w:tcPr>
          <w:p w14:paraId="6E83B1A6" w14:textId="77777777" w:rsidR="003E0F58" w:rsidRPr="007C705C" w:rsidRDefault="003E0F58" w:rsidP="004D2249">
            <w:pPr>
              <w:jc w:val="center"/>
              <w:rPr>
                <w:rFonts w:cs="Times New Roman"/>
                <w:sz w:val="18"/>
                <w:lang w:val="cs-CZ"/>
              </w:rPr>
            </w:pPr>
            <w:r w:rsidRPr="007C705C">
              <w:rPr>
                <w:rFonts w:cs="Times New Roman"/>
                <w:sz w:val="18"/>
                <w:lang w:val="cs-CZ"/>
              </w:rPr>
              <w:t>2,</w:t>
            </w:r>
            <w:r w:rsidRPr="007C705C">
              <w:rPr>
                <w:rFonts w:cs="Times New Roman"/>
                <w:sz w:val="18"/>
                <w:szCs w:val="18"/>
                <w:lang w:val="cs-CZ"/>
              </w:rPr>
              <w:t>4</w:t>
            </w:r>
          </w:p>
        </w:tc>
        <w:tc>
          <w:tcPr>
            <w:tcW w:w="276" w:type="pct"/>
            <w:shd w:val="clear" w:color="auto" w:fill="auto"/>
            <w:vAlign w:val="center"/>
            <w:hideMark/>
          </w:tcPr>
          <w:p w14:paraId="4D432185" w14:textId="77777777" w:rsidR="003E0F58" w:rsidRPr="007C705C" w:rsidRDefault="003E0F58" w:rsidP="004D2249">
            <w:pPr>
              <w:jc w:val="center"/>
              <w:rPr>
                <w:rFonts w:cs="Times New Roman"/>
                <w:sz w:val="18"/>
                <w:lang w:val="cs-CZ"/>
              </w:rPr>
            </w:pPr>
            <w:r w:rsidRPr="007C705C">
              <w:rPr>
                <w:rFonts w:cs="Times New Roman"/>
                <w:sz w:val="18"/>
                <w:lang w:val="cs-CZ"/>
              </w:rPr>
              <w:t>2,</w:t>
            </w:r>
            <w:r w:rsidRPr="007C705C">
              <w:rPr>
                <w:rFonts w:cs="Times New Roman"/>
                <w:sz w:val="18"/>
                <w:szCs w:val="18"/>
                <w:lang w:val="cs-CZ"/>
              </w:rPr>
              <w:t>4</w:t>
            </w:r>
          </w:p>
        </w:tc>
        <w:tc>
          <w:tcPr>
            <w:tcW w:w="276" w:type="pct"/>
            <w:shd w:val="clear" w:color="auto" w:fill="auto"/>
            <w:vAlign w:val="center"/>
            <w:hideMark/>
          </w:tcPr>
          <w:p w14:paraId="2369BAAB" w14:textId="77777777" w:rsidR="003E0F58" w:rsidRPr="007C705C" w:rsidRDefault="003E0F58" w:rsidP="004D2249">
            <w:pPr>
              <w:jc w:val="center"/>
              <w:rPr>
                <w:rFonts w:cs="Times New Roman"/>
                <w:sz w:val="18"/>
                <w:lang w:val="cs-CZ"/>
              </w:rPr>
            </w:pPr>
            <w:r w:rsidRPr="007C705C">
              <w:rPr>
                <w:rFonts w:cs="Times New Roman"/>
                <w:sz w:val="18"/>
                <w:lang w:val="cs-CZ"/>
              </w:rPr>
              <w:t>2,3</w:t>
            </w:r>
          </w:p>
        </w:tc>
        <w:tc>
          <w:tcPr>
            <w:tcW w:w="276" w:type="pct"/>
            <w:shd w:val="clear" w:color="auto" w:fill="auto"/>
            <w:vAlign w:val="center"/>
            <w:hideMark/>
          </w:tcPr>
          <w:p w14:paraId="2A2AF34F" w14:textId="77777777" w:rsidR="003E0F58" w:rsidRPr="007C705C" w:rsidRDefault="003E0F58" w:rsidP="004D2249">
            <w:pPr>
              <w:jc w:val="center"/>
              <w:rPr>
                <w:rFonts w:cs="Times New Roman"/>
                <w:sz w:val="18"/>
                <w:lang w:val="cs-CZ"/>
              </w:rPr>
            </w:pPr>
            <w:r w:rsidRPr="007C705C">
              <w:rPr>
                <w:rFonts w:cs="Times New Roman"/>
                <w:sz w:val="18"/>
                <w:lang w:val="cs-CZ"/>
              </w:rPr>
              <w:t>2,</w:t>
            </w:r>
            <w:r w:rsidRPr="007C705C">
              <w:rPr>
                <w:rFonts w:cs="Times New Roman"/>
                <w:sz w:val="18"/>
                <w:szCs w:val="18"/>
                <w:lang w:val="cs-CZ"/>
              </w:rPr>
              <w:t>5</w:t>
            </w:r>
          </w:p>
        </w:tc>
        <w:tc>
          <w:tcPr>
            <w:tcW w:w="276" w:type="pct"/>
            <w:shd w:val="clear" w:color="auto" w:fill="auto"/>
            <w:vAlign w:val="center"/>
            <w:hideMark/>
          </w:tcPr>
          <w:p w14:paraId="4CC4F896" w14:textId="77777777" w:rsidR="003E0F58" w:rsidRPr="007C705C" w:rsidRDefault="003E0F58" w:rsidP="004D2249">
            <w:pPr>
              <w:jc w:val="center"/>
              <w:rPr>
                <w:rFonts w:cs="Times New Roman"/>
                <w:sz w:val="18"/>
                <w:lang w:val="cs-CZ"/>
              </w:rPr>
            </w:pPr>
            <w:r w:rsidRPr="007C705C">
              <w:rPr>
                <w:rFonts w:cs="Times New Roman"/>
                <w:sz w:val="18"/>
                <w:lang w:val="cs-CZ"/>
              </w:rPr>
              <w:t>2,</w:t>
            </w:r>
            <w:r w:rsidRPr="007C705C">
              <w:rPr>
                <w:rFonts w:cs="Times New Roman"/>
                <w:sz w:val="18"/>
                <w:szCs w:val="18"/>
                <w:lang w:val="cs-CZ"/>
              </w:rPr>
              <w:t>5</w:t>
            </w:r>
          </w:p>
        </w:tc>
        <w:tc>
          <w:tcPr>
            <w:tcW w:w="276" w:type="pct"/>
            <w:shd w:val="clear" w:color="auto" w:fill="auto"/>
            <w:vAlign w:val="center"/>
            <w:hideMark/>
          </w:tcPr>
          <w:p w14:paraId="3B8178FF" w14:textId="77777777" w:rsidR="003E0F58" w:rsidRPr="007C705C" w:rsidRDefault="003E0F58" w:rsidP="004D2249">
            <w:pPr>
              <w:jc w:val="center"/>
              <w:rPr>
                <w:rFonts w:cs="Times New Roman"/>
                <w:sz w:val="18"/>
                <w:lang w:val="cs-CZ"/>
              </w:rPr>
            </w:pPr>
            <w:r w:rsidRPr="007C705C">
              <w:rPr>
                <w:rFonts w:cs="Times New Roman"/>
                <w:sz w:val="18"/>
                <w:lang w:val="cs-CZ"/>
              </w:rPr>
              <w:t>2,</w:t>
            </w:r>
            <w:r w:rsidRPr="007C705C">
              <w:rPr>
                <w:rFonts w:cs="Times New Roman"/>
                <w:sz w:val="18"/>
                <w:szCs w:val="18"/>
                <w:lang w:val="cs-CZ"/>
              </w:rPr>
              <w:t>4</w:t>
            </w:r>
          </w:p>
        </w:tc>
        <w:tc>
          <w:tcPr>
            <w:tcW w:w="276" w:type="pct"/>
            <w:shd w:val="clear" w:color="auto" w:fill="auto"/>
            <w:vAlign w:val="center"/>
            <w:hideMark/>
          </w:tcPr>
          <w:p w14:paraId="710B94B1" w14:textId="77777777" w:rsidR="003E0F58" w:rsidRPr="007C705C" w:rsidRDefault="003E0F58" w:rsidP="004D2249">
            <w:pPr>
              <w:jc w:val="center"/>
              <w:rPr>
                <w:rFonts w:cs="Times New Roman"/>
                <w:sz w:val="18"/>
                <w:lang w:val="cs-CZ"/>
              </w:rPr>
            </w:pPr>
            <w:r w:rsidRPr="007C705C">
              <w:rPr>
                <w:rFonts w:cs="Times New Roman"/>
                <w:sz w:val="18"/>
                <w:lang w:val="cs-CZ"/>
              </w:rPr>
              <w:t>2,4</w:t>
            </w:r>
          </w:p>
        </w:tc>
        <w:tc>
          <w:tcPr>
            <w:tcW w:w="276" w:type="pct"/>
            <w:shd w:val="clear" w:color="auto" w:fill="auto"/>
            <w:vAlign w:val="center"/>
            <w:hideMark/>
          </w:tcPr>
          <w:p w14:paraId="64544422" w14:textId="77777777" w:rsidR="003E0F58" w:rsidRPr="007C705C" w:rsidRDefault="003E0F58" w:rsidP="004D2249">
            <w:pPr>
              <w:jc w:val="center"/>
              <w:rPr>
                <w:rFonts w:cs="Times New Roman"/>
                <w:sz w:val="18"/>
                <w:lang w:val="cs-CZ"/>
              </w:rPr>
            </w:pPr>
            <w:r w:rsidRPr="007C705C">
              <w:rPr>
                <w:rFonts w:cs="Times New Roman"/>
                <w:sz w:val="18"/>
                <w:lang w:val="cs-CZ"/>
              </w:rPr>
              <w:t>2,</w:t>
            </w:r>
            <w:r w:rsidRPr="007C705C">
              <w:rPr>
                <w:rFonts w:cs="Times New Roman"/>
                <w:sz w:val="18"/>
                <w:szCs w:val="18"/>
                <w:lang w:val="cs-CZ"/>
              </w:rPr>
              <w:t>4</w:t>
            </w:r>
          </w:p>
        </w:tc>
      </w:tr>
    </w:tbl>
    <w:p w14:paraId="6EF0270D" w14:textId="45E8CA98" w:rsidR="003E0F58" w:rsidRPr="007C705C" w:rsidRDefault="003E0F58" w:rsidP="006A458C">
      <w:pPr>
        <w:pStyle w:val="UZEIZdroj"/>
      </w:pPr>
      <w:r w:rsidRPr="007C705C">
        <w:t>Zdroj: dopočet ÚZEI</w:t>
      </w:r>
    </w:p>
    <w:p w14:paraId="34419CAB" w14:textId="77777777" w:rsidR="00F07FA9" w:rsidRDefault="00F07FA9" w:rsidP="006A458C">
      <w:pPr>
        <w:pStyle w:val="UZEINormaln"/>
        <w:rPr>
          <w:rFonts w:eastAsiaTheme="minorEastAsia"/>
          <w:b/>
          <w:bCs/>
        </w:rPr>
      </w:pPr>
    </w:p>
    <w:p w14:paraId="0902295B" w14:textId="77777777" w:rsidR="00F07FA9" w:rsidRDefault="00F07FA9" w:rsidP="006A458C">
      <w:pPr>
        <w:pStyle w:val="UZEINormaln"/>
        <w:rPr>
          <w:rFonts w:eastAsiaTheme="minorEastAsia"/>
          <w:b/>
          <w:bCs/>
        </w:rPr>
      </w:pPr>
    </w:p>
    <w:p w14:paraId="0E172220" w14:textId="54242090" w:rsidR="003E0F58" w:rsidRPr="006A458C" w:rsidRDefault="003E0F58" w:rsidP="006A458C">
      <w:pPr>
        <w:pStyle w:val="UZEINormaln"/>
        <w:rPr>
          <w:rFonts w:eastAsiaTheme="minorEastAsia"/>
          <w:b/>
          <w:bCs/>
        </w:rPr>
      </w:pPr>
      <w:r w:rsidRPr="006A458C">
        <w:rPr>
          <w:rFonts w:eastAsiaTheme="minorEastAsia"/>
          <w:b/>
          <w:bCs/>
        </w:rPr>
        <w:t>Dopadové indikátory</w:t>
      </w:r>
    </w:p>
    <w:p w14:paraId="0B500EB5" w14:textId="7003298E" w:rsidR="003E0F58" w:rsidRPr="006A458C" w:rsidRDefault="003E0F58" w:rsidP="006A458C">
      <w:pPr>
        <w:pStyle w:val="UZEINormaln"/>
        <w:rPr>
          <w:rFonts w:eastAsiaTheme="minorEastAsia"/>
        </w:rPr>
      </w:pPr>
      <w:r w:rsidRPr="007C705C">
        <w:rPr>
          <w:rFonts w:eastAsiaTheme="minorEastAsia"/>
        </w:rPr>
        <w:t>I.12 Zvýšení podílu udržitelné energie v zemědělství: výroba energie z obnovitelných zdrojů v zemědělství a lesnictví</w:t>
      </w:r>
    </w:p>
    <w:p w14:paraId="1950EE7A" w14:textId="77777777" w:rsidR="003E0F58" w:rsidRPr="006A458C" w:rsidRDefault="003E0F58" w:rsidP="006A458C">
      <w:pPr>
        <w:pStyle w:val="UZEINormaln"/>
        <w:rPr>
          <w:rFonts w:eastAsiaTheme="minorEastAsia"/>
          <w:b/>
          <w:bCs/>
        </w:rPr>
      </w:pPr>
      <w:r w:rsidRPr="006A458C">
        <w:rPr>
          <w:rFonts w:eastAsiaTheme="minorEastAsia"/>
          <w:b/>
          <w:bCs/>
        </w:rPr>
        <w:t>Výsledkové indikátory</w:t>
      </w:r>
    </w:p>
    <w:p w14:paraId="03064501" w14:textId="632DA5AA" w:rsidR="00973CBC" w:rsidRPr="002A5EAD" w:rsidRDefault="003E0F58" w:rsidP="00973CBC">
      <w:pPr>
        <w:pStyle w:val="Default"/>
        <w:rPr>
          <w:rFonts w:cstheme="minorHAnsi"/>
          <w:color w:val="auto"/>
          <w:lang w:eastAsia="cs-CZ"/>
        </w:rPr>
      </w:pPr>
      <w:r w:rsidRPr="00A96E2A">
        <w:t xml:space="preserve">R.15 </w:t>
      </w:r>
      <w:r w:rsidR="00973CBC" w:rsidRPr="00A96E2A">
        <w:t xml:space="preserve"> </w:t>
      </w:r>
      <w:r w:rsidR="00973CBC" w:rsidRPr="00A96E2A">
        <w:rPr>
          <w:rFonts w:cstheme="minorHAnsi"/>
          <w:color w:val="auto"/>
          <w:lang w:eastAsia="cs-CZ"/>
        </w:rPr>
        <w:t xml:space="preserve">Energie z obnovitelných zdrojů ze zemědělství, lesnictví a z dalších obnovitelných zdrojů: Podpořené investice do kapacit pro výrobu energie z obnovitelných zdrojů, včetně biologických (v MW) </w:t>
      </w:r>
    </w:p>
    <w:p w14:paraId="7A2DFAF5" w14:textId="6F5D09D0" w:rsidR="00973CBC" w:rsidRPr="000952AD" w:rsidRDefault="003E0F58" w:rsidP="0065394F">
      <w:pPr>
        <w:pStyle w:val="UZEINormaln"/>
      </w:pPr>
      <w:r w:rsidRPr="00044AFD">
        <w:t xml:space="preserve">R.16 </w:t>
      </w:r>
      <w:r w:rsidR="00973CBC" w:rsidRPr="000952AD">
        <w:t xml:space="preserve">Přizpůsobování se změně klimatu: Podíl využívané zemědělské půdy, na niž se vztahují podpořené závazky týkající se lepšího přizpůsobování se změně klimatu </w:t>
      </w:r>
    </w:p>
    <w:p w14:paraId="7176CFF2" w14:textId="67C20AB0" w:rsidR="003E0F58" w:rsidRPr="00A96E2A" w:rsidRDefault="003E0F58" w:rsidP="006A458C">
      <w:pPr>
        <w:pStyle w:val="UZEINormaln"/>
        <w:rPr>
          <w:rFonts w:eastAsiaTheme="minorEastAsia"/>
        </w:rPr>
      </w:pPr>
    </w:p>
    <w:p w14:paraId="18D5E9A1" w14:textId="4D14115A" w:rsidR="004A1EF0" w:rsidRDefault="004A1EF0" w:rsidP="006A458C">
      <w:pPr>
        <w:pStyle w:val="UZEINormaln"/>
        <w:rPr>
          <w:rFonts w:eastAsiaTheme="minorEastAsia"/>
        </w:rPr>
      </w:pPr>
    </w:p>
    <w:p w14:paraId="15EA8509" w14:textId="77777777" w:rsidR="00C64A5C" w:rsidRPr="00A96E2A" w:rsidRDefault="00C64A5C" w:rsidP="006A458C">
      <w:pPr>
        <w:pStyle w:val="UZEINormaln"/>
        <w:rPr>
          <w:rFonts w:eastAsiaTheme="minorEastAsia"/>
        </w:rPr>
      </w:pPr>
    </w:p>
    <w:p w14:paraId="761458B1" w14:textId="77777777" w:rsidR="003E0F58" w:rsidRPr="00A96E2A" w:rsidRDefault="003E0F58" w:rsidP="006A458C">
      <w:pPr>
        <w:pStyle w:val="UZEINormaln"/>
        <w:rPr>
          <w:rFonts w:eastAsiaTheme="minorEastAsia"/>
          <w:b/>
          <w:bCs/>
        </w:rPr>
      </w:pPr>
      <w:r w:rsidRPr="00A96E2A">
        <w:rPr>
          <w:rFonts w:eastAsiaTheme="minorEastAsia"/>
          <w:b/>
          <w:bCs/>
        </w:rPr>
        <w:lastRenderedPageBreak/>
        <w:t>Výstupové indikátory</w:t>
      </w:r>
    </w:p>
    <w:p w14:paraId="059B8028" w14:textId="77777777" w:rsidR="003E0F58" w:rsidRPr="00A96E2A" w:rsidRDefault="003E0F58" w:rsidP="006A458C">
      <w:pPr>
        <w:pStyle w:val="UZEINormaln"/>
        <w:rPr>
          <w:rFonts w:eastAsiaTheme="minorEastAsia"/>
        </w:rPr>
      </w:pPr>
      <w:r w:rsidRPr="00A96E2A">
        <w:rPr>
          <w:rFonts w:eastAsiaTheme="minorEastAsia"/>
        </w:rPr>
        <w:t>Pro Klima nejsou vyznačeny žádné konkrétní indikátory. Několik dalších však může být vztaženo na Klima, např.:</w:t>
      </w:r>
    </w:p>
    <w:p w14:paraId="1AA81FC4" w14:textId="77777777" w:rsidR="00605A51" w:rsidRPr="00A96E2A" w:rsidRDefault="00605A51" w:rsidP="00605A51">
      <w:pPr>
        <w:autoSpaceDE w:val="0"/>
        <w:autoSpaceDN w:val="0"/>
        <w:adjustRightInd w:val="0"/>
        <w:jc w:val="left"/>
        <w:rPr>
          <w:rFonts w:ascii="TimesNewRomanPSMT" w:hAnsi="TimesNewRomanPSMT" w:cs="TimesNewRomanPSMT"/>
          <w:color w:val="000000"/>
          <w:szCs w:val="24"/>
          <w:lang w:val="cs-CZ"/>
        </w:rPr>
      </w:pPr>
      <w:r w:rsidRPr="00A96E2A">
        <w:rPr>
          <w:rFonts w:ascii="TimesNewRomanPSMT" w:hAnsi="TimesNewRomanPSMT" w:cs="TimesNewRomanPSMT"/>
          <w:color w:val="000000"/>
          <w:szCs w:val="24"/>
          <w:lang w:val="cs-CZ"/>
        </w:rPr>
        <w:t xml:space="preserve">O.20 Počet podpořených operací </w:t>
      </w:r>
      <w:r w:rsidRPr="00A96E2A">
        <w:rPr>
          <w:rFonts w:cs="Times New Roman"/>
          <w:color w:val="000000"/>
          <w:szCs w:val="24"/>
          <w:lang w:val="cs-CZ"/>
        </w:rPr>
        <w:t xml:space="preserve">nebo jednotek na </w:t>
      </w:r>
      <w:r w:rsidRPr="00A96E2A">
        <w:rPr>
          <w:rFonts w:ascii="TimesNewRomanPSMT" w:hAnsi="TimesNewRomanPSMT" w:cs="TimesNewRomanPSMT"/>
          <w:color w:val="000000"/>
          <w:szCs w:val="24"/>
          <w:lang w:val="cs-CZ"/>
        </w:rPr>
        <w:t xml:space="preserve">základě </w:t>
      </w:r>
      <w:r w:rsidRPr="00A96E2A">
        <w:rPr>
          <w:rFonts w:cs="Times New Roman"/>
          <w:color w:val="000000"/>
          <w:szCs w:val="24"/>
          <w:lang w:val="cs-CZ"/>
        </w:rPr>
        <w:t xml:space="preserve">produktivních investic realizovaných v </w:t>
      </w:r>
      <w:r w:rsidRPr="00A96E2A">
        <w:rPr>
          <w:rFonts w:ascii="TimesNewRomanPSMT" w:hAnsi="TimesNewRomanPSMT" w:cs="TimesNewRomanPSMT"/>
          <w:color w:val="000000"/>
          <w:szCs w:val="24"/>
          <w:lang w:val="cs-CZ"/>
        </w:rPr>
        <w:t xml:space="preserve">zemědělském podniku </w:t>
      </w:r>
    </w:p>
    <w:p w14:paraId="4712A630" w14:textId="77777777" w:rsidR="00605A51" w:rsidRPr="00A96E2A" w:rsidRDefault="00605A51" w:rsidP="00605A51">
      <w:pPr>
        <w:autoSpaceDE w:val="0"/>
        <w:autoSpaceDN w:val="0"/>
        <w:adjustRightInd w:val="0"/>
        <w:jc w:val="left"/>
        <w:rPr>
          <w:rFonts w:ascii="TimesNewRomanPSMT" w:hAnsi="TimesNewRomanPSMT" w:cs="TimesNewRomanPSMT"/>
          <w:color w:val="000000"/>
          <w:szCs w:val="24"/>
          <w:lang w:val="cs-CZ"/>
        </w:rPr>
      </w:pPr>
      <w:r w:rsidRPr="00A96E2A">
        <w:rPr>
          <w:rFonts w:ascii="TimesNewRomanPSMT" w:hAnsi="TimesNewRomanPSMT" w:cs="TimesNewRomanPSMT"/>
          <w:color w:val="000000"/>
          <w:szCs w:val="24"/>
          <w:lang w:val="cs-CZ"/>
        </w:rPr>
        <w:t xml:space="preserve">O.22 Počet podpořených operací nebo jednotek na základě </w:t>
      </w:r>
      <w:r w:rsidRPr="00A96E2A">
        <w:rPr>
          <w:rFonts w:cs="Times New Roman"/>
          <w:color w:val="000000"/>
          <w:szCs w:val="24"/>
          <w:lang w:val="cs-CZ"/>
        </w:rPr>
        <w:t xml:space="preserve">investic do infrastruktury </w:t>
      </w:r>
    </w:p>
    <w:p w14:paraId="7DB62C47" w14:textId="77777777" w:rsidR="00605A51" w:rsidRPr="00A96E2A" w:rsidRDefault="00605A51" w:rsidP="009305CE">
      <w:pPr>
        <w:pStyle w:val="UZEINormaln"/>
        <w:rPr>
          <w:rFonts w:ascii="TimesNewRomanPSMT" w:hAnsi="TimesNewRomanPSMT" w:cs="TimesNewRomanPSMT"/>
          <w:color w:val="000000"/>
        </w:rPr>
      </w:pPr>
      <w:r w:rsidRPr="00A96E2A">
        <w:rPr>
          <w:rFonts w:ascii="TimesNewRomanPSMT" w:hAnsi="TimesNewRomanPSMT" w:cs="TimesNewRomanPSMT"/>
          <w:color w:val="000000"/>
        </w:rPr>
        <w:t>O.24 Počet podpořených operací nebo jednotek na základě produktivních investic realizovaných mimo zemědělský p</w:t>
      </w:r>
      <w:r w:rsidRPr="00A96E2A">
        <w:rPr>
          <w:rFonts w:cs="Times New Roman"/>
          <w:color w:val="000000"/>
        </w:rPr>
        <w:t xml:space="preserve">odnik </w:t>
      </w:r>
    </w:p>
    <w:p w14:paraId="01EB4F57" w14:textId="03CAB9CF" w:rsidR="003E0F58" w:rsidRPr="002A5EAD" w:rsidRDefault="003E0F58" w:rsidP="006A458C">
      <w:pPr>
        <w:pStyle w:val="UZEINormaln"/>
        <w:rPr>
          <w:rFonts w:eastAsiaTheme="minorEastAsia"/>
        </w:rPr>
      </w:pPr>
      <w:r w:rsidRPr="00A96E2A">
        <w:rPr>
          <w:rFonts w:eastAsiaTheme="minorEastAsia"/>
        </w:rPr>
        <w:t xml:space="preserve">O.28 Počet jiných </w:t>
      </w:r>
      <w:r w:rsidR="00605A51" w:rsidRPr="00A96E2A">
        <w:rPr>
          <w:rFonts w:ascii="TimesNewRomanPSMT" w:hAnsi="TimesNewRomanPSMT" w:cs="TimesNewRomanPSMT"/>
          <w:color w:val="000000"/>
        </w:rPr>
        <w:t xml:space="preserve">operací nebo jednotek zaměřených </w:t>
      </w:r>
      <w:r w:rsidR="00605A51" w:rsidRPr="00A96E2A">
        <w:rPr>
          <w:rFonts w:cs="Times New Roman"/>
          <w:color w:val="000000"/>
        </w:rPr>
        <w:t xml:space="preserve">na </w:t>
      </w:r>
      <w:r w:rsidR="00605A51" w:rsidRPr="00A96E2A">
        <w:rPr>
          <w:rFonts w:ascii="TimesNewRomanPSMT" w:hAnsi="TimesNewRomanPSMT" w:cs="TimesNewRomanPSMT"/>
          <w:color w:val="000000"/>
        </w:rPr>
        <w:t xml:space="preserve">spolupráci </w:t>
      </w:r>
      <w:r w:rsidRPr="00A96E2A">
        <w:rPr>
          <w:rFonts w:eastAsiaTheme="minorEastAsia"/>
        </w:rPr>
        <w:t>(kromě EIP vykázaného v ukazateli O.1)</w:t>
      </w:r>
    </w:p>
    <w:p w14:paraId="4459B1F5" w14:textId="77777777" w:rsidR="00605A51" w:rsidRPr="007C705C" w:rsidRDefault="00605A51" w:rsidP="006A458C">
      <w:pPr>
        <w:pStyle w:val="UZEINormaln"/>
        <w:rPr>
          <w:rFonts w:eastAsiaTheme="minorEastAsia"/>
        </w:rPr>
      </w:pPr>
    </w:p>
    <w:p w14:paraId="121C7047" w14:textId="03791328" w:rsidR="003E0F58" w:rsidRPr="006A458C" w:rsidRDefault="006A458C" w:rsidP="006A458C">
      <w:pPr>
        <w:spacing w:after="160" w:line="259" w:lineRule="auto"/>
        <w:jc w:val="left"/>
        <w:rPr>
          <w:rFonts w:eastAsia="Calibri" w:cs="Times New Roman"/>
          <w:szCs w:val="24"/>
          <w:lang w:val="cs-CZ"/>
        </w:rPr>
      </w:pPr>
      <w:r>
        <w:br w:type="page"/>
      </w:r>
    </w:p>
    <w:p w14:paraId="7004B8E4" w14:textId="77777777" w:rsidR="003E0F58" w:rsidRPr="006A458C" w:rsidRDefault="003E0F58" w:rsidP="006A458C">
      <w:pPr>
        <w:pStyle w:val="Nadpis1"/>
      </w:pPr>
      <w:bookmarkStart w:id="215" w:name="_Toc521315959"/>
      <w:bookmarkStart w:id="216" w:name="_Toc522523036"/>
      <w:bookmarkStart w:id="217" w:name="_Toc523143773"/>
      <w:bookmarkStart w:id="218" w:name="_Toc523146690"/>
      <w:bookmarkStart w:id="219" w:name="_Toc7429644"/>
      <w:bookmarkStart w:id="220" w:name="_Toc7429846"/>
      <w:bookmarkStart w:id="221" w:name="_Toc7430777"/>
      <w:bookmarkStart w:id="222" w:name="_Toc7432029"/>
      <w:bookmarkStart w:id="223" w:name="_Toc9611297"/>
      <w:bookmarkStart w:id="224" w:name="_Toc23326652"/>
      <w:bookmarkStart w:id="225" w:name="_Toc23327259"/>
      <w:bookmarkStart w:id="226" w:name="_Toc77245892"/>
      <w:bookmarkStart w:id="227" w:name="_Toc81343097"/>
      <w:bookmarkStart w:id="228" w:name="_Toc81343160"/>
      <w:bookmarkStart w:id="229" w:name="_Toc81343229"/>
      <w:bookmarkStart w:id="230" w:name="_Toc94181679"/>
      <w:r w:rsidRPr="006A458C">
        <w:lastRenderedPageBreak/>
        <w:t>Stanovení skutečného problému, na který má politika reagovat Co je skutečným problémem, na který má/by měla politika v rámci jednotlivých dílčích cílů reagovat?</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0035E43D" w14:textId="77777777" w:rsidR="003E0F58" w:rsidRPr="007461F5" w:rsidRDefault="003E0F58" w:rsidP="007461F5">
      <w:pPr>
        <w:pStyle w:val="UZEINormaln"/>
        <w:rPr>
          <w:rFonts w:eastAsiaTheme="minorEastAsia"/>
          <w:b/>
          <w:bCs/>
        </w:rPr>
      </w:pPr>
      <w:r w:rsidRPr="007461F5">
        <w:rPr>
          <w:b/>
          <w:bCs/>
        </w:rPr>
        <w:t>KLIMA:</w:t>
      </w:r>
      <w:r w:rsidRPr="007461F5">
        <w:rPr>
          <w:b/>
          <w:bCs/>
        </w:rPr>
        <w:tab/>
      </w:r>
    </w:p>
    <w:p w14:paraId="2E81B0BB" w14:textId="77777777" w:rsidR="003E0F58" w:rsidRPr="007C705C" w:rsidRDefault="003E0F58" w:rsidP="008A1AE3">
      <w:pPr>
        <w:pStyle w:val="Odstavecseseznamem"/>
        <w:numPr>
          <w:ilvl w:val="0"/>
          <w:numId w:val="15"/>
        </w:numPr>
        <w:spacing w:before="60" w:line="360" w:lineRule="atLeast"/>
        <w:ind w:left="284" w:hanging="142"/>
        <w:rPr>
          <w:rFonts w:eastAsiaTheme="minorEastAsia"/>
          <w:b/>
          <w:bCs/>
        </w:rPr>
      </w:pPr>
      <w:r w:rsidRPr="007C705C">
        <w:rPr>
          <w:rFonts w:eastAsiaTheme="minorEastAsia"/>
          <w:b/>
          <w:bCs/>
        </w:rPr>
        <w:t>Nízká odolnost zemědělských podniků vůči klimatickým změnám</w:t>
      </w:r>
    </w:p>
    <w:p w14:paraId="4065D518" w14:textId="77777777" w:rsidR="003E0F58" w:rsidRPr="007C705C" w:rsidRDefault="003E0F58" w:rsidP="007461F5">
      <w:pPr>
        <w:pStyle w:val="UZEIOdrky"/>
        <w:rPr>
          <w:rFonts w:eastAsiaTheme="minorEastAsia"/>
        </w:rPr>
      </w:pPr>
      <w:r w:rsidRPr="007C705C">
        <w:rPr>
          <w:rFonts w:eastAsiaTheme="minorEastAsia"/>
        </w:rPr>
        <w:t>Narůstající teploty a klesající výnosy zemědělských plodin</w:t>
      </w:r>
    </w:p>
    <w:p w14:paraId="0A9322BF" w14:textId="1D634E33" w:rsidR="003E0F58" w:rsidRPr="00AB0F1F" w:rsidRDefault="003E0F58" w:rsidP="00AB0F1F">
      <w:pPr>
        <w:pStyle w:val="UZEINormaln"/>
        <w:rPr>
          <w:rFonts w:eastAsiaTheme="minorEastAsia"/>
        </w:rPr>
      </w:pPr>
      <w:r w:rsidRPr="00AB0F1F">
        <w:rPr>
          <w:rFonts w:eastAsiaTheme="minorEastAsia"/>
        </w:rPr>
        <w:t xml:space="preserve">Analýza současných trendů společně s modelovými studiemi umožňují předpokládat zvyšující se extremitu počasí s častějšími periodami sucha a vysokých teplot (Meehl et al. 2000). Současně bylo prokázáno, že mezi délkou vlny vysokých teplot a nedostatkem vody v půdě existuje těsná korelace (Hirschi et al. 2010) z čehož vyplývá, že existuje vysoká pravděpodobnost budoucího vážného ohrožení pěstovaných plodin kombinovaným stresem sucha a vysokých teplot. </w:t>
      </w:r>
      <w:r w:rsidRPr="00AB0F1F">
        <w:rPr>
          <w:rFonts w:eastAsia="Calibri"/>
        </w:rPr>
        <w:t>Dopady kombinovaného působení vysokých teplot a sucha jsou obzvláště vysoké (přesahující 50 %) v citlivých růstových fázích jako je např. formování generativních orgánů a kvetení (Urban et. al. 2018, Hlaváčová et al. 2018). Krátkodobý kombinovaný efekt vysokých teplot a sucha v citlivých růstových fázích tak může mít i několikanásobně vyšší dopady na produkci než účinky déletrvajícího sucha ve fázích, kdy je plodina relativně tolerantní.</w:t>
      </w:r>
    </w:p>
    <w:p w14:paraId="49A8A3DF" w14:textId="77777777" w:rsidR="003E0F58" w:rsidRPr="007C705C" w:rsidRDefault="003E0F58" w:rsidP="007461F5">
      <w:pPr>
        <w:pStyle w:val="UZEIOdrky"/>
        <w:rPr>
          <w:rFonts w:eastAsiaTheme="minorEastAsia"/>
        </w:rPr>
      </w:pPr>
      <w:r w:rsidRPr="007C705C">
        <w:rPr>
          <w:rFonts w:eastAsiaTheme="minorEastAsia"/>
        </w:rPr>
        <w:t xml:space="preserve">Šíření nových chorob, škůdců a plevelů </w:t>
      </w:r>
    </w:p>
    <w:p w14:paraId="65A37B79" w14:textId="77777777" w:rsidR="003E0F58" w:rsidRPr="007C705C" w:rsidRDefault="003E0F58" w:rsidP="00AB0F1F">
      <w:pPr>
        <w:pStyle w:val="UZEINormaln"/>
        <w:rPr>
          <w:rFonts w:eastAsiaTheme="minorEastAsia"/>
        </w:rPr>
      </w:pPr>
      <w:r w:rsidRPr="007C705C">
        <w:rPr>
          <w:rFonts w:eastAsiaTheme="minorEastAsia"/>
        </w:rPr>
        <w:t xml:space="preserve">Hlavní problém je rozšiřování nových a zvyšování škodlivosti stávajících škodlivých organismů (původci chorob, škůdci, plevele) v souvislosti se změnou klimatu. Dopady tohoto nepřímého efektu změny klimatu mohou několikanásobně převýšit přímé dopady na výnos a kvalitu (Luck et al. 2011).  Problém rozšiřování nových chorob, škůdců a plevelů, spočívá ve skutečnosti, že velmi často neexistují varovné a rozhodovací systémy, ani účinné metody regulace a ochrany. V nedávné minulosti lze za typický příklad považovat šíření Diabrotica virgifera (Středa et al. 2013). V případě plevelných druhů pak narůstající problémy způsobují zejména nepůvodní teplomilné druhy např. Kochia scoparia, Abutilon Theophrasti, Ambrosia artemisifolia (Mikulka 2011). Závažné problémy ale v zemědělské produkci zaznamenáváme v souvislosti se škodlivými organismy, které se zde běžně vyskytovaly, ale jejich škodlivost byla dříve relativně nízká (Ziska et al. 2011), v České republice např. (Pyrenophora tritici-repentis, Ramullaria collo-cygni, Puccinia striiformis apod.).    </w:t>
      </w:r>
    </w:p>
    <w:p w14:paraId="4BC4CC83" w14:textId="77777777" w:rsidR="003E0F58" w:rsidRPr="007C705C" w:rsidRDefault="003E0F58" w:rsidP="007461F5">
      <w:pPr>
        <w:pStyle w:val="UZEIOdrky"/>
        <w:rPr>
          <w:rFonts w:eastAsiaTheme="minorEastAsia"/>
        </w:rPr>
      </w:pPr>
      <w:r w:rsidRPr="007C705C">
        <w:rPr>
          <w:rFonts w:eastAsiaTheme="minorEastAsia"/>
        </w:rPr>
        <w:t>Nepříznivé trendy změny klimatu a vodní bilance půd</w:t>
      </w:r>
    </w:p>
    <w:p w14:paraId="57E6AB95" w14:textId="77777777" w:rsidR="003E0F58" w:rsidRPr="007C705C" w:rsidRDefault="003E0F58" w:rsidP="00AB0F1F">
      <w:pPr>
        <w:pStyle w:val="UZEINormaln"/>
        <w:rPr>
          <w:rFonts w:eastAsiaTheme="minorEastAsia"/>
        </w:rPr>
      </w:pPr>
      <w:r w:rsidRPr="007C705C">
        <w:t xml:space="preserve">Mezi hlavní oblasti změn patří nárůst teploty vzduchu, nárůst výskytu hydrometeorologických extrémů (četnější a intenzivnější epizody sucha, přívalové deště, povodně, mrazová poškození) s dopady v oblasti výnosů, půdní eroze apod. Pesimistické i optimistické scénáře předpokládají nárůst průměrné roční teploty vzduchu o 1 až 5 °C do konce 21. století oproti století předchozímu, přičemž na trendech k teplejším podmínkám i během 1. poloviny 21. století existuje vysoký stupeň shody napříč scénáři. Vyšší teploty pak vedou k větší výsušné schopnosti atmosféry a vyššímu výparu, což ovlivňuje vodní bilanci Ucelený přehled scénářů možného budoucího vývoje široké škály základních (např. teplota vzduchu, počet tropických dní) i komplexních indikátorů a vybraných dopadů pro ČR přináší webový portál </w:t>
      </w:r>
      <w:hyperlink r:id="rId15" w:history="1">
        <w:r w:rsidRPr="007C705C">
          <w:rPr>
            <w:rStyle w:val="Hypertextovodkaz"/>
            <w:rFonts w:cs="Times New Roman"/>
            <w:lang w:eastAsia="x-none"/>
          </w:rPr>
          <w:t>www.klimatickazmena.cz</w:t>
        </w:r>
      </w:hyperlink>
      <w:r w:rsidRPr="007C705C">
        <w:rPr>
          <w:rStyle w:val="Hypertextovodkaz"/>
          <w:rFonts w:cs="Times New Roman"/>
          <w:lang w:eastAsia="x-none"/>
        </w:rPr>
        <w:t>.</w:t>
      </w:r>
    </w:p>
    <w:p w14:paraId="475165D8" w14:textId="77777777" w:rsidR="003E0F58" w:rsidRPr="007C705C" w:rsidRDefault="003E0F58" w:rsidP="007461F5">
      <w:pPr>
        <w:pStyle w:val="UZEIOdrky"/>
        <w:rPr>
          <w:rFonts w:eastAsiaTheme="minorEastAsia"/>
        </w:rPr>
      </w:pPr>
      <w:r w:rsidRPr="007C705C">
        <w:rPr>
          <w:rFonts w:eastAsiaTheme="minorEastAsia"/>
        </w:rPr>
        <w:t>Negativní dopady zemědělského sucha</w:t>
      </w:r>
    </w:p>
    <w:p w14:paraId="18BCECD5" w14:textId="77777777" w:rsidR="003E0F58" w:rsidRPr="007C705C" w:rsidRDefault="003E0F58" w:rsidP="00AB0F1F">
      <w:pPr>
        <w:pStyle w:val="UZEINormaln"/>
        <w:rPr>
          <w:rFonts w:eastAsiaTheme="minorEastAsia"/>
        </w:rPr>
      </w:pPr>
      <w:r w:rsidRPr="007C705C">
        <w:rPr>
          <w:rFonts w:eastAsiaTheme="minorEastAsia"/>
        </w:rPr>
        <w:t xml:space="preserve">Význam dopadů nebude v rámci jednotlivých regionů symetrický. V chladných a srážkově bohatších vyšších polohách lze předpokládat v oblasti zemědělství menší negativní či dokonce pozitivní dopady na výnosy polních plodin, je však třeba počítat s limity jako je např. nižší </w:t>
      </w:r>
      <w:r w:rsidRPr="007C705C">
        <w:rPr>
          <w:rFonts w:eastAsiaTheme="minorEastAsia"/>
        </w:rPr>
        <w:lastRenderedPageBreak/>
        <w:t>půdní úrodnost a členitosti terénu. Ve středních a nižších polohách je třeba očekávat spíše negativních dopady na výnosy polních plodin v případě nástupu epizod zemědělského sucha. Kromě agrometeorologicky podmíněných rizik jako jsou především, teplé průběhy zim beze sněhu, ale s občasnými holomrazy, vpády studeného vzduchu do stále dříve nastupující vegetace (jarní mrazíky), stres plodin vysokými teplotami a zvláště snížená dostupnost vody v půdě pro vegetaci, bude produkce ohrožována i vhodnějšími podmínkami pro teplomilné druhy škodlivých organismů. Lze očekávat i rizika spojená s narůstající potřebou závlahové vody a současně její menší dostupnost v obdobích hydrologického sucha a v neposlední řadě i vyšší rizika požárů. Jedná se o trendy, které jsou patrné na základě pozorování v minulých desetiletích a dle současné úrovně poznání lze předpokládat jejich pokračování. Kvantifikaci dopadů a návrhu možných adaptačních opatření na úrovni regionů ČR i pilotních farem se komplexně věnuje materiál Generel vodního hospodářství krajiny ČR (</w:t>
      </w:r>
      <w:hyperlink r:id="rId16" w:history="1">
        <w:r w:rsidRPr="007C705C">
          <w:rPr>
            <w:rStyle w:val="Hypertextovodkaz"/>
            <w:rFonts w:cs="Times New Roman"/>
          </w:rPr>
          <w:t>https://www.spucr.cz/voda-sucho/generel-vodniho-hospodarstvi-krajiny-ceske-republiky</w:t>
        </w:r>
      </w:hyperlink>
      <w:r w:rsidRPr="007C705C">
        <w:rPr>
          <w:rFonts w:eastAsiaTheme="minorEastAsia"/>
        </w:rPr>
        <w:t>).</w:t>
      </w:r>
    </w:p>
    <w:p w14:paraId="22D6674B" w14:textId="77777777" w:rsidR="003E0F58" w:rsidRPr="007C705C" w:rsidRDefault="003E0F58" w:rsidP="007461F5">
      <w:pPr>
        <w:pStyle w:val="UZEIOdrky"/>
        <w:rPr>
          <w:rFonts w:eastAsiaTheme="minorEastAsia"/>
        </w:rPr>
      </w:pPr>
      <w:r w:rsidRPr="007C705C">
        <w:rPr>
          <w:rFonts w:eastAsiaTheme="minorEastAsia"/>
        </w:rPr>
        <w:t>Riziko vodní eroze a dalších degradačních faktorů</w:t>
      </w:r>
    </w:p>
    <w:p w14:paraId="16457FC4" w14:textId="77777777" w:rsidR="003E0F58" w:rsidRPr="007C705C" w:rsidRDefault="003E0F58" w:rsidP="00AB0F1F">
      <w:pPr>
        <w:pStyle w:val="UZEINormaln"/>
        <w:rPr>
          <w:rFonts w:eastAsiaTheme="minorEastAsia"/>
        </w:rPr>
      </w:pPr>
      <w:r w:rsidRPr="007C705C">
        <w:rPr>
          <w:rFonts w:eastAsiaTheme="minorEastAsia"/>
        </w:rPr>
        <w:t>V České republice je určitou formou vodní eroze potenciálně ohroženo 54 % zemědělské půdy (Půda v číslech, 2019). Tato skutečnost je dána především reliéfem naší krajiny, velikostí obhospodařovaných půdních bloků, poměrně významným zastoupením plodin tzv. „erozně nebezpečných“(Vopravil, 2010) a to v kontextu probíhající klimatické změny (narůstající extremita počasí – častější výskyt extrémních srážek, rychlostí větru či epizod sucha). Nadměrnou vodní erozí dochází ke ztrátě nejúrodnější části půdy (ornice), které následně vede ke snížení produkční schopnosti půdy, omezené retenci a infiltraci vody, ztrátám, osiv, hnojiv a vyplavování organické hmoty (Janeček et al., 2010). Vodní eroze působí škody nejenom na pozemcích, kde k ní dochází, ale i v celém povodí. Škody se projevují znečištěním vodních zdrojů, zanášením vodních nádrží a ve škodách na majetku a infrastruktuře. V současné době je maximální ztráta půdy v ČR vyčíslena na přibližně 21 mil. tun ornice za rok, což lze vyjádřit jako ekonomickou ztrátu minimálně 4,2 mld. Kč (MZe, 2018).</w:t>
      </w:r>
    </w:p>
    <w:p w14:paraId="45551B89" w14:textId="5AE46D12" w:rsidR="003E0F58" w:rsidRPr="007461F5" w:rsidRDefault="003E0F58" w:rsidP="00AB0F1F">
      <w:pPr>
        <w:pStyle w:val="UZEINormaln"/>
        <w:rPr>
          <w:rFonts w:eastAsiaTheme="minorEastAsia"/>
        </w:rPr>
      </w:pPr>
      <w:r w:rsidRPr="007C705C">
        <w:rPr>
          <w:rFonts w:eastAsiaTheme="minorEastAsia"/>
        </w:rPr>
        <w:t>Navíc je v ČR ohroženo kolem 49 % zemědělských půd utužením. Z toho přibližně 30 % je zranitelných tzv. genetickým utužením a více než 70 % je vystaveno tzv. technogennímu utužení (MZe, 2018).</w:t>
      </w:r>
    </w:p>
    <w:p w14:paraId="6D0E3FBE" w14:textId="0B5FD5ED" w:rsidR="003E0F58" w:rsidRPr="007C705C" w:rsidRDefault="003E0F58" w:rsidP="007461F5">
      <w:pPr>
        <w:pStyle w:val="UZEIOdrky"/>
        <w:rPr>
          <w:rFonts w:eastAsiaTheme="minorEastAsia"/>
        </w:rPr>
      </w:pPr>
      <w:r w:rsidRPr="007C705C">
        <w:rPr>
          <w:rFonts w:eastAsiaTheme="minorEastAsia"/>
        </w:rPr>
        <w:t xml:space="preserve">Nevhodné nakládání se srážkovou vodou v krajině </w:t>
      </w:r>
    </w:p>
    <w:p w14:paraId="56B05F39" w14:textId="77777777" w:rsidR="003E0F58" w:rsidRPr="007C705C" w:rsidRDefault="003E0F58" w:rsidP="00AB0F1F">
      <w:pPr>
        <w:pStyle w:val="UZEINormaln"/>
        <w:rPr>
          <w:rFonts w:eastAsiaTheme="minorEastAsia"/>
        </w:rPr>
      </w:pPr>
      <w:r w:rsidRPr="007C705C">
        <w:rPr>
          <w:rFonts w:eastAsiaTheme="minorEastAsia"/>
        </w:rPr>
        <w:t xml:space="preserve">Nedostatečná retenční a infiltrační schopnost půdy je způsobena vlivem degradačních procesů a lidské činnosti. Mezi degradační projevy patří eroze, utužení, dehumifikace (MZe, 2018), mezi negativní působení člověka se řadí zejména zábor ZPF pro zástavbu (VUMOP, 2017). Byly zrušeny a chybí krajinné prvky plnící funkci protierozní ochrany, které zároveň podporují biologickou rozmanitost, mikroklima a plní adaptační a mitigační funkce k ochraně klimatu (viz. NV 307/2014 Sb. Sb v aktuálním znění). </w:t>
      </w:r>
    </w:p>
    <w:p w14:paraId="4741E9A5" w14:textId="77777777" w:rsidR="003E0F58" w:rsidRPr="007C705C" w:rsidRDefault="003E0F58" w:rsidP="00AB0F1F">
      <w:pPr>
        <w:pStyle w:val="UZEINormaln"/>
        <w:rPr>
          <w:rFonts w:eastAsiaTheme="minorEastAsia"/>
        </w:rPr>
      </w:pPr>
      <w:r w:rsidRPr="007C705C">
        <w:rPr>
          <w:rFonts w:eastAsiaTheme="minorEastAsia"/>
        </w:rPr>
        <w:t>Staré nefunkční odvodňovací systémy (přes 1 mil. ha odvodněno) s nevhodnou regulací a nedostatečnou údržbou negativně ovlivňují hydrologické poměry v půdě a krajině stejně jako napřímená a zahloubená vodní koryta. Následkem toho dochází k zrychlenému odtoku vody. Není tak využito retenční kapacity příbřežní zóny a údolní nivy</w:t>
      </w:r>
      <w:r w:rsidRPr="007C705C">
        <w:t xml:space="preserve"> (Váška et al., 200)</w:t>
      </w:r>
      <w:r w:rsidRPr="007C705C">
        <w:rPr>
          <w:rFonts w:eastAsiaTheme="minorEastAsia"/>
        </w:rPr>
        <w:t>.</w:t>
      </w:r>
    </w:p>
    <w:p w14:paraId="46AD33E9" w14:textId="77777777" w:rsidR="003E0F58" w:rsidRPr="007C705C" w:rsidRDefault="003E0F58" w:rsidP="007461F5">
      <w:pPr>
        <w:pStyle w:val="UZEIOdrky"/>
        <w:rPr>
          <w:rFonts w:eastAsiaTheme="minorEastAsia"/>
        </w:rPr>
      </w:pPr>
      <w:r w:rsidRPr="007C705C">
        <w:rPr>
          <w:rFonts w:eastAsiaTheme="minorEastAsia"/>
        </w:rPr>
        <w:t>Zvyšování teplot</w:t>
      </w:r>
    </w:p>
    <w:p w14:paraId="7DAD4ABB" w14:textId="77777777" w:rsidR="003E0F58" w:rsidRPr="007C705C" w:rsidRDefault="003E0F58" w:rsidP="00AB0F1F">
      <w:pPr>
        <w:pStyle w:val="UZEINormaln"/>
        <w:rPr>
          <w:rFonts w:eastAsiaTheme="minorEastAsia"/>
        </w:rPr>
      </w:pPr>
      <w:r w:rsidRPr="007C705C">
        <w:rPr>
          <w:rFonts w:eastAsiaTheme="minorEastAsia"/>
        </w:rPr>
        <w:t xml:space="preserve">Pozorovaný růst teploty vede k růstu potenciální evapotranspirace v ročním průměru řádově o 5 – 10 %. K nejvýraznějšímu růstu evapotranspirace dochází v zimě, a to až o více než 20 %, což je způsobeno větším počtem dní s kladnými teplotami vzduchu (Pretel, 2011). Se změnou klimatu, především teploty, souvisí i změny fenologických charakteristik u živočichů a rostlin. Studie dokládají posun nástupu fenologických fází nejen u rostlin, ale i u hmyzu, ptáků a dalších organismů. Obdobné jevy jsou uvedeny pro některé druhy stromů a keřů významných pro </w:t>
      </w:r>
      <w:r w:rsidRPr="007C705C">
        <w:rPr>
          <w:rFonts w:eastAsiaTheme="minorEastAsia"/>
        </w:rPr>
        <w:lastRenderedPageBreak/>
        <w:t xml:space="preserve">zemědělskou nebo lesní produkci. Dochází tedy k rychlejšímu úbytku vody z krajiny. S kombinací vyšších teplot, sucha a úbytku dešťových srážek v jarním a zejména v letním období přímo souvisí také zvýšené riziko chřadnutí citlivých částí lesních porostů a také zvýšené riziko lesních požárů. </w:t>
      </w:r>
    </w:p>
    <w:p w14:paraId="7C18E702" w14:textId="77777777" w:rsidR="003E0F58" w:rsidRPr="007C705C" w:rsidRDefault="003E0F58" w:rsidP="007461F5">
      <w:pPr>
        <w:pStyle w:val="UZEIOdrky"/>
        <w:rPr>
          <w:rFonts w:eastAsiaTheme="minorEastAsia"/>
        </w:rPr>
      </w:pPr>
      <w:r w:rsidRPr="007C705C">
        <w:rPr>
          <w:rFonts w:eastAsiaTheme="minorEastAsia"/>
        </w:rPr>
        <w:t>Výskyt extrémních srážek</w:t>
      </w:r>
    </w:p>
    <w:p w14:paraId="62633A53" w14:textId="77777777" w:rsidR="003E0F58" w:rsidRPr="007C705C" w:rsidRDefault="003E0F58" w:rsidP="00AB0F1F">
      <w:pPr>
        <w:pStyle w:val="UZEINormaln"/>
        <w:rPr>
          <w:rFonts w:eastAsiaTheme="minorEastAsia"/>
        </w:rPr>
      </w:pPr>
      <w:r w:rsidRPr="007C705C">
        <w:rPr>
          <w:rFonts w:eastAsiaTheme="minorEastAsia"/>
        </w:rPr>
        <w:t>Přívalové letní povodně způsobené krátkodobými srážkami velké intenzity, které zasahují obvykle malá území, se mohou vyskytnout kdekoliv na malých vodních tocích, katastrofální důsledky mají zejména na sklonitých vějířovitých povodích (MŽP, 2015). Projevují se velmi rychlým vzestupem hladiny vody a následně i velmi rychlým poklesem. Mohou se vyskytovat i v místech bez vodních toků, kde charakter reliéfu a půdní pokryv může soustředit povrchový odtok. Vedle vysoké intenzity srážek zde sehrává velmi důležitou úlohu schopnost půdního povrchu vsakovat/zadržovat srážkovou vodu v podobě typu vegetačního pokryvu či protierozních opatření a aktuální stav nasycení půdního povrchu předchozími srážkami. Možnosti předpovídání přívalových povodní jsou velmi silně omezeny, a to vzhledem k prudké dynamice vývoje konvekční oblačnosti, ze které pocházejí přívalové srážky. I když meteorologické podmínky pro vznik silných přívalových srážek mohou být poměrně úspěšně předpovězeny, přesnou lokalizaci výskytu, trvání a intenzitu přívalových srážek a tím i konkrétní ohroženou lokalitu predikovat nelze.</w:t>
      </w:r>
    </w:p>
    <w:p w14:paraId="13C17313" w14:textId="77777777" w:rsidR="003E0F58" w:rsidRPr="007C705C" w:rsidRDefault="003E0F58" w:rsidP="007461F5">
      <w:pPr>
        <w:pStyle w:val="UZEIOdrky"/>
        <w:rPr>
          <w:rFonts w:eastAsiaTheme="minorEastAsia"/>
        </w:rPr>
      </w:pPr>
      <w:r w:rsidRPr="007C705C">
        <w:rPr>
          <w:rFonts w:eastAsiaTheme="minorEastAsia"/>
        </w:rPr>
        <w:t>Výskyt extrémních rychlostí větru</w:t>
      </w:r>
    </w:p>
    <w:p w14:paraId="7F68491C" w14:textId="77777777" w:rsidR="003E0F58" w:rsidRPr="007C705C" w:rsidRDefault="003E0F58" w:rsidP="00AB0F1F">
      <w:pPr>
        <w:pStyle w:val="UZEINormaln"/>
        <w:rPr>
          <w:rFonts w:eastAsiaTheme="minorEastAsia"/>
        </w:rPr>
      </w:pPr>
      <w:r w:rsidRPr="007C705C">
        <w:rPr>
          <w:rFonts w:eastAsiaTheme="minorEastAsia"/>
        </w:rPr>
        <w:t>V důsledku klimatické změny dochází k častějším výskytům extrémních rychlostí větru. V zemědělství jsou silným větrem ohroženy zejména plodiny s oporou (vinohrady, chmelnice), ale i ostatní plodiny a ovocné sady. V oblastech s častým nebo trvajícím suchem se za silného větru výrazně zvyšuje riziko větrné eroze. Tím spíše, pokud dochází k hospodaření na velkých scelených plochách bez funkčních prvků typu větrolamu, kdy v obdobích s převažujícími vyššími rychlostmi větru převládá na daných plochách holý povrch bez dostatečného rostlinného pokryvu. Silný nárazovitý vítr může způsobit v lesních porostech škody značného rozsahu, zejm. ve stejnověkých monokulturách. Tyto škody je zpravidla nutno odstraňovat neprodleně k zabránění šíření plísní, škůdců a chorob (MŽP, 2015).</w:t>
      </w:r>
    </w:p>
    <w:p w14:paraId="5EC9B3A0" w14:textId="77777777" w:rsidR="003E0F58" w:rsidRPr="007461F5" w:rsidRDefault="003E0F58" w:rsidP="007461F5">
      <w:pPr>
        <w:pStyle w:val="UZEIOdrky"/>
        <w:rPr>
          <w:rFonts w:eastAsiaTheme="minorEastAsia"/>
        </w:rPr>
      </w:pPr>
      <w:r w:rsidRPr="007461F5">
        <w:rPr>
          <w:rFonts w:eastAsiaTheme="minorEastAsia"/>
        </w:rPr>
        <w:t>Snižování zásob vody v půdě</w:t>
      </w:r>
    </w:p>
    <w:p w14:paraId="7AFCF616" w14:textId="77777777" w:rsidR="003E0F58" w:rsidRPr="007C705C" w:rsidRDefault="003E0F58" w:rsidP="00AB0F1F">
      <w:pPr>
        <w:pStyle w:val="UZEINormaln"/>
        <w:rPr>
          <w:rFonts w:eastAsiaTheme="minorEastAsia"/>
        </w:rPr>
      </w:pPr>
      <w:r w:rsidRPr="007C705C">
        <w:rPr>
          <w:rFonts w:eastAsiaTheme="minorEastAsia"/>
        </w:rPr>
        <w:t>Z klimatologického hlediska je sucho nahodile se opakující jev, který souvisí s nedostatkem vody v krajině. Vyznačuje se pomalým vznikem i vývojem s trváním v průběhu různě dlouhé sezóny, případně let. Rozlišují se tři typy sucha: meteorologické, půdní (někdy označované z hlediska dopadů jako sucho zemědělské) a hydrologické (na povrchových i podzemních vodách), jejichž důsledkem jsou dopady ekonomické, sociální i environmentální. Sucho vzniká v důsledku déletrvajícího srážkově deficitního období, které bývá umocněno vysokou teplotou vzduchu a zvýšeným výparem (MŽP, 2015).</w:t>
      </w:r>
    </w:p>
    <w:p w14:paraId="34DF903A" w14:textId="39EEF390" w:rsidR="003E0F58" w:rsidRPr="007461F5" w:rsidRDefault="003E0F58" w:rsidP="00AB0F1F">
      <w:pPr>
        <w:pStyle w:val="UZEINormaln"/>
        <w:rPr>
          <w:rFonts w:eastAsiaTheme="minorEastAsia"/>
        </w:rPr>
      </w:pPr>
      <w:r w:rsidRPr="007C705C">
        <w:rPr>
          <w:rFonts w:eastAsiaTheme="minorEastAsia"/>
        </w:rPr>
        <w:t>Zásadním problémem při výskytu dlouhodobého sucha je nedostatek vody ve zdrojích, které zajišťují potřeby obyvatelstva, prvků kritické infrastruktury, ekosystémů a s tím související omezení jejich schopnosti zajišťovat klíčové ekosystémové či společenské služby. V konečném důsledku může nedostatek vody vést k ohrožení zdraví a životů obyvatel, snížení hospodářské produkce, zvýšení rizika vzniku a šíření požárů vegetace a způsobovat poškození lesních porostů a porostů zemědělských kultur. Velmi důležitý je také negativní vliv sucha na degradaci zemědělské půdy, snížení její produkční schopnosti a náchylnost půdy k následné vodní či větrné erozi (ČHMÚ, 2018).</w:t>
      </w:r>
    </w:p>
    <w:p w14:paraId="7FACE3D2" w14:textId="77777777" w:rsidR="003E0F58" w:rsidRPr="007C705C" w:rsidRDefault="003E0F58" w:rsidP="008A1AE3">
      <w:pPr>
        <w:pStyle w:val="Odstavecseseznamem"/>
        <w:numPr>
          <w:ilvl w:val="0"/>
          <w:numId w:val="15"/>
        </w:numPr>
        <w:spacing w:before="60" w:line="360" w:lineRule="atLeast"/>
        <w:ind w:left="284" w:hanging="142"/>
        <w:rPr>
          <w:rFonts w:eastAsiaTheme="minorEastAsia"/>
          <w:b/>
          <w:bCs/>
        </w:rPr>
      </w:pPr>
      <w:r w:rsidRPr="007C705C">
        <w:rPr>
          <w:rFonts w:eastAsiaTheme="minorEastAsia"/>
          <w:b/>
          <w:bCs/>
        </w:rPr>
        <w:t>Vysoké emise GHG a NH</w:t>
      </w:r>
      <w:r w:rsidRPr="007C705C">
        <w:rPr>
          <w:rFonts w:eastAsiaTheme="minorEastAsia"/>
          <w:b/>
          <w:bCs/>
          <w:vertAlign w:val="subscript"/>
        </w:rPr>
        <w:t>3</w:t>
      </w:r>
      <w:r w:rsidRPr="007C705C">
        <w:rPr>
          <w:rFonts w:eastAsiaTheme="minorEastAsia"/>
          <w:b/>
          <w:bCs/>
        </w:rPr>
        <w:t xml:space="preserve"> ze zemědělství</w:t>
      </w:r>
    </w:p>
    <w:p w14:paraId="26ACFEEE" w14:textId="45B72CB3" w:rsidR="003E0F58" w:rsidRPr="007C705C" w:rsidRDefault="003E0F58" w:rsidP="007461F5">
      <w:pPr>
        <w:pStyle w:val="UZEIOdrky"/>
        <w:rPr>
          <w:rFonts w:eastAsiaTheme="minorEastAsia"/>
        </w:rPr>
      </w:pPr>
      <w:r w:rsidRPr="007C705C">
        <w:rPr>
          <w:rFonts w:eastAsiaTheme="minorEastAsia"/>
        </w:rPr>
        <w:t>Vysoké emise CO</w:t>
      </w:r>
      <w:r w:rsidRPr="007C705C">
        <w:rPr>
          <w:rFonts w:eastAsiaTheme="minorEastAsia"/>
          <w:vertAlign w:val="subscript"/>
        </w:rPr>
        <w:t>2</w:t>
      </w:r>
      <w:r w:rsidRPr="007C705C">
        <w:rPr>
          <w:rFonts w:eastAsiaTheme="minorEastAsia"/>
        </w:rPr>
        <w:t>, NO</w:t>
      </w:r>
      <w:r w:rsidRPr="007C705C">
        <w:rPr>
          <w:rFonts w:eastAsiaTheme="minorEastAsia"/>
          <w:vertAlign w:val="subscript"/>
        </w:rPr>
        <w:t>x</w:t>
      </w:r>
      <w:r w:rsidRPr="007C705C">
        <w:rPr>
          <w:rFonts w:eastAsiaTheme="minorEastAsia"/>
        </w:rPr>
        <w:t>, CH</w:t>
      </w:r>
      <w:r w:rsidRPr="007C705C">
        <w:rPr>
          <w:rFonts w:eastAsiaTheme="minorEastAsia"/>
          <w:vertAlign w:val="subscript"/>
        </w:rPr>
        <w:t>4</w:t>
      </w:r>
      <w:r w:rsidRPr="007C705C">
        <w:rPr>
          <w:rFonts w:eastAsiaTheme="minorEastAsia"/>
        </w:rPr>
        <w:t xml:space="preserve"> NH</w:t>
      </w:r>
      <w:r w:rsidRPr="007C705C">
        <w:rPr>
          <w:rFonts w:eastAsiaTheme="minorEastAsia"/>
          <w:vertAlign w:val="subscript"/>
        </w:rPr>
        <w:t>3</w:t>
      </w:r>
      <w:r w:rsidRPr="007C705C">
        <w:rPr>
          <w:rFonts w:eastAsiaTheme="minorEastAsia"/>
        </w:rPr>
        <w:t xml:space="preserve"> ze zemědělské půdy</w:t>
      </w:r>
    </w:p>
    <w:p w14:paraId="55BCABE1" w14:textId="4A77634D" w:rsidR="003E0F58" w:rsidRDefault="003E0F58" w:rsidP="00AB0F1F">
      <w:pPr>
        <w:pStyle w:val="UZEINormaln"/>
        <w:rPr>
          <w:rFonts w:eastAsiaTheme="minorEastAsia"/>
        </w:rPr>
      </w:pPr>
      <w:r w:rsidRPr="007C705C">
        <w:rPr>
          <w:rFonts w:eastAsiaTheme="minorEastAsia"/>
        </w:rPr>
        <w:lastRenderedPageBreak/>
        <w:t>Zemědělství produkuje emise dvou velmi účinných skleníkových plynů, a to oxidu dusného (N</w:t>
      </w:r>
      <w:r w:rsidRPr="007C705C">
        <w:rPr>
          <w:rFonts w:eastAsiaTheme="minorEastAsia"/>
          <w:vertAlign w:val="subscript"/>
        </w:rPr>
        <w:t>2</w:t>
      </w:r>
      <w:r w:rsidRPr="007C705C">
        <w:rPr>
          <w:rFonts w:eastAsiaTheme="minorEastAsia"/>
        </w:rPr>
        <w:t>O) a metanu (CH</w:t>
      </w:r>
      <w:r w:rsidRPr="007C705C">
        <w:rPr>
          <w:rFonts w:eastAsiaTheme="minorEastAsia"/>
          <w:vertAlign w:val="subscript"/>
        </w:rPr>
        <w:t>4</w:t>
      </w:r>
      <w:r w:rsidRPr="007C705C">
        <w:rPr>
          <w:rFonts w:eastAsiaTheme="minorEastAsia"/>
        </w:rPr>
        <w:t>). Právě N</w:t>
      </w:r>
      <w:r w:rsidRPr="007C705C">
        <w:rPr>
          <w:rFonts w:eastAsiaTheme="minorEastAsia"/>
          <w:vertAlign w:val="subscript"/>
        </w:rPr>
        <w:t>2</w:t>
      </w:r>
      <w:r w:rsidRPr="007C705C">
        <w:rPr>
          <w:rFonts w:eastAsiaTheme="minorEastAsia"/>
        </w:rPr>
        <w:t>O představuje mimořádně účinný skleníkový plyn vzhledem ke skutečnosti, že je schopen absorbovat tepelnou energii asi 310x efektivněji než CO</w:t>
      </w:r>
      <w:r w:rsidRPr="007C705C">
        <w:rPr>
          <w:rFonts w:eastAsiaTheme="minorEastAsia"/>
          <w:vertAlign w:val="subscript"/>
        </w:rPr>
        <w:t>2</w:t>
      </w:r>
      <w:r w:rsidRPr="007C705C">
        <w:rPr>
          <w:rFonts w:eastAsiaTheme="minorEastAsia"/>
        </w:rPr>
        <w:t>. Oxid dusný emitovaný především z intenzivně hnojených zemědělských půd tak představuje v přepočtu na ekvivalent CO</w:t>
      </w:r>
      <w:r w:rsidRPr="007C705C">
        <w:rPr>
          <w:rFonts w:eastAsiaTheme="minorEastAsia"/>
          <w:vertAlign w:val="subscript"/>
        </w:rPr>
        <w:t>2</w:t>
      </w:r>
      <w:r w:rsidRPr="007C705C">
        <w:rPr>
          <w:rFonts w:eastAsiaTheme="minorEastAsia"/>
        </w:rPr>
        <w:t xml:space="preserve"> hlavní příspěvek zemědělství ke skleníkovému efektu (zhruba 38 %). Další oxid dusný (v řádu několika procent) se emituje při skladování hnoje a případně jiných zemědělských aktivitách.  Emise oxidu dusného tedy souvisí především s nadměrnou aplikací dusíku a jeho špatným využitím rostlinami či mikroorganismy. V přirozených ekosystémech jsou emise oxidu dusného minimální. Odhaduje se, že podíl dusíku aplikovaného ve formě minerálních hnojiv, který následně uniká do ovzduší ve formě oxidu dusného, dosahuje jednotky až desítky procent. Nadměrné dávky minerálního dusíku na orné půdě jsou nevyužitelné plodinou a vedou tak k vysokým emisím oxidu dusného. Optimalizace dávek dusíku by současně se snížením emisí oxidu dusného přispěla k omezení kontaminace spodních a povrchových vod nitráty a ke zlepšení ekonomiky hospodaření na orné půdě. </w:t>
      </w:r>
    </w:p>
    <w:p w14:paraId="3DC08179" w14:textId="584C0B8D" w:rsidR="00335F26" w:rsidRPr="00B52450" w:rsidRDefault="00335F26" w:rsidP="00B52450">
      <w:pPr>
        <w:pStyle w:val="UZEINormaln"/>
        <w:rPr>
          <w:rFonts w:eastAsiaTheme="minorEastAsia"/>
        </w:rPr>
      </w:pPr>
      <w:r w:rsidRPr="00B52450">
        <w:rPr>
          <w:rFonts w:eastAsiaTheme="minorEastAsia"/>
        </w:rPr>
        <w:t>Sektor „Zemědělství“ je dominantním zdrojem emisí amoniaku (cca 90 % celkových emisí) a významným zdrojem primárních částic PM</w:t>
      </w:r>
      <w:r w:rsidRPr="00B52450">
        <w:rPr>
          <w:rFonts w:eastAsiaTheme="minorEastAsia"/>
          <w:vertAlign w:val="subscript"/>
        </w:rPr>
        <w:t>10</w:t>
      </w:r>
      <w:r w:rsidRPr="00B52450">
        <w:rPr>
          <w:rFonts w:eastAsiaTheme="minorEastAsia"/>
        </w:rPr>
        <w:t xml:space="preserve"> (téměř 17 % celkových emisí). Cílem by tedy mělo být snížit tyto negativní vlivy na životní prostředí. Hlavními přispívajícími odvětvími na konečné emisi je zemědělství, které představuje v součtu 83,9 % (oficiální data z </w:t>
      </w:r>
      <w:hyperlink r:id="rId17" w:history="1">
        <w:r w:rsidRPr="005D1920">
          <w:rPr>
            <w:rStyle w:val="Hypertextovodkaz"/>
            <w:rFonts w:eastAsiaTheme="minorEastAsia"/>
          </w:rPr>
          <w:t>www.ceip.at</w:t>
        </w:r>
      </w:hyperlink>
      <w:r w:rsidRPr="00B52450">
        <w:rPr>
          <w:rFonts w:eastAsiaTheme="minorEastAsia"/>
        </w:rPr>
        <w:t>).</w:t>
      </w:r>
    </w:p>
    <w:p w14:paraId="1D33C46B" w14:textId="77777777" w:rsidR="00335F26" w:rsidRPr="00B52450" w:rsidRDefault="00335F26" w:rsidP="00B52450">
      <w:pPr>
        <w:pStyle w:val="UZEINormaln"/>
        <w:rPr>
          <w:rFonts w:eastAsiaTheme="minorEastAsia"/>
        </w:rPr>
      </w:pPr>
      <w:r w:rsidRPr="00B52450">
        <w:rPr>
          <w:rFonts w:eastAsiaTheme="minorEastAsia"/>
        </w:rPr>
        <w:t>Živočišná výroba, kde vzniká kejda, chlévský hnůj nebo drůbeží trus, patří mezi největší producenty emisí amoniaku a skleníkových plynů (metan, oxid uhličitý, oxidy dusíku, sirovodík). Amoniak nemá tak podstatný význam na zesilování účinků skleníkového efektu jako oxid uhličitý nebo metan, ale jeho nebezpečnost je ve schopnosti vázat na sebe oxidy síry, které se nacházejí v ovzduší a může tak způsobit eutrofizaci (nadlimitní obohacování prostředí o živiny – zejména dusík), která narušuje kyslíkový režim vod a mění druhové složení. Tím je způsoben nedostatek světla, omezená rekreační využitelnost vod, okyselení a následný toxický účinek na ekosystém (Otrubová, 2017). Kromě toho, že se amoniak podílí na eutrofizaci, patří také mezi hlavní acidifikační plyny, které způsobují acidifikaci (proces, při kterém dochází k okyselování půdního nebo vodního prostředí vlivem zvýšení koncentrace vodíkových iontů). Acidifikace, eutrofizace a účinek ozónu jsou nejvýznamnější rizika pro ekosystém (NPSE, 2015). Podle údajů EEA výměra ekosystémů vystavených acidifikaci a eutrofizaci převyšující kritické zátěže v období 2002-2012 výrazně klesla vlivem snížení emisí SO</w:t>
      </w:r>
      <w:r w:rsidRPr="00B52450">
        <w:rPr>
          <w:rFonts w:eastAsiaTheme="minorEastAsia"/>
          <w:vertAlign w:val="subscript"/>
        </w:rPr>
        <w:t>2</w:t>
      </w:r>
      <w:r w:rsidRPr="00B52450">
        <w:rPr>
          <w:rFonts w:eastAsiaTheme="minorEastAsia"/>
        </w:rPr>
        <w:t>, NO</w:t>
      </w:r>
      <w:r w:rsidRPr="00B52450">
        <w:rPr>
          <w:rFonts w:eastAsiaTheme="minorEastAsia"/>
          <w:vertAlign w:val="subscript"/>
        </w:rPr>
        <w:t>X</w:t>
      </w:r>
      <w:r w:rsidRPr="00B52450">
        <w:rPr>
          <w:rFonts w:eastAsiaTheme="minorEastAsia"/>
        </w:rPr>
        <w:t xml:space="preserve"> a NH</w:t>
      </w:r>
      <w:r w:rsidRPr="00B52450">
        <w:rPr>
          <w:rFonts w:eastAsiaTheme="minorEastAsia"/>
          <w:vertAlign w:val="subscript"/>
        </w:rPr>
        <w:t>3</w:t>
      </w:r>
      <w:r w:rsidRPr="00B52450">
        <w:rPr>
          <w:rFonts w:eastAsiaTheme="minorEastAsia"/>
        </w:rPr>
        <w:t>. Referenční je dokument o BAT (BREF) „Intenzivní chov drůbeže nebo prasat,“ do kterého spadá problematika emisí amoniaku a zápachu z chovů hospodářských zvířat. Byl publikován v rozhodnutí komise č. 2017/302 dne 15. února 2017 a jsou zde uvedeny nejlepší dostupné techniky pro chov hospodářských zvířat.</w:t>
      </w:r>
    </w:p>
    <w:p w14:paraId="421AB227" w14:textId="77777777" w:rsidR="003E0F58" w:rsidRPr="007C705C" w:rsidRDefault="003E0F58" w:rsidP="005C67A8">
      <w:pPr>
        <w:pStyle w:val="UZEIOdrky"/>
        <w:rPr>
          <w:rFonts w:eastAsiaTheme="minorEastAsia"/>
        </w:rPr>
      </w:pPr>
      <w:r w:rsidRPr="007C705C">
        <w:rPr>
          <w:rFonts w:eastAsiaTheme="minorEastAsia"/>
        </w:rPr>
        <w:t>Nevyužívání půdoochranných technologií, které mají vliv na snižování emisí</w:t>
      </w:r>
    </w:p>
    <w:p w14:paraId="15314CB9" w14:textId="77777777" w:rsidR="003E0F58" w:rsidRPr="007C705C" w:rsidRDefault="003E0F58" w:rsidP="00AB0F1F">
      <w:pPr>
        <w:pStyle w:val="UZEINormaln"/>
        <w:rPr>
          <w:rFonts w:eastAsiaTheme="minorEastAsia"/>
        </w:rPr>
      </w:pPr>
      <w:r w:rsidRPr="007C705C">
        <w:rPr>
          <w:rFonts w:eastAsiaTheme="minorEastAsia"/>
        </w:rPr>
        <w:t>Výměna plynů mezi půdou a atmosférou je důležitým faktorem, který ovlivňuje uvolňování skleníkových plynů do ovzduší. Důležité jsou tři základní plyny – oxid uhličitý (CO</w:t>
      </w:r>
      <w:r w:rsidRPr="007C705C">
        <w:rPr>
          <w:rFonts w:eastAsiaTheme="minorEastAsia"/>
          <w:vertAlign w:val="subscript"/>
        </w:rPr>
        <w:t>2</w:t>
      </w:r>
      <w:r w:rsidRPr="007C705C">
        <w:rPr>
          <w:rFonts w:eastAsiaTheme="minorEastAsia"/>
        </w:rPr>
        <w:t>) oxid dusný (N</w:t>
      </w:r>
      <w:r w:rsidRPr="007C705C">
        <w:rPr>
          <w:rFonts w:eastAsiaTheme="minorEastAsia"/>
          <w:vertAlign w:val="subscript"/>
        </w:rPr>
        <w:t>2</w:t>
      </w:r>
      <w:r w:rsidRPr="007C705C">
        <w:rPr>
          <w:rFonts w:eastAsiaTheme="minorEastAsia"/>
        </w:rPr>
        <w:t>O) a metan (CH</w:t>
      </w:r>
      <w:r w:rsidRPr="007C705C">
        <w:rPr>
          <w:rFonts w:eastAsiaTheme="minorEastAsia"/>
          <w:vertAlign w:val="subscript"/>
        </w:rPr>
        <w:t>4</w:t>
      </w:r>
      <w:r w:rsidRPr="007C705C">
        <w:rPr>
          <w:rFonts w:eastAsiaTheme="minorEastAsia"/>
        </w:rPr>
        <w:t>). Únik CO</w:t>
      </w:r>
      <w:r w:rsidRPr="007C705C">
        <w:rPr>
          <w:rFonts w:eastAsiaTheme="minorEastAsia"/>
          <w:vertAlign w:val="subscript"/>
        </w:rPr>
        <w:t>2</w:t>
      </w:r>
      <w:r w:rsidRPr="007C705C">
        <w:rPr>
          <w:rFonts w:eastAsiaTheme="minorEastAsia"/>
        </w:rPr>
        <w:t xml:space="preserve"> do atmosféry se nazývá dýchání půdy. Tímto způsobem se každoročně uvolňuje do atmosféry 4-5 % ze zásob uhlíku </w:t>
      </w:r>
      <w:r w:rsidRPr="007C705C">
        <w:t>obsaženého v půdní organické hmotě. V rovnovážném systému se CO2 uvolněný půdním dýcháním spotřebuje na produkci biomasy (Hůla et Procházková, 2008)</w:t>
      </w:r>
      <w:r w:rsidRPr="007C705C">
        <w:rPr>
          <w:rFonts w:eastAsiaTheme="minorEastAsia"/>
        </w:rPr>
        <w:t>. Půdoochranné technologie v kombinaci s pěstováním meziplodin mají klíčový význam především pro dlouhodobé ukládání uhlíku do půdy, tedy omezení emisí CO</w:t>
      </w:r>
      <w:r w:rsidRPr="007C705C">
        <w:rPr>
          <w:rFonts w:eastAsiaTheme="minorEastAsia"/>
          <w:vertAlign w:val="subscript"/>
        </w:rPr>
        <w:t>2</w:t>
      </w:r>
      <w:r w:rsidRPr="007C705C">
        <w:rPr>
          <w:rFonts w:eastAsiaTheme="minorEastAsia"/>
        </w:rPr>
        <w:t xml:space="preserve">. Naopak jejich dopad z pohledu emisí oxidu dusného a metanu je spíše neutrální nebo může být za určitých podmínek (přemokření) mírně negativní. </w:t>
      </w:r>
    </w:p>
    <w:p w14:paraId="1F5924C8" w14:textId="77777777" w:rsidR="003E0F58" w:rsidRPr="007C705C" w:rsidRDefault="003E0F58" w:rsidP="00B52450">
      <w:pPr>
        <w:pStyle w:val="UZEIOdrky"/>
        <w:keepNext/>
        <w:ind w:left="714" w:hanging="357"/>
        <w:rPr>
          <w:rFonts w:eastAsiaTheme="minorEastAsia"/>
        </w:rPr>
      </w:pPr>
      <w:r w:rsidRPr="007C705C">
        <w:rPr>
          <w:rFonts w:eastAsiaTheme="minorEastAsia"/>
        </w:rPr>
        <w:t>Nevyužívání změn managementu na půdě – zalesňování a zatravňování ZPF</w:t>
      </w:r>
    </w:p>
    <w:p w14:paraId="1CDBAE47" w14:textId="3C8C405F" w:rsidR="003E0F58" w:rsidRPr="00A3373B" w:rsidRDefault="003E0F58" w:rsidP="00AB0F1F">
      <w:pPr>
        <w:pStyle w:val="UZEINormaln"/>
        <w:rPr>
          <w:rFonts w:eastAsiaTheme="minorEastAsia"/>
        </w:rPr>
      </w:pPr>
      <w:r w:rsidRPr="007C705C">
        <w:rPr>
          <w:rFonts w:eastAsiaTheme="minorEastAsia"/>
        </w:rPr>
        <w:t xml:space="preserve">Problém spočívá v nesprávném hospodaření na půdě a nevyužívání nových metod a zkušeností (Vopravil et al., 2017). Převod zemědělské půdy na lesní je zásah do krajiny, ke kterému je </w:t>
      </w:r>
      <w:r w:rsidRPr="007C705C">
        <w:rPr>
          <w:rFonts w:eastAsiaTheme="minorEastAsia"/>
        </w:rPr>
        <w:lastRenderedPageBreak/>
        <w:t>nutno přistupovat velmi citlivě, neboť jde o ekologicky významnou, odpovědnou, zavazující a zároveň nákladnou činnost (Černý et al., 1995). Nelze přitom opomenout především to, že zalesnění zemědělského pozemku změní jeho charakter, mění se tvář krajiny (Mikeska, 2003). Jedná se o dlouhodobý proces a případné vrácení lesního porostu zpět pro účely zemědělství je zejména legislativně, ale i technicky velmi složité a nákladné. I přesto je třeba najít způsoby, jak zemědělce motivovat k realizaci těchto půdoochranných technologií. Pouze razantní opatření typu zalesnění, nebo zatravnění mohou přispět k adaptaci krajiny ČR na změny klimatu. Právě zalesnění se stalo nedílnou součástí nadnárodní strategie k adaptaci vůči klimatu (MCPFE, 2007, KOM/2010/66, 2010).</w:t>
      </w:r>
    </w:p>
    <w:p w14:paraId="32B99B0F" w14:textId="77777777" w:rsidR="003E0F58" w:rsidRPr="007C705C" w:rsidRDefault="003E0F58" w:rsidP="00A3373B">
      <w:pPr>
        <w:pStyle w:val="UZEIOdrky"/>
        <w:rPr>
          <w:rFonts w:eastAsiaTheme="minorEastAsia"/>
        </w:rPr>
      </w:pPr>
      <w:r w:rsidRPr="007C705C">
        <w:rPr>
          <w:rFonts w:eastAsiaTheme="minorEastAsia"/>
        </w:rPr>
        <w:t>Pomalé zavádění technologií snižujících emise GHG a NH</w:t>
      </w:r>
      <w:r w:rsidRPr="007C705C">
        <w:rPr>
          <w:rFonts w:eastAsiaTheme="minorEastAsia"/>
          <w:vertAlign w:val="subscript"/>
        </w:rPr>
        <w:t>3</w:t>
      </w:r>
      <w:r w:rsidRPr="007C705C">
        <w:rPr>
          <w:rFonts w:eastAsiaTheme="minorEastAsia"/>
        </w:rPr>
        <w:t xml:space="preserve"> v živočišné a rostlinné výrobě</w:t>
      </w:r>
    </w:p>
    <w:p w14:paraId="28E784EF" w14:textId="7EC8185E" w:rsidR="003E0F58" w:rsidRDefault="003E0F58" w:rsidP="00AB0F1F">
      <w:pPr>
        <w:pStyle w:val="UZEINormaln"/>
        <w:rPr>
          <w:rFonts w:eastAsiaTheme="minorEastAsia"/>
        </w:rPr>
      </w:pPr>
      <w:r w:rsidRPr="007C705C">
        <w:rPr>
          <w:rFonts w:eastAsiaTheme="minorEastAsia"/>
        </w:rPr>
        <w:t>Produkce GHG není v rámci platných předpisů v ČR zakotvena. Pro produkci NH</w:t>
      </w:r>
      <w:r w:rsidRPr="007C705C">
        <w:rPr>
          <w:rFonts w:eastAsiaTheme="minorEastAsia"/>
          <w:vertAlign w:val="subscript"/>
        </w:rPr>
        <w:t>3</w:t>
      </w:r>
      <w:r w:rsidRPr="007C705C">
        <w:rPr>
          <w:rFonts w:eastAsiaTheme="minorEastAsia"/>
        </w:rPr>
        <w:t xml:space="preserve"> z chovů prasat a drůbeže s roční produkcí větší než 5000 kg NH</w:t>
      </w:r>
      <w:r w:rsidRPr="007C705C">
        <w:rPr>
          <w:rFonts w:eastAsiaTheme="minorEastAsia"/>
          <w:vertAlign w:val="subscript"/>
        </w:rPr>
        <w:t>3</w:t>
      </w:r>
      <w:r w:rsidRPr="007C705C">
        <w:rPr>
          <w:rFonts w:eastAsiaTheme="minorEastAsia"/>
        </w:rPr>
        <w:t xml:space="preserve"> za rok budou od roku 2020 platné limity uvedené v „PROVÁDĚCÍM ROZHODNUTÍ KOMISE (EU) 2017/302 ze dne 15. února 2017, kterým se stanoví závěry o nejlepších dostupných technikách (BAT) podle směrnice Evropského parlamentu a Rady 2010/75/EU pro intenzivní chov drůbeže nebo prasat (oznámeno pod číslem C(2017) 688)“. Limity produkce NH</w:t>
      </w:r>
      <w:r w:rsidRPr="007C705C">
        <w:rPr>
          <w:rFonts w:eastAsiaTheme="minorEastAsia"/>
          <w:vertAlign w:val="subscript"/>
        </w:rPr>
        <w:t>3</w:t>
      </w:r>
      <w:r w:rsidRPr="007C705C">
        <w:rPr>
          <w:rFonts w:eastAsiaTheme="minorEastAsia"/>
        </w:rPr>
        <w:t xml:space="preserve"> ani GHG pro chov skotu nejsou zatím stanoveny. Lze očekávat tlak na snižování emisí GHG ze zemědělství v rámci plnění závazků z Pařížské konference (2015)</w:t>
      </w:r>
      <w:r w:rsidRPr="007C705C">
        <w:t xml:space="preserve"> </w:t>
      </w:r>
      <w:r w:rsidRPr="007C705C">
        <w:rPr>
          <w:rFonts w:eastAsiaTheme="minorEastAsia"/>
        </w:rPr>
        <w:t>a s tím spojenou potřebu kvantifikace emisí GHG ze zemědělské činnosti – stanovení emisních faktorů pro GHG, zejména N</w:t>
      </w:r>
      <w:r w:rsidRPr="007C705C">
        <w:rPr>
          <w:rFonts w:eastAsiaTheme="minorEastAsia"/>
          <w:vertAlign w:val="subscript"/>
        </w:rPr>
        <w:t>2</w:t>
      </w:r>
      <w:r w:rsidRPr="007C705C">
        <w:rPr>
          <w:rFonts w:eastAsiaTheme="minorEastAsia"/>
        </w:rPr>
        <w:t>O a CH</w:t>
      </w:r>
      <w:r w:rsidRPr="007C705C">
        <w:rPr>
          <w:rFonts w:eastAsiaTheme="minorEastAsia"/>
          <w:vertAlign w:val="subscript"/>
        </w:rPr>
        <w:t>4</w:t>
      </w:r>
      <w:r w:rsidRPr="007C705C">
        <w:rPr>
          <w:rFonts w:eastAsiaTheme="minorEastAsia"/>
        </w:rPr>
        <w:t>.</w:t>
      </w:r>
    </w:p>
    <w:p w14:paraId="5D5BD6AB" w14:textId="668C2B2F" w:rsidR="00335F26" w:rsidRPr="00A3373B" w:rsidRDefault="00335F26" w:rsidP="00AB0F1F">
      <w:pPr>
        <w:pStyle w:val="UZEINormaln"/>
        <w:rPr>
          <w:rFonts w:eastAsiaTheme="minorEastAsia"/>
        </w:rPr>
      </w:pPr>
      <w:r w:rsidRPr="00B96B9F">
        <w:t>Technologie, které výrazněji snižují emise čpavku z intenzivních chovů, zejména prasat, nejsou zaváděny dostatečně rychle z důvodů nízké vymahatelnosti. Provozovatelé velkochovů nemají přímo povinnost měření emisí a volí levnější variantu, větrání do ovzduší, nikoliv např. systémy pro koncovou úpravu vzduchu proudícího z chovných hal, případně úpravy stájových technologií. Není také příliš časté zakrývaní skladovacích ploch statkových hnojiv. Ne vždy jsou také využity možnosti například krajinných prvků, které účinně snižují šíření emisí do okolí chovu. Stromy a keře působí jako přírodní biofiltr pro eliminaci pachových látek přenášených ve formě aerosolu</w:t>
      </w:r>
      <w:r w:rsidR="006B28F6">
        <w:t>.</w:t>
      </w:r>
    </w:p>
    <w:p w14:paraId="54E38B42" w14:textId="77777777" w:rsidR="003E0F58" w:rsidRPr="007C705C" w:rsidRDefault="003E0F58" w:rsidP="008A1AE3">
      <w:pPr>
        <w:pStyle w:val="Odstavecseseznamem"/>
        <w:numPr>
          <w:ilvl w:val="0"/>
          <w:numId w:val="15"/>
        </w:numPr>
        <w:spacing w:before="60" w:line="360" w:lineRule="atLeast"/>
        <w:ind w:left="284" w:hanging="142"/>
        <w:rPr>
          <w:rFonts w:eastAsiaTheme="minorEastAsia"/>
          <w:b/>
          <w:bCs/>
        </w:rPr>
      </w:pPr>
      <w:r w:rsidRPr="007C705C">
        <w:rPr>
          <w:rFonts w:eastAsiaTheme="minorEastAsia"/>
          <w:b/>
          <w:bCs/>
        </w:rPr>
        <w:t>Nízký obsah organického uhlíku v půdě</w:t>
      </w:r>
    </w:p>
    <w:p w14:paraId="758C826A" w14:textId="77777777" w:rsidR="00AB0F1F" w:rsidRDefault="003E0F58" w:rsidP="00AB0F1F">
      <w:pPr>
        <w:pStyle w:val="UZEIOdrky"/>
        <w:rPr>
          <w:rFonts w:eastAsiaTheme="minorEastAsia"/>
        </w:rPr>
      </w:pPr>
      <w:r w:rsidRPr="007C705C">
        <w:rPr>
          <w:rFonts w:eastAsiaTheme="minorEastAsia"/>
        </w:rPr>
        <w:t>Úbytek organického uhlíku v orné půdě</w:t>
      </w:r>
    </w:p>
    <w:p w14:paraId="2A4880AC" w14:textId="7C7A293A" w:rsidR="003E0F58" w:rsidRPr="00AB0F1F" w:rsidRDefault="003E0F58" w:rsidP="00AB0F1F">
      <w:pPr>
        <w:pStyle w:val="UZEIOdrky"/>
        <w:numPr>
          <w:ilvl w:val="0"/>
          <w:numId w:val="0"/>
        </w:numPr>
        <w:rPr>
          <w:rFonts w:eastAsiaTheme="minorEastAsia"/>
        </w:rPr>
      </w:pPr>
      <w:r w:rsidRPr="00AB0F1F">
        <w:rPr>
          <w:rFonts w:eastAsiaTheme="minorEastAsia"/>
        </w:rPr>
        <w:t>Problém nízké sekvestrace uhlíku na zemědělské půdě má dvě roviny:</w:t>
      </w:r>
    </w:p>
    <w:p w14:paraId="3A7D0068" w14:textId="77777777" w:rsidR="003E0F58" w:rsidRPr="007C705C" w:rsidRDefault="003E0F58" w:rsidP="00AB0F1F">
      <w:pPr>
        <w:pStyle w:val="UZEINormaln"/>
        <w:ind w:left="720"/>
        <w:rPr>
          <w:rFonts w:eastAsiaTheme="minorEastAsia"/>
        </w:rPr>
      </w:pPr>
      <w:r w:rsidRPr="007C705C">
        <w:rPr>
          <w:rFonts w:eastAsiaTheme="minorEastAsia"/>
        </w:rPr>
        <w:t>a) Zhoršování kvality půdy. S klesajícím obsahem organického uhlíku klesá retenční schopnost půd. Půda tak ztrácí schopnost zadržovat vodu pro následná suchá období. Podle Hudsona (1994), který provedl analýzu řady dřívějších studií na různých druzích půd, umožňuje zvýšení obsahu organického uhlíku z 0.5 % na 3 % zdvojnásobit polní vodní kapacitu.  Dalšími efekty je zvýšení mikrobiální aktivity a zlepšení cyklů živin v půdě.</w:t>
      </w:r>
    </w:p>
    <w:p w14:paraId="688558EA" w14:textId="77777777" w:rsidR="003E0F58" w:rsidRPr="007C705C" w:rsidRDefault="003E0F58" w:rsidP="00AB0F1F">
      <w:pPr>
        <w:pStyle w:val="UZEINormaln"/>
        <w:ind w:left="720"/>
        <w:rPr>
          <w:rFonts w:eastAsiaTheme="minorEastAsia"/>
        </w:rPr>
      </w:pPr>
      <w:r w:rsidRPr="007C705C">
        <w:rPr>
          <w:rFonts w:eastAsiaTheme="minorEastAsia"/>
        </w:rPr>
        <w:t xml:space="preserve">b) Zemědělství se z odvětví, které v uhlíkovém cyklu sehrávalo důležitou úlohu při ukládání uhlíku (podobně jako lesy) stalo za posledních 100 let odvětvím které má z pohledu uhlíku vyrovnanou bilanci a z pohledu všech emitovaných skleníkových plynů se pak stalo významným emitorem. </w:t>
      </w:r>
    </w:p>
    <w:p w14:paraId="5EB0FF9E" w14:textId="77777777" w:rsidR="003E0F58" w:rsidRPr="007C705C" w:rsidRDefault="003E0F58" w:rsidP="00AB0F1F">
      <w:pPr>
        <w:pStyle w:val="UZEINormaln"/>
        <w:rPr>
          <w:rFonts w:eastAsiaTheme="minorEastAsia"/>
        </w:rPr>
      </w:pPr>
      <w:r w:rsidRPr="007C705C">
        <w:rPr>
          <w:rFonts w:eastAsiaTheme="minorEastAsia"/>
        </w:rPr>
        <w:t>Ukládání uhlíku v půdě má tedy řadu synergických efektů přispívajících nejen k mitigaci prostřednictvím snižování množství CO</w:t>
      </w:r>
      <w:r w:rsidRPr="007C705C">
        <w:rPr>
          <w:rFonts w:eastAsiaTheme="minorEastAsia"/>
          <w:vertAlign w:val="subscript"/>
        </w:rPr>
        <w:t>2</w:t>
      </w:r>
      <w:r w:rsidRPr="007C705C">
        <w:rPr>
          <w:rFonts w:eastAsiaTheme="minorEastAsia"/>
        </w:rPr>
        <w:t xml:space="preserve"> v atmosféře, ale i k adaptaci vůči změně klimatu prostřednictvím zlepšení retence vody v půdě či zlepšení cyklů živin v půdě. </w:t>
      </w:r>
    </w:p>
    <w:p w14:paraId="474B3ED8" w14:textId="77777777" w:rsidR="003E0F58" w:rsidRPr="007C705C" w:rsidRDefault="003E0F58" w:rsidP="00A3373B">
      <w:pPr>
        <w:pStyle w:val="UZEIOdrky"/>
        <w:rPr>
          <w:rFonts w:eastAsiaTheme="minorEastAsia"/>
        </w:rPr>
      </w:pPr>
      <w:r w:rsidRPr="007C705C">
        <w:rPr>
          <w:rFonts w:eastAsiaTheme="minorEastAsia"/>
        </w:rPr>
        <w:t>Nedostatečné hospodaření na půdě z hlediska bilancování organické hmoty</w:t>
      </w:r>
    </w:p>
    <w:p w14:paraId="782E7FB3" w14:textId="6B6F89DA" w:rsidR="003E0F58" w:rsidRPr="00F07FA9" w:rsidRDefault="003E0F58" w:rsidP="00183E05">
      <w:pPr>
        <w:pStyle w:val="UZEINormaln"/>
        <w:rPr>
          <w:rFonts w:eastAsiaTheme="minorEastAsia"/>
        </w:rPr>
      </w:pPr>
      <w:r w:rsidRPr="007C705C">
        <w:rPr>
          <w:rFonts w:eastAsiaTheme="minorEastAsia"/>
        </w:rPr>
        <w:lastRenderedPageBreak/>
        <w:t>Problém spočívá (i) v rychlém rozkladu (mineralizaci) POH vlivem klimatu a (ii) v degradaci přirozené půdní bioty nutné k transformaci POH na humus (humifikaci). Půdní organická hmota (POH) představuje v půdě významnou a nezastupitelnou roli</w:t>
      </w:r>
      <w:r w:rsidRPr="007C705C">
        <w:t xml:space="preserve"> (Brady et Weil; Bronick, 2005)</w:t>
      </w:r>
      <w:r w:rsidRPr="007C705C">
        <w:rPr>
          <w:rFonts w:eastAsiaTheme="minorEastAsia"/>
        </w:rPr>
        <w:t xml:space="preserve">. Půda s optimálním obsahem POH dokáže lépe odolávat degradačním činitelům (eroze, utužení), zvyšuje se její retenční potenciál a v neposlední řadě ovlivňuje úrodnost </w:t>
      </w:r>
      <w:r w:rsidRPr="007C705C">
        <w:t>(Morgan, 2005)</w:t>
      </w:r>
      <w:r w:rsidRPr="007C705C">
        <w:rPr>
          <w:rFonts w:eastAsiaTheme="minorEastAsia"/>
        </w:rPr>
        <w:t xml:space="preserve">. V posledních letech jsme svědky extrémních výkyvů počasí. Často se vyskytují dlouhá období sucha a intenzivní přívalové deště, během kterých se voda do půdy nestačí infiltrovat, dochází k velkému povrchovému odtoku, s nímž jsou z pozemků odplaveny i částice půdy </w:t>
      </w:r>
      <w:r w:rsidRPr="007C705C">
        <w:t>(Vopravil, Rožnovský et al., 2012)</w:t>
      </w:r>
      <w:r w:rsidRPr="007C705C">
        <w:rPr>
          <w:rFonts w:eastAsiaTheme="minorEastAsia"/>
        </w:rPr>
        <w:t>. Přitom zdravá půda s optimálním obsahem POH dokáže infiltrovat až 340 l/m</w:t>
      </w:r>
      <w:r w:rsidRPr="007C705C">
        <w:rPr>
          <w:rFonts w:eastAsiaTheme="minorEastAsia"/>
          <w:vertAlign w:val="superscript"/>
        </w:rPr>
        <w:t xml:space="preserve">2 </w:t>
      </w:r>
      <w:r w:rsidRPr="007C705C">
        <w:rPr>
          <w:rFonts w:eastAsiaTheme="minorEastAsia"/>
        </w:rPr>
        <w:t>(VÚMOP, 2018).</w:t>
      </w:r>
    </w:p>
    <w:p w14:paraId="2AE5DE8E" w14:textId="77777777" w:rsidR="003E0F58" w:rsidRPr="007C705C" w:rsidRDefault="003E0F58" w:rsidP="008A1AE3">
      <w:pPr>
        <w:pStyle w:val="Odstavecseseznamem"/>
        <w:numPr>
          <w:ilvl w:val="0"/>
          <w:numId w:val="15"/>
        </w:numPr>
        <w:spacing w:before="60" w:line="360" w:lineRule="atLeast"/>
        <w:ind w:left="284" w:hanging="142"/>
        <w:rPr>
          <w:rFonts w:eastAsiaTheme="minorEastAsia"/>
          <w:b/>
          <w:bCs/>
        </w:rPr>
      </w:pPr>
      <w:r w:rsidRPr="007C705C">
        <w:rPr>
          <w:rFonts w:eastAsiaTheme="minorEastAsia"/>
          <w:b/>
          <w:bCs/>
        </w:rPr>
        <w:t>Nevyužitý potenciál a neefektivní výroba energií z OZE v zemědělství a lesnictví</w:t>
      </w:r>
    </w:p>
    <w:p w14:paraId="4F97B00C" w14:textId="77777777" w:rsidR="003E0F58" w:rsidRPr="007C705C" w:rsidRDefault="003E0F58" w:rsidP="00A3373B">
      <w:pPr>
        <w:pStyle w:val="UZEIOdrky"/>
        <w:rPr>
          <w:rFonts w:eastAsiaTheme="minorEastAsia"/>
        </w:rPr>
      </w:pPr>
      <w:r w:rsidRPr="007C705C">
        <w:rPr>
          <w:rFonts w:eastAsiaTheme="minorEastAsia"/>
        </w:rPr>
        <w:t>Stagnující nárůst podílu biomasy na výrobě energie z OZE a nevyužitý potenciál lesní dendromasy, BRKO</w:t>
      </w:r>
    </w:p>
    <w:p w14:paraId="09499A9F" w14:textId="2717336C" w:rsidR="003E0F58" w:rsidRPr="007C705C" w:rsidRDefault="003E0F58" w:rsidP="00A3373B">
      <w:pPr>
        <w:pStyle w:val="UZEINormaln"/>
        <w:rPr>
          <w:rFonts w:eastAsiaTheme="minorEastAsia"/>
        </w:rPr>
      </w:pPr>
      <w:r w:rsidRPr="007C705C">
        <w:rPr>
          <w:rFonts w:eastAsiaTheme="minorEastAsia"/>
        </w:rPr>
        <w:t>Členské státy (ČS) musí dle RED II respektive nařízení o správě energetické unie do roku 2030 kolektivně zajistit dosažení podílu obnovitelných zdrojů energie na hrubé konečné spotřebě na úrovni 32%. ČS si v této souvislosti stanoví své vnitrostátní cíle v tzv. Integrovaných národních klimaticko – energetických plánech. V případě ČR vláda schválila v lednu 2019 Vnitrostátní Návrh vnitrostátního klimaticko energetický energetického plánu (dále jen „klimaplán“), který stanovil cíl pro podíl OZE na hrubé spotřebě energie k roku 2030 prozatím ve výši 20,9 %, ovšem konečná hodnota po projednání návrhu klimaplánu s Evropskou komisí bude pravděpodobně minimálně 23 % energie z OZE. Nově připravovaný systém podpory zvyšování podílu POZE na celkové spotřebě energií v ČR po roce 2020 počítá dle tohoto „klimaplánu</w:t>
      </w:r>
      <w:r w:rsidRPr="007C705C">
        <w:rPr>
          <w:rStyle w:val="Znakapoznpodarou"/>
          <w:rFonts w:eastAsiaTheme="minorEastAsia"/>
        </w:rPr>
        <w:footnoteReference w:id="2"/>
      </w:r>
      <w:r w:rsidRPr="007C705C">
        <w:rPr>
          <w:rFonts w:eastAsiaTheme="minorEastAsia"/>
        </w:rPr>
        <w:t xml:space="preserve">“s rostoucí spotřebou biomasy jako jedné z forem zdrojů obnovitelné energie pro celé období do roku 2030.  V posledních 3 sledovaných </w:t>
      </w:r>
      <w:r w:rsidRPr="006B3018">
        <w:rPr>
          <w:rFonts w:eastAsiaTheme="minorEastAsia"/>
        </w:rPr>
        <w:t>letech (</w:t>
      </w:r>
      <w:r w:rsidR="006B3018" w:rsidRPr="006B3018">
        <w:rPr>
          <w:rFonts w:eastAsiaTheme="minorEastAsia"/>
        </w:rPr>
        <w:fldChar w:fldCharType="begin"/>
      </w:r>
      <w:r w:rsidR="006B3018" w:rsidRPr="006B3018">
        <w:rPr>
          <w:rFonts w:eastAsiaTheme="minorEastAsia"/>
        </w:rPr>
        <w:instrText xml:space="preserve"> REF _Ref7418457 \r \h </w:instrText>
      </w:r>
      <w:r w:rsidR="006B3018" w:rsidRPr="006B3018">
        <w:rPr>
          <w:rFonts w:eastAsiaTheme="minorEastAsia"/>
        </w:rPr>
      </w:r>
      <w:r w:rsidR="006B3018" w:rsidRPr="006B3018">
        <w:rPr>
          <w:rFonts w:eastAsiaTheme="minorEastAsia"/>
        </w:rPr>
        <w:fldChar w:fldCharType="separate"/>
      </w:r>
      <w:r w:rsidR="00127D64">
        <w:rPr>
          <w:rFonts w:eastAsiaTheme="minorEastAsia"/>
        </w:rPr>
        <w:t>Tabulka 38</w:t>
      </w:r>
      <w:r w:rsidR="006B3018" w:rsidRPr="006B3018">
        <w:rPr>
          <w:rFonts w:eastAsiaTheme="minorEastAsia"/>
        </w:rPr>
        <w:fldChar w:fldCharType="end"/>
      </w:r>
      <w:r w:rsidRPr="006B3018">
        <w:rPr>
          <w:rFonts w:eastAsiaTheme="minorEastAsia"/>
        </w:rPr>
        <w:t xml:space="preserve">) </w:t>
      </w:r>
      <w:r w:rsidRPr="007C705C">
        <w:rPr>
          <w:rFonts w:eastAsiaTheme="minorEastAsia"/>
        </w:rPr>
        <w:t>výroba OZE z biomasy v zemědělství a lesnictví stagnuje. Navíc podle sekce 16000 Mze bude dřevní biomasy dostatek a její dostupnost pro energetické využití bude záviset jen na ceně.</w:t>
      </w:r>
    </w:p>
    <w:p w14:paraId="67BD8C91" w14:textId="77777777" w:rsidR="003E0F58" w:rsidRPr="007C705C" w:rsidRDefault="003E0F58" w:rsidP="006A25DD">
      <w:pPr>
        <w:pStyle w:val="UZEIOdrky"/>
        <w:rPr>
          <w:rFonts w:eastAsiaTheme="minorEastAsia"/>
        </w:rPr>
      </w:pPr>
      <w:r w:rsidRPr="007C705C">
        <w:rPr>
          <w:rFonts w:eastAsiaTheme="minorEastAsia"/>
        </w:rPr>
        <w:t>Nedostatečná produkce cíleně pěstované energetické biomasy s nízkým rizikem půdní eroze (traviny, jeteloviny, luskoviny a případně další druhy plodin nebo jejich směsi využitelné v energetice, rychle rostoucí dřeviny – RRD)</w:t>
      </w:r>
    </w:p>
    <w:p w14:paraId="6DC68977" w14:textId="77777777" w:rsidR="003E0F58" w:rsidRPr="007C705C" w:rsidRDefault="003E0F58" w:rsidP="00A63563">
      <w:pPr>
        <w:pStyle w:val="UZEIOdrky"/>
        <w:rPr>
          <w:rFonts w:eastAsiaTheme="minorEastAsia"/>
        </w:rPr>
      </w:pPr>
      <w:r w:rsidRPr="007C705C">
        <w:rPr>
          <w:rFonts w:eastAsiaTheme="minorEastAsia"/>
        </w:rPr>
        <w:t>Tento problém úzce souvisí s následujícím problémem popsaným v dalším bodě. Podle nově připravovaného systému podpory POZE se počítá mj. s těmito zdroji biomasy jako způsobilými k podpoře nových zdrojů. Cílem je omezení negativních dopadů na půdu, emise GHG a produkci potravin. Potenciál zemědělství v tomto ohledu není dostatečně využit, což může v budoucnu vyvolat nedostatek biomasy pro nové zdroje. Dalším přínosem pěstování těchto plodin je pozitivní vliv na bilanci C:N v půdě, což umožňuje půdním mikroorganizmům lépe využívat POH (Klír, VÚRV). Vysoký podíl využívání cíleně pěstované energetické biomasy s rizikem půdní eroze vůči biomase odpadní či cílené biomase s nízkým erozním rizikem</w:t>
      </w:r>
    </w:p>
    <w:p w14:paraId="7FC8162D" w14:textId="61A2D728" w:rsidR="003E0F58" w:rsidRPr="00A63563" w:rsidRDefault="003E0F58" w:rsidP="00A63563">
      <w:pPr>
        <w:pStyle w:val="UZEINormaln"/>
        <w:rPr>
          <w:rFonts w:eastAsiaTheme="minorEastAsia"/>
        </w:rPr>
      </w:pPr>
      <w:r w:rsidRPr="007C705C">
        <w:rPr>
          <w:rFonts w:eastAsiaTheme="minorEastAsia"/>
        </w:rPr>
        <w:t xml:space="preserve">Zejména s rozvojem bioplynových stanic v letech 2007–2013 došlo k neomezenému využívání kukuřičných a jiných obilných siláží jako vsázkových materiálů pro jejich provoz. Z pohledu provozovatelů těchto zařízení se jedná o ekonomicky nejefektivnější palivové zdroje. Nadměrné využívání těchto zdrojů vede k zvyšování rizika půdní eroze a degradace půd s negativními dopady na půdní bilanci C:N (Klír, VÚRV). Obdobná situace je také u konvenčních biopaliv. </w:t>
      </w:r>
    </w:p>
    <w:p w14:paraId="3A07C1A5" w14:textId="77777777" w:rsidR="003E0F58" w:rsidRPr="007C705C" w:rsidRDefault="003E0F58" w:rsidP="00A63563">
      <w:pPr>
        <w:pStyle w:val="UZEIOdrky"/>
        <w:rPr>
          <w:rFonts w:eastAsiaTheme="minorEastAsia"/>
        </w:rPr>
      </w:pPr>
      <w:r w:rsidRPr="007C705C">
        <w:rPr>
          <w:rFonts w:eastAsiaTheme="minorEastAsia"/>
        </w:rPr>
        <w:t>Nízká účinnost stávajících provozoven/výroben energií z biomasy</w:t>
      </w:r>
    </w:p>
    <w:p w14:paraId="5505B104" w14:textId="223F63FC" w:rsidR="003E0F58" w:rsidRPr="001B3346" w:rsidRDefault="003E0F58" w:rsidP="001B3346">
      <w:pPr>
        <w:pStyle w:val="UZEINormaln"/>
        <w:rPr>
          <w:rFonts w:eastAsiaTheme="minorEastAsia"/>
        </w:rPr>
      </w:pPr>
      <w:r w:rsidRPr="007C705C">
        <w:rPr>
          <w:rFonts w:eastAsiaTheme="minorEastAsia"/>
        </w:rPr>
        <w:lastRenderedPageBreak/>
        <w:t>Některé dříve postavené provozovny často plně nevyužívají energetický potenciál biomasy. Projevuje se to zejména při výrobě elektřiny mimo režim KVET, kde vzniká velké množství odpadního dále nevyužitého tepla. Tím jednak dochází k plýtvání samotnými zdroji biomasy, ale také se snižuje konkurenceschopnost těchto zařízení. Vzhledem k poměrně benevolentním kritériím pro KVET, kdy spodní hranicí KVET je účinnost výroby nad 45%, není ani u některých zařízení využívajících podporu na KVET celkové využití paliva (biomasy) příliš efektivní a bylo by vhodné podpořit zvýšení jejich energetické účinnosti například přechodem z výroby elektřiny na výrobu biometanu. U výroben vyrábějících pouze teplo je často problémem roční zatížení zařízení, vysoké investiční nebo palivové náklady.</w:t>
      </w:r>
    </w:p>
    <w:p w14:paraId="7CA39957" w14:textId="77777777" w:rsidR="00C64A5C" w:rsidRDefault="00C64A5C" w:rsidP="00A63563">
      <w:pPr>
        <w:pStyle w:val="UZEINormaln"/>
        <w:rPr>
          <w:b/>
          <w:bCs/>
        </w:rPr>
      </w:pPr>
    </w:p>
    <w:p w14:paraId="5664CA08" w14:textId="141B76A7" w:rsidR="003E0F58" w:rsidRPr="00A63563" w:rsidRDefault="003E0F58" w:rsidP="00A63563">
      <w:pPr>
        <w:pStyle w:val="UZEINormaln"/>
        <w:rPr>
          <w:b/>
          <w:bCs/>
        </w:rPr>
      </w:pPr>
      <w:r w:rsidRPr="00A63563">
        <w:rPr>
          <w:b/>
          <w:bCs/>
        </w:rPr>
        <w:t>LESY:</w:t>
      </w:r>
    </w:p>
    <w:p w14:paraId="73A77E1A" w14:textId="77777777" w:rsidR="003E0F58" w:rsidRPr="007C705C" w:rsidRDefault="003E0F58" w:rsidP="008A1AE3">
      <w:pPr>
        <w:pStyle w:val="Odstavecseseznamem"/>
        <w:numPr>
          <w:ilvl w:val="0"/>
          <w:numId w:val="15"/>
        </w:numPr>
        <w:spacing w:before="60" w:line="360" w:lineRule="atLeast"/>
        <w:ind w:left="284" w:hanging="142"/>
        <w:rPr>
          <w:rFonts w:eastAsiaTheme="minorEastAsia"/>
          <w:b/>
          <w:bCs/>
        </w:rPr>
      </w:pPr>
      <w:r w:rsidRPr="007C705C">
        <w:rPr>
          <w:rFonts w:eastAsiaTheme="minorEastAsia"/>
          <w:b/>
          <w:bCs/>
        </w:rPr>
        <w:t xml:space="preserve">Zdravotní stav lesů </w:t>
      </w:r>
    </w:p>
    <w:p w14:paraId="7B9DAC8B" w14:textId="54E6E519" w:rsidR="003E0F58" w:rsidRPr="007C705C" w:rsidRDefault="003E0F58" w:rsidP="00A63563">
      <w:pPr>
        <w:pStyle w:val="UZEINormaln"/>
        <w:rPr>
          <w:rFonts w:eastAsia="Calibri"/>
        </w:rPr>
      </w:pPr>
      <w:r w:rsidRPr="007C705C">
        <w:rPr>
          <w:rFonts w:eastAsia="Calibri"/>
        </w:rPr>
        <w:t xml:space="preserve">Zdravotní stav lesů není uspokojivý ani z hlediska průměrné defoliace, ani z hlediska výše nahodilých těžeb. Průměrná defoliace hlavních dřevin – smrku, borovice a dubu se dlouhodobě pohybuje nad hodnotou 30 %, u borových porostů dlouhodobě stoupá, </w:t>
      </w:r>
      <w:r w:rsidRPr="007C705C">
        <w:t xml:space="preserve">u smrku a dubu výrazně narostla v posledních třech letech </w:t>
      </w:r>
      <w:r w:rsidRPr="007C705C">
        <w:rPr>
          <w:rFonts w:eastAsia="Calibri"/>
        </w:rPr>
        <w:t xml:space="preserve">(Fabiánek, 2018; </w:t>
      </w:r>
      <w:r w:rsidRPr="007C705C">
        <w:t>Vejpustková 2019; Fabiánek, Neudertová Hellebrandová 2020). Přitom je nutné vzít v úvahu, že přinejmenším u smrku data ze sítě ICP Forests v období kůrovcové kalamity defoliaci podhodnocují, neboť odumřelé a vytěžené stromy nejsou do hodnocení zahrnuty</w:t>
      </w:r>
      <w:r w:rsidRPr="007C705C">
        <w:rPr>
          <w:rFonts w:eastAsia="Calibri"/>
        </w:rPr>
        <w:t>. Výše nahodilých těžeb v posledním desetiletí permanentně</w:t>
      </w:r>
      <w:r w:rsidRPr="007C705C" w:rsidDel="00CA44A4">
        <w:rPr>
          <w:rFonts w:eastAsia="Calibri"/>
        </w:rPr>
        <w:t xml:space="preserve"> </w:t>
      </w:r>
      <w:r w:rsidRPr="007C705C">
        <w:rPr>
          <w:rFonts w:eastAsia="Calibri"/>
        </w:rPr>
        <w:t>narůstá. Na rozdíl od minulosti (např. let 2000–2007) není tento nárůst způsoben abiotickými faktory (vítr, sníh, námraza), ale především biotickými činiteli a z části suchem. Z pohledu ochrany lesa proti hmyzím škůdcům lze období posledních</w:t>
      </w:r>
      <w:r w:rsidR="00A82AF8">
        <w:rPr>
          <w:rFonts w:eastAsia="Calibri"/>
        </w:rPr>
        <w:t xml:space="preserve">. </w:t>
      </w:r>
      <w:r w:rsidRPr="007C705C">
        <w:rPr>
          <w:rFonts w:eastAsia="Calibri"/>
        </w:rPr>
        <w:t xml:space="preserve">let hodnotit velmi nepříznivě, zejména vzhledem k trvající gradaci podkorního hmyzu vázaného na smrk a borovici. Početnost této skupiny škůdců a působené poškození trvale narůstá. V roce 2019 byly zaznamenány vůbec nejvyšší objemy kůrovcových těžeb na našem území v historii. Překonány byly “rekordní” roky 2017 a 2018, kdy bylo předstiženo dosud nejhorší období let 2007–2008, resp. 1993–1995. Výše evidovaných </w:t>
      </w:r>
      <w:r w:rsidRPr="007C705C">
        <w:t xml:space="preserve">(vztaženo na cca 70 % rozlohy lesů v Česku, odkud má Lesní ochranná služba k dispozici data o realizovaných nahodilých těžbách) </w:t>
      </w:r>
      <w:r w:rsidRPr="007C705C">
        <w:rPr>
          <w:rFonts w:eastAsia="Calibri"/>
        </w:rPr>
        <w:t>nahodilých těžeb vzrostla v roce 2019 na cca 19,3 mil. m</w:t>
      </w:r>
      <w:r w:rsidRPr="007C705C">
        <w:rPr>
          <w:rFonts w:eastAsia="Calibri"/>
          <w:vertAlign w:val="superscript"/>
        </w:rPr>
        <w:t>3</w:t>
      </w:r>
      <w:r w:rsidRPr="007C705C">
        <w:rPr>
          <w:rFonts w:eastAsia="Calibri"/>
        </w:rPr>
        <w:t>, z toho na abiotická poškození připadlo 4,4 mil. m</w:t>
      </w:r>
      <w:r w:rsidRPr="007C705C">
        <w:rPr>
          <w:rFonts w:eastAsia="Calibri"/>
          <w:vertAlign w:val="superscript"/>
        </w:rPr>
        <w:t>3</w:t>
      </w:r>
      <w:r w:rsidRPr="007C705C">
        <w:rPr>
          <w:rFonts w:eastAsia="Calibri"/>
        </w:rPr>
        <w:t>. Působením biotických činitelů bylo v roce 2019 podle evidence poškozeno kolem 14,9 mil. m</w:t>
      </w:r>
      <w:r w:rsidRPr="007C705C">
        <w:rPr>
          <w:rFonts w:eastAsia="Calibri"/>
          <w:vertAlign w:val="superscript"/>
        </w:rPr>
        <w:t>3</w:t>
      </w:r>
      <w:r w:rsidRPr="007C705C">
        <w:rPr>
          <w:rFonts w:eastAsia="Calibri"/>
        </w:rPr>
        <w:t xml:space="preserve"> dřevní hmoty. Opět, již čtvrtým rokem, tak podle dostupné evidence došlo k vyššímu poškození biotickými činiteli než z abiotických příčin (</w:t>
      </w:r>
      <w:r w:rsidRPr="007C705C">
        <w:t>Knížek, Liška 2020; Lubojacký et al. 2020</w:t>
      </w:r>
      <w:r w:rsidRPr="007C705C">
        <w:rPr>
          <w:rFonts w:eastAsia="Calibri"/>
        </w:rPr>
        <w:t>.</w:t>
      </w:r>
    </w:p>
    <w:p w14:paraId="6AF14F7F" w14:textId="77777777" w:rsidR="003E0F58" w:rsidRPr="007C705C" w:rsidRDefault="003E0F58" w:rsidP="008A1AE3">
      <w:pPr>
        <w:pStyle w:val="Odstavecseseznamem"/>
        <w:numPr>
          <w:ilvl w:val="0"/>
          <w:numId w:val="15"/>
        </w:numPr>
        <w:spacing w:before="60" w:line="360" w:lineRule="atLeast"/>
        <w:ind w:left="284" w:hanging="142"/>
        <w:rPr>
          <w:rFonts w:eastAsiaTheme="minorEastAsia"/>
          <w:b/>
          <w:bCs/>
        </w:rPr>
      </w:pPr>
      <w:r w:rsidRPr="007C705C">
        <w:rPr>
          <w:rFonts w:eastAsiaTheme="minorEastAsia"/>
          <w:b/>
          <w:bCs/>
        </w:rPr>
        <w:t>Druhové, věkové a prostorové složení lesních porostů</w:t>
      </w:r>
    </w:p>
    <w:p w14:paraId="4683B6D8" w14:textId="77777777" w:rsidR="003E0F58" w:rsidRPr="007C705C" w:rsidRDefault="003E0F58" w:rsidP="00A63563">
      <w:pPr>
        <w:pStyle w:val="UZEINormaln"/>
        <w:rPr>
          <w:rFonts w:eastAsia="Calibri"/>
        </w:rPr>
      </w:pPr>
      <w:r w:rsidRPr="007C705C">
        <w:rPr>
          <w:rFonts w:eastAsia="Calibri"/>
        </w:rPr>
        <w:t xml:space="preserve">Problémy se zdravotním stavem lesů do značné míry vyplývají z pozměněné druhové, věkové a prostorové skladby lesních porostů. Ta z historických důvodů výrazně upřednostňuje vysoce produktivní dřeviny – zejména smrk oproti přirozené i přírodě blízké druhové skladbě lesů. Naopak zastoupení buku, dubu, jedle i řady dalších dřevin je oproti optimálnímu stavu stále nízké. Změna druhové skladby postupně probíhá v mezích možností daných dlouhodobým produkčním cyklem postupně – např. zastoupení smrku pokleslo od roku 2000 o 4,6 procentního bodu% (MZe 2020). Zejména ale smrkové porosty nejvíce ohrožené změnou klimatu nebyly v dostatečné míře podsazované vhodnými listnáči a jedlí. Vyššímu uplatnění listnáčů a jedle brání mimo jiné nadměrné stavy spárkaté zvěře. V souvislosti se současným odumírám lesních porostů v oblasti Moravy a Slezska lze předpokládat rychlejší změnu zastoupení dřevin. Na to však navazují další problémy spojené s rychlou obnovou lesa na rozlehlých územích, především zajištění dostatku vhodného reprodukčního materiálu a ochrana založených kultur proti zvěři. </w:t>
      </w:r>
    </w:p>
    <w:p w14:paraId="460A521D" w14:textId="77777777" w:rsidR="003E0F58" w:rsidRPr="007C705C" w:rsidRDefault="003E0F58" w:rsidP="00A63563">
      <w:pPr>
        <w:pStyle w:val="UZEINormaln"/>
        <w:rPr>
          <w:rFonts w:eastAsia="Calibri"/>
        </w:rPr>
      </w:pPr>
      <w:r w:rsidRPr="007C705C">
        <w:rPr>
          <w:rFonts w:eastAsia="Calibri"/>
        </w:rPr>
        <w:lastRenderedPageBreak/>
        <w:t>Zdravotní stav lesů budou v následujících dekádách ovlivňovat extrémní situace i dlouhodobé výkyvy povětrnostních podmínek v souvislosti s probíhající změnou klimatu (MŽP 2015). Plošnými rozpady je ohrožena většina současných smrkových porostů. Vzhledem k dlouhověkosti dřevin, komplexnosti změn v globálním ekosystému i různým scénářům změny klimatu nelze k této skutečnosti přistupovat schematicky – například posunem druhové skladby mezi jednotlivými vegetačními stupni. Vhodnou strategií je postupné budování druhově, věkově i strukturně bohatých lesních porostů, které jsou schopny odolávat různým typům stresových faktorů. K tomuto cíli vede kromě vhodné volby cílových dřevin také využívání širokého spektra melioračních a zpevňujících dřevin včetně rozumného zastoupení introdukovaných a zdomácnělých druhů dřevin (Kacálek et al. 2017) dále pak vhodná volba hospodářských postupů.</w:t>
      </w:r>
    </w:p>
    <w:p w14:paraId="14FCED9E" w14:textId="77777777" w:rsidR="003E0F58" w:rsidRPr="007C705C" w:rsidRDefault="003E0F58" w:rsidP="008A1AE3">
      <w:pPr>
        <w:pStyle w:val="Odstavecseseznamem"/>
        <w:numPr>
          <w:ilvl w:val="0"/>
          <w:numId w:val="15"/>
        </w:numPr>
        <w:spacing w:before="60" w:line="360" w:lineRule="atLeast"/>
        <w:ind w:left="284" w:hanging="142"/>
        <w:rPr>
          <w:rFonts w:eastAsiaTheme="minorEastAsia"/>
          <w:b/>
          <w:bCs/>
        </w:rPr>
      </w:pPr>
      <w:r w:rsidRPr="007C705C">
        <w:rPr>
          <w:rFonts w:eastAsiaTheme="minorEastAsia"/>
          <w:b/>
          <w:bCs/>
        </w:rPr>
        <w:t>Protierozní, protipovodňová a retenční opatření v lesích</w:t>
      </w:r>
    </w:p>
    <w:p w14:paraId="46347A06" w14:textId="77777777" w:rsidR="003E0F58" w:rsidRPr="007C705C" w:rsidRDefault="003E0F58" w:rsidP="00A63563">
      <w:pPr>
        <w:pStyle w:val="UZEINormaln"/>
        <w:rPr>
          <w:rFonts w:eastAsia="Calibri"/>
        </w:rPr>
      </w:pPr>
      <w:r w:rsidRPr="007C705C">
        <w:rPr>
          <w:rFonts w:eastAsia="Calibri"/>
        </w:rPr>
        <w:t xml:space="preserve">Lesnické a zemědělské hospodaření je přímo vázáno na přírodní procesy. Změny a extrémy těchto procesů, vychýlení standardních hodnot nepříznivě ovlivňují lesní ekosystémy, jejich stabilitu a produkci i další celospolečenské funkce. U vody v krajině a její bilance jsou podstatné změny týkající se nepravidelnosti hodnot srážkových úhrnů a teplot, a především jejich rozložení během roku. Na vodu v krajině musíme nahlížet z dvou aspektů, a to z jejího nedostatku nebo nadbytku. Z těchto aspektů pak vycházejí prováděná opatření. Pro nakládání s vodou v lesích jsou podstatná citlivá opatření úpravy toků a hrazení bystřin. V rámci těchto opatření je vhodné minimalizovat technické odvodnění lesních pozemků na projekty z veřejného zájmu nezbytně nutné a v dalších případech uplatňovat opatření upřednostňující přírodě blízké postupy s cílem zvýšit retenční schopnost lesů a omezit negativní ovlivnění přirozené morfologie vodních toků. Podporovány by měly být vhodné změny vodního režimu krajiny (obnova stávajícího odvodnění nad rámec běžné údržby nebo provádění nových odvodnění lesních pozemků pouze se současnou kompenzací změny vodního režimu, realizace opatření pro zadržení vody v krajině, obnova mokřadů, výstavba malých vodních nádrží či poldrů apod.). Pro snížení ztrát vody výparem je nezbytné celkové ochlazení krajiny zastíněním a narušováním vysychavých větrů zvětšením podílu lesních a vodních ploch (umělých i přírodních včetně rašelinišť a mokřadů). Pro udržení, popřípadě zlepšení infiltrace, krátkodobé retence a dlouhodobější akumulace vody je především nutná postupná změna druhové skladby a struktury porostů a dále využívání šetrné technologie v těžebních procesech. Úspěšná retence a akumulace je podmíněna dostatečnou a rychlou infiltrací a využitím celého půdního profilu, proto je nutné zabránění negativním půdním procesům, jako je zhutňování horizontů nebo vytváření nepropustných horizontů například podzolizací. Dále podporou infiltrace rozrušováním těchto horizontů strojně nebo hluboko kořenícími plodinami a dřevinami a vkládáním vsakovacích průlehů, pásů a remízků. U bez infiltračních ploch (zpevněné plochy, cesty) zajistit jejich odvodněním buď bezpečné rozptýlení vody k následné infiltraci na okolních pozemcích, nebo její akumulaci v náhradních prostorách. Dlouhodobá akumulace je pak možná jen v podzemních přírodních kolektorech, opět podmíněná dobrou infiltrací a odtokem vody do geologických struktur, nebo v povrchových nádržích všeho typu (umělých i přírodních). </w:t>
      </w:r>
    </w:p>
    <w:p w14:paraId="663A17C9" w14:textId="77777777" w:rsidR="003E0F58" w:rsidRPr="007C705C" w:rsidRDefault="003E0F58" w:rsidP="00A63563">
      <w:pPr>
        <w:pStyle w:val="UZEINormaln"/>
        <w:rPr>
          <w:rFonts w:eastAsia="Calibri"/>
        </w:rPr>
      </w:pPr>
      <w:r w:rsidRPr="007C705C">
        <w:rPr>
          <w:rFonts w:eastAsia="Calibri"/>
        </w:rPr>
        <w:t xml:space="preserve">Funkce půdoochranná, hydrická a vodohospodářská jsou jedny z nejvýznamnějších mimoprodukčních funkcí lesních porostů. Půdoochranná funkce lesů spočívá v ochraně půdy před různými druhy eroze a před svahovými pohyby. Hydrická funkce lesů se odvíjí od vlivu lesa především na odtok srážkových vod, kterému lesní porosty i lesní půda brání nebo jej alespoň zpomalují a vyrovnávají v čase; s tím pak úzce souvisí funkce vodohospodářská spočívající především v ochraně níže položených oblastí před povodněmi na malých vodních tocích. Intenzita plnění těchto funkcí je ovšem nedostatečná při extrémních klimatických projevech (přívalové srážky, rychlé odtávání sněhu) nebo při oslabeném plnění funkcí lesa v </w:t>
      </w:r>
      <w:r w:rsidRPr="007C705C">
        <w:rPr>
          <w:rFonts w:eastAsia="Calibri"/>
        </w:rPr>
        <w:lastRenderedPageBreak/>
        <w:t>důsledku rozvrácení lesních porostů (kůrovcová kalamita). Oba negativní jevy snižující plnění mimoprodukčních funkcí lesa jsou zaznamenávány čím dál častěji, a navíc působí často souběžně.</w:t>
      </w:r>
    </w:p>
    <w:p w14:paraId="2EA33D62" w14:textId="3EFFEF21" w:rsidR="003E0F58" w:rsidRPr="001B3346" w:rsidRDefault="003E0F58" w:rsidP="001B3346">
      <w:pPr>
        <w:pStyle w:val="UZEINormaln"/>
        <w:rPr>
          <w:rFonts w:eastAsia="Calibri"/>
        </w:rPr>
      </w:pPr>
      <w:r w:rsidRPr="007C705C">
        <w:rPr>
          <w:rFonts w:eastAsia="Calibri"/>
        </w:rPr>
        <w:t>V rovinných nebo pahorkatinných oblastech (zejm. na jižní Moravě) pak je závažným problém i větrná eroze na zemědělských pozemcích, účinně řešitelná prostřednictvím obnovy a doplnění sítě ochranných lesních pásů. Stávající síť ochranných lesních pásů byla zřízena v druhé polovině 20. století, přičemž pro její založení byly využity převážně krátkověké dřeviny (topoly aj.) nebo dřeviny nepůvodní a potenciálně invazní (zejm. javor jasanolistý). Po roce 2000 dochází k rozpadu ochranných lesních pásů v důsledku odumírání stromových dřevin a ke snižování až ztrátě jejich protierozní funkce.</w:t>
      </w:r>
    </w:p>
    <w:p w14:paraId="47769D50" w14:textId="77777777" w:rsidR="003E0F58" w:rsidRPr="007C705C" w:rsidRDefault="003E0F58" w:rsidP="008A1AE3">
      <w:pPr>
        <w:pStyle w:val="Odstavecseseznamem"/>
        <w:numPr>
          <w:ilvl w:val="0"/>
          <w:numId w:val="15"/>
        </w:numPr>
        <w:spacing w:before="60" w:line="360" w:lineRule="atLeast"/>
        <w:ind w:left="284" w:hanging="142"/>
        <w:rPr>
          <w:rFonts w:eastAsiaTheme="minorEastAsia"/>
          <w:b/>
          <w:bCs/>
        </w:rPr>
      </w:pPr>
      <w:r w:rsidRPr="007C705C">
        <w:rPr>
          <w:rFonts w:eastAsiaTheme="minorEastAsia"/>
          <w:b/>
          <w:bCs/>
        </w:rPr>
        <w:t>Nedostatečné využití potenciálu lesních ekosystémů při možné minimalizaci dopadu očekávané globální klimatické změny a extrémních meteorologických jevů</w:t>
      </w:r>
    </w:p>
    <w:p w14:paraId="6B9C1312" w14:textId="77777777" w:rsidR="001B3346" w:rsidRDefault="003E0F58" w:rsidP="001B3346">
      <w:pPr>
        <w:pStyle w:val="UZEIOdrky"/>
        <w:rPr>
          <w:rFonts w:eastAsiaTheme="minorEastAsia"/>
        </w:rPr>
      </w:pPr>
      <w:r w:rsidRPr="007C705C">
        <w:rPr>
          <w:rFonts w:eastAsiaTheme="minorEastAsia"/>
        </w:rPr>
        <w:t>Zalesňování zemědělské půdy</w:t>
      </w:r>
    </w:p>
    <w:p w14:paraId="71826F6D" w14:textId="18CC2B0B" w:rsidR="003E0F58" w:rsidRPr="001B3346" w:rsidRDefault="003E0F58" w:rsidP="001B3346">
      <w:pPr>
        <w:pStyle w:val="UZEINormaln"/>
        <w:rPr>
          <w:rFonts w:eastAsiaTheme="minorEastAsia"/>
        </w:rPr>
      </w:pPr>
      <w:r w:rsidRPr="001B3346">
        <w:rPr>
          <w:rFonts w:eastAsiaTheme="minorEastAsia"/>
        </w:rPr>
        <w:t>Na intenzivně obhospodařované zemědělské půdě je v souvislosti s klimatickými změnami spojeno mnoho negativních jevů, které je možno řešit prostřednictvím zalesňování. Jedná se o sekvestraci uhlíku, snížení eroze, zvýšení kvality půdy, zlepšení kvality vody, zvýšení retenční schopnosti a vyrovnání vodního režimu krajiny včetně dopadu na malý vodní cyklus, zvýšení biodiverzity, zlepšení ekologických funkcí krajiny (zvýšení funkcí zdravotních, sociálních, kulturních a rekreačních). Zalesňování má synergický efekt v mnoha oblastech životního prostředí.</w:t>
      </w:r>
    </w:p>
    <w:p w14:paraId="33F9A6A1" w14:textId="77777777" w:rsidR="003E0F58" w:rsidRPr="007C705C" w:rsidRDefault="003E0F58" w:rsidP="001B3346">
      <w:pPr>
        <w:pStyle w:val="UZEINormaln"/>
        <w:rPr>
          <w:rFonts w:eastAsiaTheme="minorEastAsia"/>
        </w:rPr>
      </w:pPr>
      <w:r w:rsidRPr="007C705C">
        <w:rPr>
          <w:rFonts w:eastAsiaTheme="minorEastAsia"/>
        </w:rPr>
        <w:t>Z pohledu podpory zalesnění prostřednictvím dotací se jedná především o minimalizaci škod způsobených klimatickými změnami. Vrstva zalesnění je vymezena na základě půdních vlastností, kde je vysoká pravděpodobnost svahové eroze nebo podmáčení půd, na orné půdě v nivách vodních toků a v oblastech s nízkou lesnatostí. Prostřednictvím zalesnění ploch k tomu vhodných tedy bude zabráněno poškození daných zemědělských pozemků včetně omezení následných jevů jako například zanášení vodních toků a vodních nádrží půdními sedimenty.</w:t>
      </w:r>
    </w:p>
    <w:p w14:paraId="0B7A360C" w14:textId="77777777" w:rsidR="003E0F58" w:rsidRPr="007C705C" w:rsidRDefault="003E0F58" w:rsidP="001B3346">
      <w:pPr>
        <w:pStyle w:val="UZEINormaln"/>
        <w:rPr>
          <w:rFonts w:eastAsiaTheme="minorEastAsia"/>
        </w:rPr>
      </w:pPr>
      <w:r w:rsidRPr="007C705C">
        <w:rPr>
          <w:rFonts w:eastAsiaTheme="minorEastAsia"/>
        </w:rPr>
        <w:t>Lesní porosty významně přispívají k sekvestraci uhlíku, zejména z důvodu produkce biomasy (primární organické hmoty), rozsahem extenzivního kořání a charakterem rozkladných procesů lesního opadu. Extenzivní kořeny lesních porostů ovlivňují mikrobiální biomasu kontrolou ionto-výměnných cyklů mezi atmosférou a půdním prostředím. Udržení nebo zlepšení stavu a kvality půdní organické hmoty v lesních ekosystémech je klíčové pro většinu půdních procesů – určuje celkovou stabilitu půdního prostředí, určuje dynamiku živin, cyklus uhlíku a charakter půdní struktury. Lesní ekosystémy zadržují více než 80 % celkových zásob C nadzemní biomasy a více než 70 % půdního organického uhlíku.</w:t>
      </w:r>
    </w:p>
    <w:p w14:paraId="6A782FBE" w14:textId="77777777" w:rsidR="003E0F58" w:rsidRPr="007C705C" w:rsidRDefault="003E0F58" w:rsidP="001B3346">
      <w:pPr>
        <w:pStyle w:val="UZEINormaln"/>
        <w:rPr>
          <w:rFonts w:eastAsiaTheme="minorEastAsia"/>
        </w:rPr>
      </w:pPr>
      <w:r w:rsidRPr="007C705C">
        <w:rPr>
          <w:rFonts w:eastAsiaTheme="minorEastAsia"/>
        </w:rPr>
        <w:t xml:space="preserve">Při podpoře realizace zalesňování zemědělských půd je vždy nutné zohlednit jejich přírodní potenciál a dle toho pak volit příslušný krajinný prvek, na který bude intenzivně zemědělsky využívaný pozemek převeden. </w:t>
      </w:r>
    </w:p>
    <w:p w14:paraId="1FCC6D82" w14:textId="3F24FC4A" w:rsidR="003E0F58" w:rsidRDefault="003E0F58" w:rsidP="001B3346">
      <w:pPr>
        <w:pStyle w:val="UZEINormaln"/>
        <w:rPr>
          <w:rFonts w:eastAsiaTheme="minorEastAsia"/>
        </w:rPr>
      </w:pPr>
      <w:r w:rsidRPr="007C705C">
        <w:rPr>
          <w:rFonts w:eastAsiaTheme="minorEastAsia"/>
        </w:rPr>
        <w:t>Tato podpora vytváří nejen prostor pro diverzifikaci výroby, ale i snižuje podíl zornění půdy, a to bez rizika zvýšení podílu neobhospodařované zemědělské půdy.</w:t>
      </w:r>
    </w:p>
    <w:p w14:paraId="266621D2" w14:textId="7814A987" w:rsidR="00A63563" w:rsidRPr="00A63563" w:rsidRDefault="00A63563" w:rsidP="00A63563">
      <w:pPr>
        <w:spacing w:after="160" w:line="259" w:lineRule="auto"/>
        <w:jc w:val="left"/>
        <w:rPr>
          <w:rFonts w:eastAsiaTheme="minorEastAsia" w:cstheme="minorHAnsi"/>
          <w:szCs w:val="24"/>
          <w:lang w:val="cs-CZ" w:eastAsia="cs-CZ"/>
        </w:rPr>
      </w:pPr>
      <w:r>
        <w:rPr>
          <w:rFonts w:eastAsiaTheme="minorEastAsia"/>
        </w:rPr>
        <w:br w:type="page"/>
      </w:r>
    </w:p>
    <w:p w14:paraId="0091D3C5" w14:textId="77777777" w:rsidR="003E0F58" w:rsidRPr="00A63563" w:rsidRDefault="003E0F58" w:rsidP="00A63563">
      <w:pPr>
        <w:pStyle w:val="Nadpis1"/>
      </w:pPr>
      <w:bookmarkStart w:id="231" w:name="_Toc23326653"/>
      <w:bookmarkStart w:id="232" w:name="_Toc23327260"/>
      <w:bookmarkStart w:id="233" w:name="_Toc77245893"/>
      <w:bookmarkStart w:id="234" w:name="_Toc81343098"/>
      <w:bookmarkStart w:id="235" w:name="_Toc81343161"/>
      <w:bookmarkStart w:id="236" w:name="_Toc81343230"/>
      <w:bookmarkStart w:id="237" w:name="_Toc521315960"/>
      <w:bookmarkStart w:id="238" w:name="_Toc522523037"/>
      <w:bookmarkStart w:id="239" w:name="_Toc523143774"/>
      <w:bookmarkStart w:id="240" w:name="_Toc523146691"/>
      <w:bookmarkStart w:id="241" w:name="_Toc7429645"/>
      <w:bookmarkStart w:id="242" w:name="_Toc7429847"/>
      <w:bookmarkStart w:id="243" w:name="_Toc7430778"/>
      <w:bookmarkStart w:id="244" w:name="_Toc7432030"/>
      <w:bookmarkStart w:id="245" w:name="_Toc9611298"/>
      <w:bookmarkStart w:id="246" w:name="_Toc94181680"/>
      <w:r w:rsidRPr="00A63563">
        <w:lastRenderedPageBreak/>
        <w:t>Mechanizmus a příčiny problému</w:t>
      </w:r>
      <w:bookmarkEnd w:id="231"/>
      <w:bookmarkEnd w:id="232"/>
      <w:bookmarkEnd w:id="233"/>
      <w:bookmarkEnd w:id="234"/>
      <w:bookmarkEnd w:id="235"/>
      <w:bookmarkEnd w:id="236"/>
      <w:bookmarkEnd w:id="246"/>
      <w:r w:rsidRPr="00A63563">
        <w:t xml:space="preserve"> </w:t>
      </w:r>
    </w:p>
    <w:p w14:paraId="7575E13D" w14:textId="77777777" w:rsidR="003E0F58" w:rsidRPr="007C705C" w:rsidRDefault="003E0F58" w:rsidP="00A63563">
      <w:pPr>
        <w:pStyle w:val="UZEINormaln"/>
        <w:rPr>
          <w:rFonts w:eastAsiaTheme="minorEastAsia"/>
        </w:rPr>
      </w:pPr>
      <w:r w:rsidRPr="007C705C">
        <w:rPr>
          <w:rFonts w:eastAsiaTheme="minorEastAsia"/>
        </w:rPr>
        <w:t>(Příklady: popis příčinných vazeb v jejich komplexitě s vyznačením, které faktory jsou jak závažné pro naplňování dílčího cíle – např. dle pořadí důležitosti, nebo i kvalitativním komentářem):</w:t>
      </w:r>
      <w:bookmarkEnd w:id="237"/>
      <w:bookmarkEnd w:id="238"/>
      <w:bookmarkEnd w:id="239"/>
      <w:bookmarkEnd w:id="240"/>
      <w:bookmarkEnd w:id="241"/>
      <w:bookmarkEnd w:id="242"/>
      <w:bookmarkEnd w:id="243"/>
      <w:bookmarkEnd w:id="244"/>
      <w:bookmarkEnd w:id="245"/>
    </w:p>
    <w:p w14:paraId="464ED59A" w14:textId="77777777" w:rsidR="003E0F58" w:rsidRPr="007C705C" w:rsidRDefault="003E0F58" w:rsidP="003E0F58">
      <w:pPr>
        <w:rPr>
          <w:rFonts w:eastAsiaTheme="minorEastAsia" w:cs="Times New Roman"/>
          <w:lang w:val="cs-CZ"/>
        </w:rPr>
      </w:pPr>
      <w:r w:rsidRPr="007C705C">
        <w:rPr>
          <w:rFonts w:cs="Times New Roman"/>
          <w:b/>
          <w:lang w:val="cs-CZ"/>
        </w:rPr>
        <w:t>KLIMA:</w:t>
      </w:r>
    </w:p>
    <w:p w14:paraId="59653E4D" w14:textId="77777777" w:rsidR="003E0F58" w:rsidRPr="007C705C" w:rsidRDefault="003E0F58" w:rsidP="008A1AE3">
      <w:pPr>
        <w:pStyle w:val="Odstavecseseznamem"/>
        <w:numPr>
          <w:ilvl w:val="0"/>
          <w:numId w:val="16"/>
        </w:numPr>
        <w:spacing w:before="60" w:line="360" w:lineRule="atLeast"/>
        <w:rPr>
          <w:rFonts w:eastAsiaTheme="minorEastAsia"/>
          <w:b/>
          <w:bCs/>
        </w:rPr>
      </w:pPr>
      <w:r w:rsidRPr="007C705C">
        <w:rPr>
          <w:rFonts w:eastAsiaTheme="minorEastAsia"/>
          <w:b/>
          <w:bCs/>
        </w:rPr>
        <w:t>Nízká odolnost zemědělských podniků vůči klimatickým změnám</w:t>
      </w:r>
    </w:p>
    <w:p w14:paraId="1C13E325" w14:textId="2A5518AD" w:rsidR="003E0F58" w:rsidRPr="007C705C" w:rsidRDefault="003E0F58" w:rsidP="00A63563">
      <w:pPr>
        <w:pStyle w:val="UZEIOdrky"/>
        <w:rPr>
          <w:rFonts w:eastAsiaTheme="minorEastAsia"/>
        </w:rPr>
      </w:pPr>
      <w:bookmarkStart w:id="247" w:name="_Hlk525813988"/>
      <w:r w:rsidRPr="007C705C">
        <w:rPr>
          <w:rFonts w:eastAsiaTheme="minorEastAsia"/>
        </w:rPr>
        <w:t>Narůstající teploty a klesající výnosy zemědělských plodin</w:t>
      </w:r>
      <w:bookmarkEnd w:id="247"/>
    </w:p>
    <w:p w14:paraId="41FDCDBF" w14:textId="42F3F9E3" w:rsidR="003E0F58" w:rsidRPr="007C705C" w:rsidRDefault="003E0F58" w:rsidP="001B3346">
      <w:pPr>
        <w:pStyle w:val="UZEINormaln"/>
        <w:rPr>
          <w:rFonts w:eastAsiaTheme="minorEastAsia"/>
        </w:rPr>
      </w:pPr>
      <w:r w:rsidRPr="007C705C">
        <w:rPr>
          <w:rFonts w:eastAsiaTheme="minorEastAsia"/>
        </w:rPr>
        <w:t xml:space="preserve">Analýza současných trendů společně s modelovými studiemi umožňují předpokládat zvyšující se extremitu počasí s častějšími periodami sucha a vysokých teplot (Meehl et al. 2000). Současně bylo prokázáno, že mezi délkou vlny vysokých teplot a nedostatkem vody v půdě existuje těsná korelace (Hirschi et al. 2010) z čehož vyplývá, že existuje vysoká pravděpodobnost budoucího vážného ohrožení pěstovaných plodin kombinovaným stresem sucha a vysokých teplot. Vedle pravděpodobně zásadního vlivu změny klimatu zde do značné míry sehrává roli také výrazně snížená schopnost krajiny zachycovat vodu (viz Analýza sekvestrace uhlíku) a tím omezení funkce malého vodního cyklu (Scheffer et al. 2005). Intenzivně obhospodařovaná krajina tak vysychá rychleji, než by byl přepokládaný efekt změny klimatu (D’Odorico et al. 2013). </w:t>
      </w:r>
    </w:p>
    <w:p w14:paraId="40CAE0EB" w14:textId="1DA07A91" w:rsidR="003E0F58" w:rsidRPr="007C705C" w:rsidRDefault="003E0F58" w:rsidP="00A63563">
      <w:pPr>
        <w:pStyle w:val="UZEIOdrky"/>
        <w:rPr>
          <w:rFonts w:eastAsiaTheme="minorEastAsia"/>
        </w:rPr>
      </w:pPr>
      <w:r w:rsidRPr="007C705C">
        <w:rPr>
          <w:rFonts w:eastAsiaTheme="minorEastAsia"/>
        </w:rPr>
        <w:t>Šíření nových chorob, škůdců a plevelů</w:t>
      </w:r>
    </w:p>
    <w:p w14:paraId="42236A9E" w14:textId="77777777" w:rsidR="003E0F58" w:rsidRPr="007C705C" w:rsidRDefault="003E0F58" w:rsidP="001B3346">
      <w:pPr>
        <w:pStyle w:val="UZEINormaln"/>
        <w:rPr>
          <w:rFonts w:eastAsiaTheme="minorEastAsia"/>
        </w:rPr>
      </w:pPr>
      <w:r w:rsidRPr="007C705C">
        <w:rPr>
          <w:rFonts w:eastAsiaTheme="minorEastAsia"/>
        </w:rPr>
        <w:t xml:space="preserve">Mechanizmů pro šíření chorob, škůdců a plevelů je několik. Stresované a oslabené plodiny jsou více napadány patogeny, škůdci a mají nižší konkurenční schopnost vůči plevelům. Škodlivé organismy mají při měnících se podmínkách (vyšší teploty) kratší životní cyklus, vytvářejí více generací nebo mají vyšší produkci potomstva a také lépe přezimují. V souvislosti se změnou podmínek (vyšší teploty, sucho) se také snižuje účinnost metod ochrany (nižší příjem účinných látek do rostliny, rychlejší odbourávání) s navazujícím častým vznikem rezistence. Zrychlení životních cyklů škodlivých organismů zvyšuje schopnost adaptace na odrůdovou odolnost, což vede ke zkracování životnosti odrůd (nyní již poloviční oproti stavu před několika desítkami let).  </w:t>
      </w:r>
    </w:p>
    <w:p w14:paraId="63BE01AB" w14:textId="308ADEB9" w:rsidR="003E0F58" w:rsidRPr="007C705C" w:rsidRDefault="003E0F58" w:rsidP="00A63563">
      <w:pPr>
        <w:pStyle w:val="UZEIOdrky"/>
        <w:rPr>
          <w:rFonts w:eastAsiaTheme="minorEastAsia"/>
        </w:rPr>
      </w:pPr>
      <w:bookmarkStart w:id="248" w:name="_Hlk525814532"/>
      <w:r w:rsidRPr="007C705C">
        <w:rPr>
          <w:rFonts w:eastAsiaTheme="minorEastAsia"/>
        </w:rPr>
        <w:t>Nepříznivé trendy změny klimatu a vodní bilance půd</w:t>
      </w:r>
      <w:bookmarkEnd w:id="248"/>
    </w:p>
    <w:p w14:paraId="0B52E7E6" w14:textId="77777777" w:rsidR="003E0F58" w:rsidRPr="007C705C" w:rsidRDefault="003E0F58" w:rsidP="001B3346">
      <w:pPr>
        <w:pStyle w:val="UZEINormaln"/>
        <w:rPr>
          <w:rFonts w:eastAsiaTheme="minorEastAsia"/>
        </w:rPr>
      </w:pPr>
      <w:r w:rsidRPr="007C705C">
        <w:rPr>
          <w:rFonts w:eastAsiaTheme="minorEastAsia"/>
        </w:rPr>
        <w:t xml:space="preserve">Mezi hlavní oblasti změn patří nárůst teploty vzduchu, nárůst výskytu hydrometeorologických extrémů (četnější a intenzivnější epizody sucha, přívalové deště, povodně, mrazová poškození) v důsledku probíhající klimatické změny. S oteplováním pro nadcházející desetiletí je třeba počítat. Lze očekávat nárůst průměrné roční teploty o 1 a více °C oproti přelomu století. Ucelený přehled scénářů budoucího vývoje široké škály základních (např. teplota vzduchu, počet tropických dní) i komplexních indikátorů (např. riziko lesních požárů) pro ČR ve vysoké prostorovém rozlišní (500 m) přináší webový portál </w:t>
      </w:r>
      <w:hyperlink r:id="rId18">
        <w:r w:rsidRPr="007C705C">
          <w:rPr>
            <w:rStyle w:val="Hypertextovodkaz"/>
            <w:rFonts w:eastAsiaTheme="minorEastAsia" w:cs="Times New Roman"/>
          </w:rPr>
          <w:t>www.klimatickazmena.cz</w:t>
        </w:r>
      </w:hyperlink>
      <w:r w:rsidRPr="007C705C">
        <w:rPr>
          <w:rFonts w:eastAsiaTheme="minorEastAsia"/>
        </w:rPr>
        <w:t>. V rámci změny klimatu lze očekávat zhoršování podmínek v oblasti sucha díky vyšším teplotám vzduchu a pravděpodobné narůstající variabilitě srážkových úhrnů v prostoru a čase (</w:t>
      </w:r>
      <w:hyperlink r:id="rId19">
        <w:r w:rsidRPr="007C705C">
          <w:rPr>
            <w:rStyle w:val="Hypertextovodkaz"/>
            <w:rFonts w:eastAsiaTheme="minorEastAsia" w:cs="Times New Roman"/>
          </w:rPr>
          <w:t>www.klimatickazmena.cz</w:t>
        </w:r>
      </w:hyperlink>
      <w:r w:rsidRPr="007C705C">
        <w:rPr>
          <w:rFonts w:eastAsiaTheme="minorEastAsia"/>
        </w:rPr>
        <w:t>).</w:t>
      </w:r>
    </w:p>
    <w:p w14:paraId="06970FD1" w14:textId="5A8F3513" w:rsidR="003E0F58" w:rsidRPr="007C705C" w:rsidRDefault="003E0F58" w:rsidP="00A63563">
      <w:pPr>
        <w:pStyle w:val="UZEIOdrky"/>
        <w:rPr>
          <w:rFonts w:eastAsiaTheme="minorEastAsia"/>
        </w:rPr>
      </w:pPr>
      <w:bookmarkStart w:id="249" w:name="_Hlk525814550"/>
      <w:r w:rsidRPr="007C705C">
        <w:rPr>
          <w:rFonts w:eastAsiaTheme="minorEastAsia"/>
        </w:rPr>
        <w:t>Negativní dopady zemědělského sucha</w:t>
      </w:r>
      <w:bookmarkEnd w:id="249"/>
    </w:p>
    <w:p w14:paraId="6C466D4F" w14:textId="77777777" w:rsidR="003E0F58" w:rsidRPr="007C705C" w:rsidRDefault="003E0F58" w:rsidP="001B3346">
      <w:pPr>
        <w:pStyle w:val="UZEINormaln"/>
        <w:rPr>
          <w:rFonts w:eastAsiaTheme="minorEastAsia"/>
          <w:u w:val="single"/>
        </w:rPr>
      </w:pPr>
      <w:r w:rsidRPr="007C705C">
        <w:rPr>
          <w:rFonts w:eastAsiaTheme="minorEastAsia"/>
        </w:rPr>
        <w:t xml:space="preserve">V chladných a srážkově bohatších vyšších polohách lze předpokládat v oblasti zemědělství menší negativní či dokonce pozitivní dopady. Ve středních a nižších polohách je třeba očekávat spíše negativní dopady na výnosy polních plodin. Kromě agrometeorologicky podmíněných rizik jako jsou především teplé průběhy zim beze sněhu, ale s občasnými holomrazy, vpády studeného vzduchu do stále dříve nastupující vegetace (jarní mrazíky), stres plodin vysokými teplotami, a zvláště snížená dostupnost vody v půdě pro vegetaci, bude produkce ohrožována i </w:t>
      </w:r>
      <w:r w:rsidRPr="007C705C">
        <w:rPr>
          <w:rFonts w:eastAsiaTheme="minorEastAsia"/>
        </w:rPr>
        <w:lastRenderedPageBreak/>
        <w:t>vhodnějšími podmínkami pro teplomilné druhy škodlivých organismů. Lze očekávat i rizika spojená s přívalovými dešti a krupobitími, narůstající potřebu závlahové vody a současně její menší dostupnost v obdobích sucha a v neposlední řadě i vyšší rizika požárů.  Pro ČR se při pokračující změně klimatu pro nadcházející desetiletí předpokládá tzv. asymetrie dopadů, tj. zhoršení podmínek pro klasickou rostlinnou produkci v nejteplejších oblastech (nížiny) a zlepšení podmínek pro výše položená území. Pozitivní vliv lze předpokládat např. na teplomilné druhy a rozšíření jejich pěstování (kukuřice, révy vinné apod.) do vyšších oblastí.</w:t>
      </w:r>
    </w:p>
    <w:p w14:paraId="64DC6C3A" w14:textId="77777777" w:rsidR="003E0F58" w:rsidRPr="007C705C" w:rsidRDefault="003E0F58" w:rsidP="00A63563">
      <w:pPr>
        <w:pStyle w:val="UZEIOdrky"/>
        <w:rPr>
          <w:rFonts w:eastAsiaTheme="minorEastAsia"/>
        </w:rPr>
      </w:pPr>
      <w:bookmarkStart w:id="250" w:name="_Hlk525814568"/>
      <w:r w:rsidRPr="007C705C">
        <w:rPr>
          <w:rFonts w:eastAsiaTheme="minorEastAsia"/>
        </w:rPr>
        <w:t>Riziko vodní eroze a dalších degradačních faktorů</w:t>
      </w:r>
      <w:bookmarkEnd w:id="250"/>
      <w:r w:rsidRPr="007C705C">
        <w:rPr>
          <w:rFonts w:eastAsiaTheme="minorEastAsia"/>
        </w:rPr>
        <w:t>:</w:t>
      </w:r>
    </w:p>
    <w:p w14:paraId="7730E913" w14:textId="77777777" w:rsidR="003E0F58" w:rsidRPr="007C705C" w:rsidRDefault="003E0F58" w:rsidP="001B3346">
      <w:pPr>
        <w:pStyle w:val="UZEINormaln"/>
        <w:rPr>
          <w:rFonts w:eastAsiaTheme="minorEastAsia"/>
        </w:rPr>
      </w:pPr>
      <w:r w:rsidRPr="007C705C">
        <w:rPr>
          <w:rFonts w:eastAsiaTheme="minorEastAsia"/>
        </w:rPr>
        <w:t xml:space="preserve">V České republice je dle VÚMOP v.v.i. určitou formou vodní eroze potenciálně ohroženo přes 50 % zemědělské půdy </w:t>
      </w:r>
      <w:r w:rsidRPr="007C705C">
        <w:t>(MZe, 2018)</w:t>
      </w:r>
      <w:r w:rsidRPr="007C705C">
        <w:rPr>
          <w:rFonts w:eastAsiaTheme="minorEastAsia"/>
        </w:rPr>
        <w:t>. Tato skutečnost je dána především reliéfem naší krajiny, velikostí obhospodařovaných půdních bloků a poměrně významným zastoupením plodin tzv. „erozně nebezpečných“. Nadměrnou vodní erozí dochází ke ztrátě nejúrodnější části půdy (ornice), které následně vede ke snížení produkční schopnosti půdy, omezené retenci a infiltraci vody, ztrátám osiv, hnojiv a vyplavování organické hmoty. Vodní eroze působí škody nejenom na pozemcích, kde k ní dochází, ale i v celém povodí. Škody se projevují znečištěním vodních zdrojů, zanášením vodních nádrží a ve škodách na majetku a infrastruktuře. Jako hlavní příčiny se uvádí sklonitost a délka pozemku po spádnici, ztráta infiltrační a retenční kapacity půdy související s degradací živé složky půd, která neobnovuje strukturu a pórovitost půdy a nevhodný nebo nedostatečný (chybějící) vegetační pokryv. Mezi další příčiny patří vlastnosti půdy a její náchylnosti k erozi, nepřítomnost protierozních opatření, velké půdní bloky bez přítomnosti krajinných prvků a četnost výskytu přívalových srážek.</w:t>
      </w:r>
    </w:p>
    <w:p w14:paraId="2A6A6F58" w14:textId="7FD1DB24" w:rsidR="003E0F58" w:rsidRPr="007C705C" w:rsidRDefault="003E0F58" w:rsidP="003218A5">
      <w:pPr>
        <w:pStyle w:val="UZEIOdrky"/>
        <w:rPr>
          <w:rFonts w:eastAsiaTheme="minorEastAsia"/>
        </w:rPr>
      </w:pPr>
      <w:r w:rsidRPr="007C705C">
        <w:rPr>
          <w:rFonts w:eastAsiaTheme="minorEastAsia"/>
        </w:rPr>
        <w:t>Nevhodné nakládání se srážkovou vodou v krajině</w:t>
      </w:r>
    </w:p>
    <w:p w14:paraId="503E5D1B" w14:textId="77777777" w:rsidR="003E0F58" w:rsidRPr="007C705C" w:rsidRDefault="003E0F58" w:rsidP="001B3346">
      <w:pPr>
        <w:pStyle w:val="UZEINormaln"/>
        <w:rPr>
          <w:rFonts w:eastAsiaTheme="minorEastAsia"/>
        </w:rPr>
      </w:pPr>
      <w:r w:rsidRPr="007C705C">
        <w:rPr>
          <w:rFonts w:eastAsiaTheme="minorEastAsia"/>
        </w:rPr>
        <w:t>Nedostatečná retenční a infiltrační schopnost půdy vlivem degradačních procesů – zábor ZPF pro zástavbu</w:t>
      </w:r>
      <w:r w:rsidRPr="003218A5">
        <w:rPr>
          <w:rFonts w:eastAsiaTheme="minorEastAsia"/>
        </w:rPr>
        <w:t xml:space="preserve"> (VUMOP, 2017)</w:t>
      </w:r>
      <w:r w:rsidRPr="007C705C">
        <w:rPr>
          <w:rFonts w:eastAsiaTheme="minorEastAsia"/>
        </w:rPr>
        <w:t xml:space="preserve">, eroze, utužení, dehumifikace </w:t>
      </w:r>
      <w:r w:rsidRPr="003218A5">
        <w:rPr>
          <w:rFonts w:eastAsiaTheme="minorEastAsia"/>
        </w:rPr>
        <w:t>(MZe, 2018)</w:t>
      </w:r>
      <w:r w:rsidRPr="007C705C">
        <w:rPr>
          <w:rFonts w:eastAsiaTheme="minorEastAsia"/>
        </w:rPr>
        <w:t>. Jako hlavní příčina bylo identifikováno vyjímání ze ZPF pozemků s potenciálem zadržet vodu v krajině, nedostatek organických hnojiv aplikovatelných na ZPF, těžká zemědělská technika a časté pojezdy, nevhodné osevní postupy, minimální zastoupení pícnin.</w:t>
      </w:r>
    </w:p>
    <w:p w14:paraId="0386C25C" w14:textId="77777777" w:rsidR="003E0F58" w:rsidRPr="007C705C" w:rsidRDefault="003E0F58" w:rsidP="001B3346">
      <w:pPr>
        <w:pStyle w:val="UZEINormaln"/>
        <w:rPr>
          <w:rFonts w:eastAsiaTheme="minorEastAsia"/>
        </w:rPr>
      </w:pPr>
      <w:r w:rsidRPr="007C705C">
        <w:rPr>
          <w:rFonts w:eastAsiaTheme="minorEastAsia"/>
        </w:rPr>
        <w:t>Byly zrušeny a je nedostatek krajinných prvků, které plní mimoprodukční funkce v zemědělské krajině – protierozní ochrana, zvýšení retence a infiltrace vody v krajině, protipovodňová ochrana, biologická rozmanitost, mikroklima. Jako hlavní příčiny byly označeny velké produkční bloky orné půdy, odvodnění mokřadů, regulace vodních toků, úbytek ekotonů krajinných prvků</w:t>
      </w:r>
      <w:r w:rsidRPr="003218A5">
        <w:rPr>
          <w:rFonts w:eastAsiaTheme="minorEastAsia"/>
        </w:rPr>
        <w:t xml:space="preserve"> (Fanta, 2014)</w:t>
      </w:r>
      <w:r w:rsidRPr="007C705C">
        <w:rPr>
          <w:rFonts w:eastAsiaTheme="minorEastAsia"/>
        </w:rPr>
        <w:t>.</w:t>
      </w:r>
    </w:p>
    <w:p w14:paraId="63DAE5F6" w14:textId="77777777" w:rsidR="003E0F58" w:rsidRPr="007C705C" w:rsidRDefault="003E0F58" w:rsidP="001B3346">
      <w:pPr>
        <w:pStyle w:val="UZEINormaln"/>
        <w:rPr>
          <w:rFonts w:eastAsiaTheme="minorEastAsia"/>
        </w:rPr>
      </w:pPr>
      <w:r w:rsidRPr="007C705C">
        <w:rPr>
          <w:rFonts w:eastAsiaTheme="minorEastAsia"/>
        </w:rPr>
        <w:t>Staré nefunkční odvodňovací systémy s nevhodnou regulací a nedostatečnou údržbou (přes 1 mil. ha odvodněno) negativně ovlivňují hydrologické poměry v půdě a krajině. Příčinami jsou mj. nedostatečné podklady o vzniku provozu odvodnění, nákladné opravy či odstranění nefunkčních odvodňovacích systémů</w:t>
      </w:r>
      <w:r w:rsidRPr="003218A5">
        <w:rPr>
          <w:rFonts w:eastAsiaTheme="minorEastAsia"/>
        </w:rPr>
        <w:t xml:space="preserve"> (Váška et al., 2000)</w:t>
      </w:r>
      <w:r w:rsidRPr="007C705C">
        <w:rPr>
          <w:rFonts w:eastAsiaTheme="minorEastAsia"/>
        </w:rPr>
        <w:t>.</w:t>
      </w:r>
    </w:p>
    <w:p w14:paraId="5FB50474" w14:textId="77777777" w:rsidR="003E0F58" w:rsidRPr="007C705C" w:rsidRDefault="003E0F58" w:rsidP="001B3346">
      <w:pPr>
        <w:pStyle w:val="UZEINormaln"/>
        <w:rPr>
          <w:rFonts w:eastAsiaTheme="minorEastAsia"/>
        </w:rPr>
      </w:pPr>
      <w:r w:rsidRPr="007C705C">
        <w:rPr>
          <w:rFonts w:eastAsiaTheme="minorEastAsia"/>
        </w:rPr>
        <w:t>Regulace koryt vodních toků ve smyslu napřímení, zahloubení a opevnění toku – odstranění ramen meandrů, zvyšování rychlosti odtoku, nedostatečné využití retenční kapacity příbřežní zóny a údolní nivy. Za příčiny jsou považovány zkapacitnění koryt vodních toků – nedostatek retenčních prostor v krajině, zvyšující se prostor zpevněných ploch.</w:t>
      </w:r>
    </w:p>
    <w:p w14:paraId="3E78BA2C" w14:textId="6EFF52D9" w:rsidR="003E0F58" w:rsidRPr="007C705C" w:rsidRDefault="003E0F58" w:rsidP="003218A5">
      <w:pPr>
        <w:pStyle w:val="UZEIOdrky"/>
        <w:rPr>
          <w:rFonts w:eastAsiaTheme="minorEastAsia"/>
        </w:rPr>
      </w:pPr>
      <w:r w:rsidRPr="007C705C">
        <w:rPr>
          <w:rFonts w:eastAsiaTheme="minorEastAsia"/>
        </w:rPr>
        <w:t>Zvyšování teplot</w:t>
      </w:r>
    </w:p>
    <w:p w14:paraId="388AF045" w14:textId="77777777" w:rsidR="003E0F58" w:rsidRPr="003218A5" w:rsidRDefault="003E0F58" w:rsidP="001B3346">
      <w:pPr>
        <w:pStyle w:val="UZEINormaln"/>
        <w:rPr>
          <w:rFonts w:eastAsiaTheme="minorEastAsia"/>
        </w:rPr>
      </w:pPr>
      <w:r w:rsidRPr="003218A5">
        <w:rPr>
          <w:rFonts w:eastAsiaTheme="minorEastAsia"/>
        </w:rPr>
        <w:t xml:space="preserve">Popsáno v ostatních bodech. Pozorovaný růst teploty vede k růstu potenciální evapotranspirace v ročním průměru řádově o 5–10 %. K nejvýraznějšímu růstu evapotranspirace dochází v zimě, a to až o více než 20 %, což je způsobeno větším počtem dní s kladnými teplotami vzduchu (Pretel, 2011). Studie dokládají posun nástupu fenologických fází nejen u rostlin, ale i u hmyzu, ptáků a dalších organismů. Obdobné jevy jsou uvedeny pro některé druhy stromů a keřů </w:t>
      </w:r>
      <w:r w:rsidRPr="003218A5">
        <w:rPr>
          <w:rFonts w:eastAsiaTheme="minorEastAsia"/>
        </w:rPr>
        <w:lastRenderedPageBreak/>
        <w:t>významných pro zemědělskou nebo lesní produkci. Dochází tedy k rychlejšímu úbytku vody z krajiny. S kombinací vyšších teplot, sucha a úbytku dešťových srážek v jarním a zejména v letním období přímo souvisí také zvýšené riziko chřadnutí citlivých částí lesních porostů a také zvýšené riziko lesních požárů.</w:t>
      </w:r>
    </w:p>
    <w:p w14:paraId="45304914" w14:textId="541A36FB" w:rsidR="003E0F58" w:rsidRPr="007C705C" w:rsidRDefault="003E0F58" w:rsidP="003218A5">
      <w:pPr>
        <w:pStyle w:val="UZEIOdrky"/>
        <w:rPr>
          <w:rFonts w:eastAsiaTheme="minorEastAsia"/>
        </w:rPr>
      </w:pPr>
      <w:r w:rsidRPr="007C705C">
        <w:rPr>
          <w:rFonts w:eastAsiaTheme="minorEastAsia"/>
        </w:rPr>
        <w:t>Výskyt extrémních srážek</w:t>
      </w:r>
    </w:p>
    <w:p w14:paraId="68705F14" w14:textId="77777777" w:rsidR="003E0F58" w:rsidRPr="003218A5" w:rsidRDefault="003E0F58" w:rsidP="001B3346">
      <w:pPr>
        <w:pStyle w:val="UZEINormaln"/>
        <w:rPr>
          <w:rFonts w:eastAsiaTheme="minorEastAsia"/>
        </w:rPr>
      </w:pPr>
      <w:r w:rsidRPr="003218A5">
        <w:rPr>
          <w:rFonts w:eastAsiaTheme="minorEastAsia"/>
        </w:rPr>
        <w:t>Příčiny problému jsou v globální změně klimatu (IPCC, 2013). Místní situace, tedy morfologie terénu a také využívání krajiny, nevhodná zástavba a hospodaření v krajině, může zhoršovat následky (nepropustnost průtočných profilů, erozně nevhodné plodiny nebo technologie na svazích apod.).</w:t>
      </w:r>
    </w:p>
    <w:p w14:paraId="39FC61CD" w14:textId="77777777" w:rsidR="003E0F58" w:rsidRPr="003218A5" w:rsidRDefault="003E0F58" w:rsidP="001B3346">
      <w:pPr>
        <w:pStyle w:val="UZEINormaln"/>
        <w:rPr>
          <w:rFonts w:eastAsiaTheme="minorEastAsia"/>
        </w:rPr>
      </w:pPr>
      <w:r w:rsidRPr="003218A5">
        <w:rPr>
          <w:rFonts w:eastAsiaTheme="minorEastAsia"/>
        </w:rPr>
        <w:t xml:space="preserve">Vydatné srážky mohou zapříčinit nepříznivé jevy, zejména erozi půdy a svahové pohyby, které mohou následně způsobit narušení dopravní infrastruktury, zanesení kanalizace, snížení průtočné kapacity koryt a retenčního prostoru vodních recipientů. </w:t>
      </w:r>
    </w:p>
    <w:p w14:paraId="2240BFA7" w14:textId="77777777" w:rsidR="003E0F58" w:rsidRPr="003218A5" w:rsidRDefault="003E0F58" w:rsidP="001B3346">
      <w:pPr>
        <w:pStyle w:val="UZEINormaln"/>
        <w:rPr>
          <w:rFonts w:eastAsiaTheme="minorEastAsia"/>
        </w:rPr>
      </w:pPr>
      <w:r w:rsidRPr="003218A5">
        <w:rPr>
          <w:rFonts w:eastAsiaTheme="minorEastAsia"/>
        </w:rPr>
        <w:t>Extrémní sněžení může být příčinou vzniku mimořádné situace silnou intenzitou sněžení nebo vytvořením vysoké sněhové pokrývky v krátkém čase. Intenzivní sněžení, které je často doprovázeno větrem, způsobuje akutní problémy v podobě vytvoření vysoké sněhové pokrývky spojené s rizikem poškození lesních porostů i zemědělských kultur (např. ovocné sady, chmelnice, vinice), snížením dostupnosti potravy u volně žijící zvěře apod.</w:t>
      </w:r>
    </w:p>
    <w:p w14:paraId="29053CC4" w14:textId="4A9A534A" w:rsidR="003E0F58" w:rsidRPr="007C705C" w:rsidRDefault="003E0F58" w:rsidP="003218A5">
      <w:pPr>
        <w:pStyle w:val="UZEIOdrky"/>
        <w:rPr>
          <w:rFonts w:eastAsiaTheme="minorEastAsia"/>
        </w:rPr>
      </w:pPr>
      <w:r w:rsidRPr="007C705C">
        <w:rPr>
          <w:rFonts w:eastAsiaTheme="minorEastAsia"/>
        </w:rPr>
        <w:t>Výskyt extrémních rychlostí větru</w:t>
      </w:r>
    </w:p>
    <w:p w14:paraId="48F8EF8A" w14:textId="77777777" w:rsidR="003E0F58" w:rsidRPr="007C705C" w:rsidRDefault="003E0F58" w:rsidP="001B3346">
      <w:pPr>
        <w:pStyle w:val="UZEINormaln"/>
        <w:rPr>
          <w:rFonts w:eastAsiaTheme="minorEastAsia"/>
        </w:rPr>
      </w:pPr>
      <w:r w:rsidRPr="007C705C">
        <w:rPr>
          <w:rFonts w:eastAsiaTheme="minorEastAsia"/>
        </w:rPr>
        <w:t xml:space="preserve">Příčiny problému jsou v globální změně klimatu (IPCC, 2013). </w:t>
      </w:r>
    </w:p>
    <w:p w14:paraId="110A4DCA" w14:textId="1D7A2343" w:rsidR="003E0F58" w:rsidRPr="007C705C" w:rsidRDefault="003E0F58" w:rsidP="003218A5">
      <w:pPr>
        <w:pStyle w:val="UZEIOdrky"/>
        <w:rPr>
          <w:rFonts w:eastAsiaTheme="minorEastAsia"/>
        </w:rPr>
      </w:pPr>
      <w:r w:rsidRPr="007C705C">
        <w:rPr>
          <w:rFonts w:eastAsiaTheme="minorEastAsia"/>
        </w:rPr>
        <w:t>Snižování zásob vody v půdě</w:t>
      </w:r>
    </w:p>
    <w:p w14:paraId="5356EAE4" w14:textId="77777777" w:rsidR="003E0F58" w:rsidRPr="003218A5" w:rsidRDefault="003E0F58" w:rsidP="001B3346">
      <w:pPr>
        <w:pStyle w:val="UZEINormaln"/>
        <w:rPr>
          <w:rFonts w:eastAsiaTheme="minorEastAsia"/>
        </w:rPr>
      </w:pPr>
      <w:r w:rsidRPr="003218A5">
        <w:rPr>
          <w:rFonts w:eastAsiaTheme="minorEastAsia"/>
        </w:rPr>
        <w:t>Dopady sucha na krajinu nejsou pouhou výslednicí průběhu meteorologických jevů, ale z velké části i způsobem hospodaření v krajině a negativních důsledků degradace a trvalého záboru půd. Stávajícím způsobem hospodaření na zemědělských půdách, ale také na historicky zatížených lesních půdách či v zastavěném území s významným podílem zpevněných ploch s rychlým odvodem vody, došlo ke snížení infiltračních schopností krajiny a tím byla významně snížena její retenční kapacita. Dochází tak ke změnám jednotlivých fází oběhu vody. Snížení retenční kapacity krajiny vede nejen k výskytům sucha, ale i k povodním a narušení tepelného režimu krajiny, v důsledku se tedy jedná o narušení celkového mikroklimatu v postižených oblastech. Rychlý odtok vody z krajiny vede ke snížení obsahu vody v půdě a v určitých časových obdobích může vyvolat i snížení hladiny podzemní vody oproti normálnímu stavu.</w:t>
      </w:r>
    </w:p>
    <w:p w14:paraId="487E029F" w14:textId="77777777" w:rsidR="003E0F58" w:rsidRPr="007C705C" w:rsidRDefault="003E0F58" w:rsidP="008A1AE3">
      <w:pPr>
        <w:pStyle w:val="Odstavecseseznamem"/>
        <w:numPr>
          <w:ilvl w:val="0"/>
          <w:numId w:val="16"/>
        </w:numPr>
        <w:spacing w:before="60" w:line="360" w:lineRule="atLeast"/>
        <w:rPr>
          <w:rFonts w:eastAsiaTheme="minorEastAsia"/>
          <w:b/>
          <w:bCs/>
        </w:rPr>
      </w:pPr>
      <w:r w:rsidRPr="007C705C">
        <w:rPr>
          <w:rFonts w:eastAsiaTheme="minorEastAsia"/>
          <w:b/>
          <w:bCs/>
        </w:rPr>
        <w:t>Vysoké emise GHG a NH</w:t>
      </w:r>
      <w:r w:rsidRPr="007C705C">
        <w:rPr>
          <w:rFonts w:eastAsiaTheme="minorEastAsia"/>
          <w:b/>
          <w:bCs/>
          <w:vertAlign w:val="subscript"/>
        </w:rPr>
        <w:t>3</w:t>
      </w:r>
      <w:r w:rsidRPr="007C705C">
        <w:rPr>
          <w:rFonts w:eastAsiaTheme="minorEastAsia"/>
          <w:b/>
          <w:bCs/>
        </w:rPr>
        <w:t xml:space="preserve"> ze zemědělství</w:t>
      </w:r>
    </w:p>
    <w:p w14:paraId="253766C7" w14:textId="3E907310" w:rsidR="003E0F58" w:rsidRPr="007C705C" w:rsidRDefault="003E0F58" w:rsidP="003218A5">
      <w:pPr>
        <w:pStyle w:val="UZEIOdrky"/>
        <w:rPr>
          <w:rFonts w:eastAsiaTheme="minorEastAsia"/>
          <w:u w:val="single"/>
        </w:rPr>
      </w:pPr>
      <w:r w:rsidRPr="007C705C">
        <w:rPr>
          <w:rFonts w:eastAsiaTheme="minorEastAsia"/>
        </w:rPr>
        <w:t>Vysoké emise CO</w:t>
      </w:r>
      <w:r w:rsidRPr="007C705C">
        <w:rPr>
          <w:rFonts w:eastAsiaTheme="minorEastAsia"/>
          <w:vertAlign w:val="subscript"/>
        </w:rPr>
        <w:t>2</w:t>
      </w:r>
      <w:r w:rsidRPr="007C705C">
        <w:rPr>
          <w:rFonts w:eastAsiaTheme="minorEastAsia"/>
        </w:rPr>
        <w:t>, NO</w:t>
      </w:r>
      <w:r w:rsidRPr="007C705C">
        <w:rPr>
          <w:rFonts w:eastAsiaTheme="minorEastAsia"/>
          <w:vertAlign w:val="subscript"/>
        </w:rPr>
        <w:t>x</w:t>
      </w:r>
      <w:r w:rsidRPr="007C705C">
        <w:rPr>
          <w:rFonts w:eastAsiaTheme="minorEastAsia"/>
        </w:rPr>
        <w:t>, CH</w:t>
      </w:r>
      <w:r w:rsidRPr="007C705C">
        <w:rPr>
          <w:rFonts w:eastAsiaTheme="minorEastAsia"/>
          <w:vertAlign w:val="subscript"/>
        </w:rPr>
        <w:t>4</w:t>
      </w:r>
      <w:r w:rsidRPr="007C705C">
        <w:rPr>
          <w:rFonts w:eastAsiaTheme="minorEastAsia"/>
        </w:rPr>
        <w:t>, NH</w:t>
      </w:r>
      <w:r w:rsidRPr="007C705C">
        <w:rPr>
          <w:rFonts w:eastAsiaTheme="minorEastAsia"/>
          <w:vertAlign w:val="subscript"/>
        </w:rPr>
        <w:t>3</w:t>
      </w:r>
      <w:r w:rsidRPr="007C705C">
        <w:rPr>
          <w:rFonts w:eastAsiaTheme="minorEastAsia"/>
        </w:rPr>
        <w:t xml:space="preserve"> ze zemědělské půdy</w:t>
      </w:r>
    </w:p>
    <w:p w14:paraId="596EB20A" w14:textId="01C852FA" w:rsidR="003E0F58" w:rsidRDefault="003E0F58" w:rsidP="001B3346">
      <w:pPr>
        <w:pStyle w:val="UZEINormaln"/>
        <w:rPr>
          <w:rFonts w:eastAsiaTheme="minorEastAsia"/>
        </w:rPr>
      </w:pPr>
      <w:r w:rsidRPr="003218A5">
        <w:rPr>
          <w:rFonts w:eastAsiaTheme="minorEastAsia"/>
        </w:rPr>
        <w:t>Oxid dusný vzniká v půdě převážně mikrobiální činností</w:t>
      </w:r>
      <w:r w:rsidR="00F65D3A">
        <w:rPr>
          <w:rFonts w:eastAsiaTheme="minorEastAsia"/>
        </w:rPr>
        <w:t>,</w:t>
      </w:r>
      <w:r w:rsidRPr="003218A5">
        <w:rPr>
          <w:rFonts w:eastAsiaTheme="minorEastAsia"/>
        </w:rPr>
        <w:t xml:space="preserve"> a to jak v procesu nitrifikace, která převažuje na půdách intenzivně kypřených, tak v procesu denitrifikace, která převažuje v půdách zamokřených a zhutněných s nedostatkem kyslíku. Základní příčinou vysokých emisí oxidu dusného ze zemědělské půdy je ale nadbytek minerálního dusíku (amonného a nitrátového) v půdě, tedy více než je rostlina schopna v daném okamžiku využít. Na půdách nehnojených minerálními hnojivy jsou emise oxidu dusného velmi nízké. Hlavním problémem není průměrná spotřeba dusíkatých hnojiv, ale především obrovské lokální rozdíly v půdních podmínkách a výnosovém potenciálu v rámci ČR, které vedou k tomu, že jsou dokonce i v rámci jednoho pozemku místa kde dusík je nedostatečně využit a je pak následně vyplavován nebo uvolňován jako emise N</w:t>
      </w:r>
      <w:r w:rsidRPr="00B52450">
        <w:rPr>
          <w:rFonts w:eastAsiaTheme="minorEastAsia"/>
          <w:vertAlign w:val="subscript"/>
        </w:rPr>
        <w:t>2</w:t>
      </w:r>
      <w:r w:rsidRPr="003218A5">
        <w:rPr>
          <w:rFonts w:eastAsiaTheme="minorEastAsia"/>
        </w:rPr>
        <w:t xml:space="preserve">O a na druhou stranu místa kde je hnojení nedostatečné. Na tuto skutečnost poukazují rostoucí problémy s obsahy dusičnanů ve zdrojích pitné vody, nicméně přesná kvantifikace není možná, protože neexistují podrobná prostorová data. Rozdíly v potřebě dusíku jsou ovšem obrovské a např. Scharf et al. (2005) prokázal u kukuřice že optimální dávka </w:t>
      </w:r>
      <w:r w:rsidRPr="003218A5">
        <w:rPr>
          <w:rFonts w:eastAsiaTheme="minorEastAsia"/>
        </w:rPr>
        <w:lastRenderedPageBreak/>
        <w:t>se pohybuje v rámci pozemku mezi 63 a 208 kg N/ha: Scharf, P. C., Kitchen, N. R., Sudduth, K. A., Davis, J. G., Hubbard, V. C., &amp; Lory, J. A. (2005). Field‐scale variability in optimal nitrogen fertilizer rate for corn. Agronomy journal, 97(2), 452-461. Uvádí se, že 1kg dodaného dusíku v minerálních hnojivech vede k emisím 0.3 – 3 kg oxidu dusného, přičemž při vyšších celkových dávkách dusíku na jednotku plochy se toto množství emisí na 1kg dodaného dusíku zvyšuje. Variabilitou obsahu přístupného dusíku pro rostliny v ČR se zabývali např.: Haberle, J., Kroulík, M., Svoboda, P., Lipavsky, J., Krejcova, J., &amp; Cerhanová, D. (2004). The spatial variability of mineral nitrogen content in topsoil and subsoil. Plant Soil and Environment, 50(10), 425-433.</w:t>
      </w:r>
    </w:p>
    <w:p w14:paraId="65F2C9B5" w14:textId="742C5167" w:rsidR="00F65D3A" w:rsidRPr="00B96B9F" w:rsidRDefault="00F65D3A" w:rsidP="00B52450">
      <w:pPr>
        <w:pStyle w:val="UZEIOdrky"/>
        <w:numPr>
          <w:ilvl w:val="0"/>
          <w:numId w:val="0"/>
        </w:numPr>
        <w:rPr>
          <w:vertAlign w:val="subscript"/>
        </w:rPr>
      </w:pPr>
      <w:r w:rsidRPr="00B96B9F">
        <w:t>Celosvětově se vyprodukuje kolem 22-35 mil. tun amoniaku a z toho téměř 90 % pochází ze zemědělství (Otrubová, 2017). Hlavním přispívajícím odvětvím je zemědělství, které představuje v součtu 83,9 % (oficiální data z </w:t>
      </w:r>
      <w:hyperlink r:id="rId20" w:history="1">
        <w:r w:rsidRPr="00B96B9F">
          <w:rPr>
            <w:rStyle w:val="Hypertextovodkaz"/>
            <w:rFonts w:eastAsiaTheme="minorEastAsia"/>
          </w:rPr>
          <w:t>www.ceip.at</w:t>
        </w:r>
      </w:hyperlink>
      <w:r w:rsidRPr="00B52450">
        <w:t xml:space="preserve"> za rok 2019</w:t>
      </w:r>
      <w:r w:rsidRPr="00B96B9F">
        <w:t>). Živočišná výroba, kde vzniká kejda, chlévský hnůj nebo drůbeží trus, patří mezi největší producenty emisí amoniaku a skleníkových plynů (metan, oxid uhličitý, oxidy dusíku, sirovodík). Amoniak jako takový nemá tak podstatný význam na zesilování skleníkového efektu jako oxid uhličitý nebo metan, ale jeho nebezpečnost je ve schopnosti vázat na sebe oxidy síry, které se nacházejí v ovzduší a může tak způsobit eutrofizaci (nadlimitní obohacování prostředí o živiny – zejména dusík a fosfor), která narušuje kyslíkový režim vod a mění druhové složení. Tím je způsoben nedostatek světla, omezená rekreační využitelnost vod, okyselení a následný toxický účinek na ekosystém (Otrubová, 2017). Kromě toho, že se amoniak podílí na eutrofizaci, patří také mezi hlavní acidifikační plyny, které způsobují acidifikaci (proces, při kterém dochází k okyselování půdního nebo vodního prostředí vlivem zvýšení koncentrace vodíkových iontů). Acidifikace, eutrofizace a účinek ozónu jsou nejvýznamnější rizika pro ekosystém (NPSE, 2015). Podle údajů EEA výměra ekosystémů vystavených acidifikaci a eutrofizaci převyšující kritické zátěže v období 2002–2012 výrazně klesla vlivem snížení emisí SO</w:t>
      </w:r>
      <w:r w:rsidRPr="00B96B9F">
        <w:rPr>
          <w:vertAlign w:val="subscript"/>
        </w:rPr>
        <w:t>2</w:t>
      </w:r>
      <w:r w:rsidRPr="00B96B9F">
        <w:t>, NO</w:t>
      </w:r>
      <w:r w:rsidRPr="00B96B9F">
        <w:rPr>
          <w:vertAlign w:val="subscript"/>
        </w:rPr>
        <w:t>X</w:t>
      </w:r>
      <w:r w:rsidRPr="00B96B9F">
        <w:t xml:space="preserve"> a NH</w:t>
      </w:r>
      <w:r w:rsidRPr="00B96B9F">
        <w:rPr>
          <w:vertAlign w:val="subscript"/>
        </w:rPr>
        <w:t>3</w:t>
      </w:r>
      <w:r w:rsidRPr="00B52450">
        <w:t>.</w:t>
      </w:r>
    </w:p>
    <w:p w14:paraId="06B109FF" w14:textId="0357F121" w:rsidR="003E0F58" w:rsidRPr="007C705C" w:rsidRDefault="003E0F58" w:rsidP="003218A5">
      <w:pPr>
        <w:pStyle w:val="UZEIOdrky"/>
        <w:rPr>
          <w:rFonts w:eastAsiaTheme="minorEastAsia"/>
        </w:rPr>
      </w:pPr>
      <w:r w:rsidRPr="007C705C">
        <w:rPr>
          <w:rFonts w:eastAsiaTheme="minorEastAsia"/>
        </w:rPr>
        <w:t>Nevyužívání půdoochranných technologií, které mají vliv na snižování emisí</w:t>
      </w:r>
    </w:p>
    <w:p w14:paraId="50D91F60" w14:textId="77777777" w:rsidR="003E0F58" w:rsidRPr="007C705C" w:rsidRDefault="003E0F58" w:rsidP="001B3346">
      <w:pPr>
        <w:pStyle w:val="UZEINormaln"/>
        <w:rPr>
          <w:rFonts w:eastAsiaTheme="minorEastAsia"/>
        </w:rPr>
      </w:pPr>
      <w:r w:rsidRPr="007C705C">
        <w:rPr>
          <w:rFonts w:eastAsiaTheme="minorEastAsia"/>
        </w:rPr>
        <w:t>Každoročně se uvolňuje do atmosféry 4-5 % ze zásob uhlíku v půdních organických hmotách.  Odhad je, že půdním dýcháním se dostává do atmosféry desetkrát větší množství CO</w:t>
      </w:r>
      <w:r w:rsidRPr="007C705C">
        <w:rPr>
          <w:rFonts w:eastAsiaTheme="minorEastAsia"/>
          <w:vertAlign w:val="subscript"/>
        </w:rPr>
        <w:t>2</w:t>
      </w:r>
      <w:r w:rsidRPr="007C705C">
        <w:rPr>
          <w:rFonts w:eastAsiaTheme="minorEastAsia"/>
        </w:rPr>
        <w:t xml:space="preserve"> než spalováním fosilních paliv (Hula a kol. 2008). Převážná část ztrát je způsobena rozkladem, jímž se CO</w:t>
      </w:r>
      <w:r w:rsidRPr="007C705C">
        <w:rPr>
          <w:rFonts w:eastAsiaTheme="minorEastAsia"/>
          <w:vertAlign w:val="subscript"/>
        </w:rPr>
        <w:t>2</w:t>
      </w:r>
      <w:r w:rsidRPr="007C705C">
        <w:rPr>
          <w:rFonts w:eastAsiaTheme="minorEastAsia"/>
        </w:rPr>
        <w:t xml:space="preserve"> uvolňuje do půdního vzduchu a odtud do atmosféry. Rychlost rozkladu je ovlivněna jednak zpracováním půdy a jednak jejími vlastnostmi (Kutílek, 2001). Zpracování půdy má poměrně výrazný vliv na ukládání uhlíku (jako humus) v půdě a jeho uvolňování (jako CO</w:t>
      </w:r>
      <w:r w:rsidRPr="007C705C">
        <w:rPr>
          <w:rFonts w:eastAsiaTheme="minorEastAsia"/>
          <w:vertAlign w:val="subscript"/>
        </w:rPr>
        <w:t>2</w:t>
      </w:r>
      <w:r w:rsidRPr="007C705C">
        <w:rPr>
          <w:rFonts w:eastAsiaTheme="minorEastAsia"/>
        </w:rPr>
        <w:t>) z půdy do atmosféry. Změny půdního prostředí, které nastávají v půdě po intenzivním zpracování půdy, vedou většinou k většímu uvolňování CO</w:t>
      </w:r>
      <w:r w:rsidRPr="007C705C">
        <w:rPr>
          <w:rFonts w:eastAsiaTheme="minorEastAsia"/>
          <w:vertAlign w:val="subscript"/>
        </w:rPr>
        <w:t>2</w:t>
      </w:r>
      <w:r w:rsidRPr="007C705C">
        <w:rPr>
          <w:rFonts w:eastAsiaTheme="minorEastAsia"/>
        </w:rPr>
        <w:t>. Největší ztráty CO</w:t>
      </w:r>
      <w:r w:rsidRPr="007C705C">
        <w:rPr>
          <w:rFonts w:eastAsiaTheme="minorEastAsia"/>
          <w:vertAlign w:val="subscript"/>
        </w:rPr>
        <w:t xml:space="preserve">2 </w:t>
      </w:r>
      <w:r w:rsidRPr="007C705C">
        <w:rPr>
          <w:rFonts w:eastAsiaTheme="minorEastAsia"/>
        </w:rPr>
        <w:t>do ovzduší bývají bezprostředně po orbě. Hierarchicky jako nejzávažnější příčiny lze uvést využívanou agrotechniku (orba x minimalizační techniky), hloubku kultivace, intenzitu difúzního procesu přechodu CO</w:t>
      </w:r>
      <w:r w:rsidRPr="007C705C">
        <w:rPr>
          <w:rFonts w:eastAsiaTheme="minorEastAsia"/>
          <w:vertAlign w:val="subscript"/>
        </w:rPr>
        <w:t xml:space="preserve">2 </w:t>
      </w:r>
      <w:r w:rsidRPr="007C705C">
        <w:rPr>
          <w:rFonts w:eastAsiaTheme="minorEastAsia"/>
        </w:rPr>
        <w:t>půda – vzduch (závisí na pórovitosti, vlhkosti půdy, gradientu koncentrace CO</w:t>
      </w:r>
      <w:r w:rsidRPr="007C705C">
        <w:rPr>
          <w:rFonts w:eastAsiaTheme="minorEastAsia"/>
          <w:vertAlign w:val="subscript"/>
        </w:rPr>
        <w:t xml:space="preserve">2 </w:t>
      </w:r>
      <w:r w:rsidRPr="007C705C">
        <w:rPr>
          <w:rFonts w:eastAsiaTheme="minorEastAsia"/>
        </w:rPr>
        <w:t>a teplotě), nevhodný nebo nedostatečný (chybějící) vegetační pokryv v průběhu roku.</w:t>
      </w:r>
    </w:p>
    <w:p w14:paraId="3495985E" w14:textId="5FCA4246" w:rsidR="003E0F58" w:rsidRPr="007C705C" w:rsidRDefault="003E0F58" w:rsidP="003218A5">
      <w:pPr>
        <w:pStyle w:val="UZEIOdrky"/>
        <w:rPr>
          <w:rFonts w:eastAsiaTheme="minorEastAsia"/>
          <w:u w:val="single"/>
        </w:rPr>
      </w:pPr>
      <w:r w:rsidRPr="007C705C">
        <w:rPr>
          <w:rFonts w:eastAsiaTheme="minorEastAsia"/>
        </w:rPr>
        <w:t>Nevyužívání změn managementu na půdě – zalesňování a zatravňování ZPF</w:t>
      </w:r>
    </w:p>
    <w:p w14:paraId="30AA4E3D" w14:textId="0B92F104" w:rsidR="003218A5" w:rsidRPr="007C705C" w:rsidRDefault="003E0F58" w:rsidP="003218A5">
      <w:pPr>
        <w:pStyle w:val="UZEINormaln"/>
        <w:rPr>
          <w:rFonts w:eastAsiaTheme="minorEastAsia"/>
        </w:rPr>
      </w:pPr>
      <w:r w:rsidRPr="007C705C">
        <w:rPr>
          <w:rFonts w:eastAsiaTheme="minorEastAsia"/>
        </w:rPr>
        <w:t>Význam TTP spočívá v trvalém zadržování zásob uhlíku v půdě. Zatravnění orné půdy může v počátku přechodu znamenat akumulaci asi 1 t C na ha  za rok. Tato hodnota postupně klesá k hodnotám okolo 0.3 t C na ha za rok a za suchých podmínek je to ještě méně.  Nicméně konvenční obhospodařování orné půdy, tedy orba + intenzivní hnojení obvykle znamená opačnou bilanci, tedy pokles obsahu C v půdě –a emise CO2 do ovzduší. V principu jsou tedy travní porosty uhlíkově spíše neutrální až mírně sekvestrační, nicméně v porovnání s ornou půdou už se jedná o přínos signifikantní (W. M. Post, K. C. Kwon, Global Change Biology 200, 6, 317 – 327). Současně tím, že se travní porosty v ČR minimálně hnojí dusíkem, snižují i emise oxidu dusného (K. Klem, CzechGlobe, 2021).</w:t>
      </w:r>
    </w:p>
    <w:p w14:paraId="3DC7C4E3" w14:textId="77777777" w:rsidR="003E0F58" w:rsidRPr="007C705C" w:rsidRDefault="003E0F58" w:rsidP="001B3346">
      <w:pPr>
        <w:pStyle w:val="UZEINormaln"/>
        <w:rPr>
          <w:rFonts w:eastAsiaTheme="minorEastAsia"/>
        </w:rPr>
      </w:pPr>
      <w:r w:rsidRPr="007C705C">
        <w:rPr>
          <w:rFonts w:eastAsiaTheme="minorEastAsia"/>
        </w:rPr>
        <w:lastRenderedPageBreak/>
        <w:t>Za obvyklé příčiny se považují:</w:t>
      </w:r>
    </w:p>
    <w:p w14:paraId="33D8FC80" w14:textId="77777777" w:rsidR="003E0F58" w:rsidRPr="007C705C" w:rsidRDefault="003E0F58" w:rsidP="008A1AE3">
      <w:pPr>
        <w:pStyle w:val="UZEINormaln"/>
        <w:numPr>
          <w:ilvl w:val="0"/>
          <w:numId w:val="39"/>
        </w:numPr>
        <w:rPr>
          <w:rFonts w:eastAsiaTheme="minorEastAsia"/>
        </w:rPr>
      </w:pPr>
      <w:r w:rsidRPr="007C705C">
        <w:rPr>
          <w:rFonts w:eastAsiaTheme="minorEastAsia"/>
        </w:rPr>
        <w:t>dotační titul na zalesnění oslovuje nízké procento žadatelů (zalesnění pozemku je zatíženo platbou odvodu ze ZPF, zemědělský subjekt často není vlastníkem půdy, nemá potřebnou kvalifikaci v péči o lesní porosty)</w:t>
      </w:r>
    </w:p>
    <w:p w14:paraId="265B91A5" w14:textId="77777777" w:rsidR="003E0F58" w:rsidRPr="007C705C" w:rsidRDefault="003E0F58" w:rsidP="008A1AE3">
      <w:pPr>
        <w:pStyle w:val="UZEINormaln"/>
        <w:numPr>
          <w:ilvl w:val="0"/>
          <w:numId w:val="39"/>
        </w:numPr>
        <w:rPr>
          <w:rFonts w:eastAsiaTheme="minorEastAsia"/>
        </w:rPr>
      </w:pPr>
      <w:r w:rsidRPr="007C705C">
        <w:rPr>
          <w:rFonts w:eastAsiaTheme="minorEastAsia"/>
        </w:rPr>
        <w:t>nízké zařazení prvků zelené infrastruktury do územních plánů (popř. pozemkových úprav) rozvoje měst a obcí (socioekonomické vlivy) - vytváření relaxačních zón – chybí prvky Smart Cities</w:t>
      </w:r>
    </w:p>
    <w:p w14:paraId="21EF23EF" w14:textId="77777777" w:rsidR="003E0F58" w:rsidRPr="007C705C" w:rsidRDefault="003E0F58" w:rsidP="008A1AE3">
      <w:pPr>
        <w:pStyle w:val="UZEINormaln"/>
        <w:numPr>
          <w:ilvl w:val="0"/>
          <w:numId w:val="39"/>
        </w:numPr>
        <w:rPr>
          <w:rFonts w:eastAsiaTheme="minorEastAsia"/>
        </w:rPr>
      </w:pPr>
      <w:r w:rsidRPr="007C705C">
        <w:rPr>
          <w:rFonts w:eastAsiaTheme="minorEastAsia"/>
        </w:rPr>
        <w:t>omezené možnosti uplatnění produkce pícnin na trhu se zemědělskými komoditami</w:t>
      </w:r>
    </w:p>
    <w:p w14:paraId="6E425C1E" w14:textId="77777777" w:rsidR="003E0F58" w:rsidRPr="007C705C" w:rsidRDefault="003E0F58" w:rsidP="003218A5">
      <w:pPr>
        <w:pStyle w:val="UZEIOdrky"/>
        <w:rPr>
          <w:rFonts w:eastAsiaTheme="minorEastAsia"/>
        </w:rPr>
      </w:pPr>
      <w:r w:rsidRPr="007C705C">
        <w:rPr>
          <w:rFonts w:eastAsiaTheme="minorEastAsia"/>
        </w:rPr>
        <w:t>Pomalé zavádění technologií snižujících emise GHG a NH</w:t>
      </w:r>
      <w:r w:rsidRPr="007C705C">
        <w:rPr>
          <w:rFonts w:eastAsiaTheme="minorEastAsia"/>
          <w:vertAlign w:val="subscript"/>
        </w:rPr>
        <w:t>3</w:t>
      </w:r>
      <w:r w:rsidRPr="007C705C">
        <w:rPr>
          <w:rFonts w:eastAsiaTheme="minorEastAsia"/>
        </w:rPr>
        <w:t xml:space="preserve"> v živočišné a rostlinné výrobě:</w:t>
      </w:r>
    </w:p>
    <w:p w14:paraId="02D4D201" w14:textId="77777777" w:rsidR="003E0F58" w:rsidRPr="003218A5" w:rsidRDefault="003E0F58" w:rsidP="008A1AE3">
      <w:pPr>
        <w:pStyle w:val="UZEINormaln"/>
        <w:numPr>
          <w:ilvl w:val="0"/>
          <w:numId w:val="39"/>
        </w:numPr>
        <w:rPr>
          <w:rFonts w:eastAsiaTheme="minorEastAsia"/>
        </w:rPr>
      </w:pPr>
      <w:r w:rsidRPr="003218A5">
        <w:rPr>
          <w:rFonts w:eastAsiaTheme="minorEastAsia"/>
        </w:rPr>
        <w:t>Nejsou uvedeny žádné emisní limity pro CH</w:t>
      </w:r>
      <w:r w:rsidRPr="00B52450">
        <w:rPr>
          <w:rFonts w:eastAsiaTheme="minorEastAsia"/>
          <w:vertAlign w:val="subscript"/>
        </w:rPr>
        <w:t>4</w:t>
      </w:r>
      <w:r w:rsidRPr="003218A5">
        <w:rPr>
          <w:rFonts w:eastAsiaTheme="minorEastAsia"/>
        </w:rPr>
        <w:t>, a N</w:t>
      </w:r>
      <w:r w:rsidRPr="00B52450">
        <w:rPr>
          <w:rFonts w:eastAsiaTheme="minorEastAsia"/>
          <w:vertAlign w:val="subscript"/>
        </w:rPr>
        <w:t>2</w:t>
      </w:r>
      <w:r w:rsidRPr="003218A5">
        <w:rPr>
          <w:rFonts w:eastAsiaTheme="minorEastAsia"/>
        </w:rPr>
        <w:t>O z chovu hospodářských zvířat, ze skladování exkrementů a aplikace statkových hnojiv – chybí motivace pro zavedení technologií.</w:t>
      </w:r>
    </w:p>
    <w:p w14:paraId="39892171" w14:textId="77777777" w:rsidR="003E0F58" w:rsidRPr="003218A5" w:rsidRDefault="003E0F58" w:rsidP="008A1AE3">
      <w:pPr>
        <w:pStyle w:val="UZEINormaln"/>
        <w:numPr>
          <w:ilvl w:val="0"/>
          <w:numId w:val="39"/>
        </w:numPr>
        <w:rPr>
          <w:rFonts w:eastAsiaTheme="minorEastAsia"/>
        </w:rPr>
      </w:pPr>
      <w:r w:rsidRPr="003218A5">
        <w:rPr>
          <w:rFonts w:eastAsiaTheme="minorEastAsia"/>
        </w:rPr>
        <w:t>Malá informovanost zemědělců o provázanosti emisí NH</w:t>
      </w:r>
      <w:r w:rsidRPr="00B52450">
        <w:rPr>
          <w:rFonts w:eastAsiaTheme="minorEastAsia"/>
          <w:vertAlign w:val="subscript"/>
        </w:rPr>
        <w:t>3</w:t>
      </w:r>
      <w:r w:rsidRPr="003218A5">
        <w:rPr>
          <w:rFonts w:eastAsiaTheme="minorEastAsia"/>
        </w:rPr>
        <w:t xml:space="preserve"> se snížením množství využitelných látek ze statkových hnojiv – chybí motivace pro zavedení technologií.</w:t>
      </w:r>
    </w:p>
    <w:p w14:paraId="5CD4C4EB" w14:textId="77777777" w:rsidR="003E0F58" w:rsidRPr="003218A5" w:rsidRDefault="003E0F58" w:rsidP="008A1AE3">
      <w:pPr>
        <w:pStyle w:val="UZEINormaln"/>
        <w:numPr>
          <w:ilvl w:val="0"/>
          <w:numId w:val="39"/>
        </w:numPr>
        <w:rPr>
          <w:rFonts w:eastAsiaTheme="minorEastAsia"/>
        </w:rPr>
      </w:pPr>
      <w:r w:rsidRPr="003218A5">
        <w:rPr>
          <w:rFonts w:eastAsiaTheme="minorEastAsia"/>
        </w:rPr>
        <w:t>Malé využití možností precizního zemědělství pro optimalizaci dávek hnojiva s ohledem na emise zejména N</w:t>
      </w:r>
      <w:r w:rsidRPr="00B52450">
        <w:rPr>
          <w:rFonts w:eastAsiaTheme="minorEastAsia"/>
          <w:vertAlign w:val="subscript"/>
        </w:rPr>
        <w:t>2</w:t>
      </w:r>
      <w:r w:rsidRPr="003218A5">
        <w:rPr>
          <w:rFonts w:eastAsiaTheme="minorEastAsia"/>
        </w:rPr>
        <w:t>O. Časté nadměrné dávky N při aplikaci hnojiv vedou k vysoké emisi N</w:t>
      </w:r>
      <w:r w:rsidRPr="00B52450">
        <w:rPr>
          <w:rFonts w:eastAsiaTheme="minorEastAsia"/>
          <w:vertAlign w:val="subscript"/>
        </w:rPr>
        <w:t>2</w:t>
      </w:r>
      <w:r w:rsidRPr="003218A5">
        <w:rPr>
          <w:rFonts w:eastAsiaTheme="minorEastAsia"/>
        </w:rPr>
        <w:t>O. Finanční náročnost na nákup technologií, není vybudována síť firem, které tuto technologii nabízejí za přijatelnou cenu formou služeb.</w:t>
      </w:r>
    </w:p>
    <w:p w14:paraId="6993462F" w14:textId="77777777" w:rsidR="003E0F58" w:rsidRPr="003218A5" w:rsidRDefault="003E0F58" w:rsidP="008A1AE3">
      <w:pPr>
        <w:pStyle w:val="UZEINormaln"/>
        <w:numPr>
          <w:ilvl w:val="0"/>
          <w:numId w:val="39"/>
        </w:numPr>
        <w:rPr>
          <w:rFonts w:eastAsiaTheme="minorEastAsia"/>
        </w:rPr>
      </w:pPr>
      <w:r w:rsidRPr="003218A5">
        <w:rPr>
          <w:rFonts w:eastAsiaTheme="minorEastAsia"/>
        </w:rPr>
        <w:t>Malé využití nízkoemisních technologií pro aplikace statkových hnojiv (hadicové aplikátory, úprava fyzikálních a chemických vlastností kejdy). Finanční náročnost na nákup technologií, není vybudována síť firem, které tuto technologii nabízejí za přijatelnou cenu formou služeb.</w:t>
      </w:r>
    </w:p>
    <w:p w14:paraId="51F8589B" w14:textId="77777777" w:rsidR="003E0F58" w:rsidRPr="003218A5" w:rsidRDefault="003E0F58" w:rsidP="008A1AE3">
      <w:pPr>
        <w:pStyle w:val="UZEINormaln"/>
        <w:numPr>
          <w:ilvl w:val="0"/>
          <w:numId w:val="39"/>
        </w:numPr>
        <w:rPr>
          <w:rFonts w:eastAsiaTheme="minorEastAsia"/>
        </w:rPr>
      </w:pPr>
      <w:r w:rsidRPr="003218A5">
        <w:rPr>
          <w:rFonts w:eastAsiaTheme="minorEastAsia"/>
        </w:rPr>
        <w:t>Malé využívání možností technologických opatření pro únik GHG a NH</w:t>
      </w:r>
      <w:r w:rsidRPr="00B52450">
        <w:rPr>
          <w:rFonts w:eastAsiaTheme="minorEastAsia"/>
          <w:vertAlign w:val="subscript"/>
        </w:rPr>
        <w:t>3</w:t>
      </w:r>
      <w:r w:rsidRPr="003218A5">
        <w:rPr>
          <w:rFonts w:eastAsiaTheme="minorEastAsia"/>
        </w:rPr>
        <w:t xml:space="preserve"> ze skladování kejdy (zakrytí jímek, úprava chemických a fyzikálních vlastností kejdy).</w:t>
      </w:r>
    </w:p>
    <w:p w14:paraId="3F6C22DA" w14:textId="77777777" w:rsidR="003E0F58" w:rsidRPr="003218A5" w:rsidRDefault="003E0F58" w:rsidP="008A1AE3">
      <w:pPr>
        <w:pStyle w:val="UZEINormaln"/>
        <w:numPr>
          <w:ilvl w:val="0"/>
          <w:numId w:val="39"/>
        </w:numPr>
        <w:rPr>
          <w:rFonts w:eastAsiaTheme="minorEastAsia"/>
        </w:rPr>
      </w:pPr>
      <w:r w:rsidRPr="003218A5">
        <w:rPr>
          <w:rFonts w:eastAsiaTheme="minorEastAsia"/>
        </w:rPr>
        <w:t>Malé využívání aditiv do krmiva pro snižování produkce CH</w:t>
      </w:r>
      <w:r w:rsidRPr="00B52450">
        <w:rPr>
          <w:rFonts w:eastAsiaTheme="minorEastAsia"/>
          <w:vertAlign w:val="subscript"/>
        </w:rPr>
        <w:t>4</w:t>
      </w:r>
      <w:r w:rsidRPr="003218A5">
        <w:rPr>
          <w:rFonts w:eastAsiaTheme="minorEastAsia"/>
        </w:rPr>
        <w:t xml:space="preserve"> v chovu skotu.</w:t>
      </w:r>
    </w:p>
    <w:p w14:paraId="3281D84B" w14:textId="77777777" w:rsidR="003E0F58" w:rsidRPr="003218A5" w:rsidRDefault="003E0F58" w:rsidP="008A1AE3">
      <w:pPr>
        <w:pStyle w:val="UZEINormaln"/>
        <w:numPr>
          <w:ilvl w:val="0"/>
          <w:numId w:val="39"/>
        </w:numPr>
        <w:rPr>
          <w:rFonts w:eastAsiaTheme="minorEastAsia"/>
        </w:rPr>
      </w:pPr>
      <w:r w:rsidRPr="003218A5">
        <w:rPr>
          <w:rFonts w:eastAsiaTheme="minorEastAsia"/>
        </w:rPr>
        <w:t>V některých případech zvýšení provozních nákladů (např. pračky vzduchu – výrazně vyšší spotřeba elektrické energie ventilačními systémy, u praček využívajících kyselinu sírovou navíc technicky a finančně náročné používání nebezpečných látek)</w:t>
      </w:r>
    </w:p>
    <w:p w14:paraId="3A537995" w14:textId="495BF277" w:rsidR="003E0F58" w:rsidRDefault="003E0F58" w:rsidP="008A1AE3">
      <w:pPr>
        <w:pStyle w:val="UZEINormaln"/>
        <w:numPr>
          <w:ilvl w:val="0"/>
          <w:numId w:val="39"/>
        </w:numPr>
        <w:rPr>
          <w:rFonts w:eastAsiaTheme="minorEastAsia"/>
        </w:rPr>
      </w:pPr>
      <w:r w:rsidRPr="003218A5">
        <w:rPr>
          <w:rFonts w:eastAsiaTheme="minorEastAsia"/>
        </w:rPr>
        <w:t>Hlavní příčinou je ve většině případů malá informovanost zemědělců a finanční náročnost opatření při těžko předvídatelném vývoji v zemědělské výrobě.</w:t>
      </w:r>
    </w:p>
    <w:p w14:paraId="0D5A6A15" w14:textId="5553F39F" w:rsidR="00F65D3A" w:rsidRPr="00B96B9F" w:rsidRDefault="00F65D3A" w:rsidP="0065394F">
      <w:pPr>
        <w:pStyle w:val="UZEINormaln"/>
        <w:rPr>
          <w:rFonts w:eastAsiaTheme="minorEastAsia"/>
        </w:rPr>
      </w:pPr>
      <w:r w:rsidRPr="00B96B9F">
        <w:t>Technologie, které výrazněji snižují emise čpavku z intenzivních chovů, zejména prasat, nejsou zaváděny dostatečně rychle z důvodů nízké vymahatelnosti</w:t>
      </w:r>
      <w:r w:rsidR="0065394F">
        <w:t>.</w:t>
      </w:r>
      <w:r w:rsidRPr="00B96B9F">
        <w:t xml:space="preserve"> Mezi další příčiny problému patří například absence emisních limitů pro CH</w:t>
      </w:r>
      <w:r w:rsidRPr="00B96B9F">
        <w:rPr>
          <w:vertAlign w:val="subscript"/>
        </w:rPr>
        <w:t>4</w:t>
      </w:r>
      <w:r w:rsidRPr="00B96B9F">
        <w:t>, a N</w:t>
      </w:r>
      <w:r w:rsidRPr="00B96B9F">
        <w:rPr>
          <w:vertAlign w:val="subscript"/>
        </w:rPr>
        <w:t>2</w:t>
      </w:r>
      <w:r w:rsidRPr="00B96B9F">
        <w:t>O z chovu hospodářských zvířat, ze skladování exkrementů a aplikace statkových hnojiv – chybí motivace pro zavedení technologií, malá informovanost zemědělců o provázanosti emisí NH</w:t>
      </w:r>
      <w:r w:rsidRPr="00B96B9F">
        <w:rPr>
          <w:vertAlign w:val="subscript"/>
        </w:rPr>
        <w:t>3</w:t>
      </w:r>
      <w:r w:rsidRPr="00B96B9F">
        <w:t xml:space="preserve"> se snížením množství využitelných látek ze statkových hnojiv a GHG ze skladování kejdy (zakrytí jímek, úprava chemických a fyzikálních vlastností kejdy). Dále se jedná o malé využívání biotechnologických přípravků pro snížení emisí amoniaku a snížení zápachu, které se aplikují do krmiva, do napájení, na hlubokou podestýlku, na rošty a na skládky exkrementů, chlévského hnoje nebo kejdy (jejich seznam je </w:t>
      </w:r>
      <w:r w:rsidRPr="00B96B9F">
        <w:lastRenderedPageBreak/>
        <w:t xml:space="preserve">uveden na webových stránkách Výzkumného ústavu zemědělské techniky, v. v. i. </w:t>
      </w:r>
      <w:hyperlink r:id="rId21" w:history="1">
        <w:r w:rsidRPr="00B96B9F">
          <w:rPr>
            <w:rStyle w:val="Hypertextovodkaz"/>
            <w:rFonts w:eastAsiaTheme="minorEastAsia"/>
          </w:rPr>
          <w:t>http://www.vuzt.cz/index.php?I=A91</w:t>
        </w:r>
      </w:hyperlink>
      <w:r w:rsidRPr="00B96B9F">
        <w:t xml:space="preserve">). </w:t>
      </w:r>
      <w:r w:rsidRPr="00B96B9F">
        <w:rPr>
          <w:rFonts w:eastAsiaTheme="minorEastAsia"/>
        </w:rPr>
        <w:t>V některých případech zvýšení provozních nákladů (např. pračky vzduchu – výrazně vyšší spotřeba elektrické energie ventilačními systémy, u praček využívajících kyselinu sírovou navíc technicky a finančně náročné používání nebezpečných látek), hlavní příčinou je ve většině případů malá informovanost zemědělců a finanční náročnost opatření při těžko předvídatelném vývoji v zemědělství</w:t>
      </w:r>
    </w:p>
    <w:p w14:paraId="6771A1D6" w14:textId="77777777" w:rsidR="00F65D3A" w:rsidRPr="003218A5" w:rsidRDefault="00F65D3A" w:rsidP="0065394F">
      <w:pPr>
        <w:pStyle w:val="UZEINormaln"/>
        <w:rPr>
          <w:rFonts w:eastAsiaTheme="minorEastAsia"/>
        </w:rPr>
      </w:pPr>
    </w:p>
    <w:p w14:paraId="2F6C15C8" w14:textId="77777777" w:rsidR="003E0F58" w:rsidRPr="007C705C" w:rsidRDefault="003E0F58" w:rsidP="008A1AE3">
      <w:pPr>
        <w:pStyle w:val="Odstavecseseznamem"/>
        <w:numPr>
          <w:ilvl w:val="0"/>
          <w:numId w:val="16"/>
        </w:numPr>
        <w:spacing w:before="60" w:line="360" w:lineRule="atLeast"/>
        <w:rPr>
          <w:rFonts w:eastAsiaTheme="minorEastAsia"/>
          <w:b/>
          <w:bCs/>
        </w:rPr>
      </w:pPr>
      <w:r w:rsidRPr="007C705C">
        <w:rPr>
          <w:rFonts w:eastAsiaTheme="minorEastAsia"/>
          <w:b/>
          <w:bCs/>
        </w:rPr>
        <w:t>Nízký obsah organického uhlíku v půdě</w:t>
      </w:r>
    </w:p>
    <w:p w14:paraId="608C6C86" w14:textId="3F9CB7E9" w:rsidR="003E0F58" w:rsidRPr="00B516EA" w:rsidRDefault="003E0F58" w:rsidP="00B516EA">
      <w:pPr>
        <w:pStyle w:val="UZEIOdrky"/>
        <w:rPr>
          <w:rStyle w:val="UZEIOdrkyChar"/>
          <w:rFonts w:eastAsiaTheme="minorEastAsia"/>
        </w:rPr>
      </w:pPr>
      <w:r w:rsidRPr="007C705C">
        <w:rPr>
          <w:rFonts w:eastAsiaTheme="minorEastAsia"/>
        </w:rPr>
        <w:t>Úbytek organického uhlíku v orné půd</w:t>
      </w:r>
      <w:r w:rsidR="00B516EA">
        <w:rPr>
          <w:rFonts w:eastAsiaTheme="minorEastAsia"/>
        </w:rPr>
        <w:t>ě</w:t>
      </w:r>
    </w:p>
    <w:p w14:paraId="062C4CD7" w14:textId="7CE8CFA7" w:rsidR="003E0F58" w:rsidRPr="007C705C" w:rsidRDefault="003E0F58" w:rsidP="00022AAD">
      <w:pPr>
        <w:pStyle w:val="UZEINormaln"/>
        <w:rPr>
          <w:rFonts w:eastAsiaTheme="minorEastAsia"/>
        </w:rPr>
      </w:pPr>
      <w:r w:rsidRPr="007C705C">
        <w:rPr>
          <w:rFonts w:eastAsiaTheme="minorEastAsia"/>
        </w:rPr>
        <w:t>Hlavními příčinami negativního posunu uhlíkové bilance u intenzivně obhospodařovaných zemědělských půd je kombinace několika faktorů. Především je to vliv klimatu, kdy při teplejším a sušším klimatu dochází k výrazné mineralizaci organického materiálu. Ponechání posklizňových zbytků na povrchu půdy, stejně jako aplikace organické hmoty na povrch půdy není žádoucí. Pro maximální využitelnost zdrojů organické hmoty je nutné tyto zdroje strukturálního uhlíku vždy zapravit do půdy do minimální hloubky 10-15 cm. Zároveň je si třeba uvědomit, že při kultivaci půdy dochází k narušení přirozeného půdního prostředí. Platí proto 4 zásady, které mohou zásadním způsobem ochránit zdroje organické hmoty v půdě: 1) udržovat půdy „kryté“ střídat plodiny, které prosperují v teplé i chladné fázi roku (jedná se zejména o masivní zařazení meziplodin do osevních postupů), 2) snažit se efektivně využít veškeré místní zdroje organické hmoty (včetně aplikace digestátu, kejdy, popř. stabilizovaných ČOV kalů) a tyto zdroje zapravit do půdy (do minimální hloubky 15 cm), 3) při zpracování půdy v sušších oblastech využít technologie s minimálním rozrušením půdního povrchu (zejména strip-till) a zařazení ochranných a melioračních plodin, 4) maximálně podpořit rozvoj kořenového systému pěstovaných plodin, využít vhodné předplodiny a snažit se o maximální diverzitu plodin zařazených do osevního sledu. Jedním z palčivých problémů ČR je obecně nedostatek kvalitní organické hmoty související především s poklesem podílu živočišné výroby, Dalším významným problémem je nadměrné užívání minerálních dusíkatých hnojiv. Užívání čistě minerální forem hnojiv sice umožňuje rychlou výměnu živin, mezi půdním prostředím a rostlinou, ale zároveň výrazně destabilizuje přirozené půdní podmínky, narušuje přirozenou výměnu živin a limituje růst kořenové části rostlin. Právě rozvoj kořenové části rostlin má na udržení pozitivní uhlíkové bilance v agroekosystému zcela zásadní vliv. V podzemních orgánech rostlin a okolních rhizodepozicích je asociováno 30–50% veškerého rostlinou fotosyntetizovaného C (Buyanovsky a Wagner, 1997).</w:t>
      </w:r>
    </w:p>
    <w:p w14:paraId="1CC0E552" w14:textId="77777777" w:rsidR="00022AAD" w:rsidRDefault="003E0F58" w:rsidP="00022AAD">
      <w:pPr>
        <w:pStyle w:val="UZEINormaln"/>
        <w:rPr>
          <w:rFonts w:eastAsiaTheme="minorEastAsia"/>
        </w:rPr>
      </w:pPr>
      <w:r w:rsidRPr="007C705C">
        <w:rPr>
          <w:rFonts w:eastAsiaTheme="minorEastAsia"/>
        </w:rPr>
        <w:t xml:space="preserve">Globální analýzu 276 experimentů porovnávajících vliv bezorebného zpracování půdy a orby na obsah organického uhlíku v půdě provedli West a Post (2002). Ti prokázali, že bezorebné zpracování půdy v porovnání s konvenční orbou zvyšuje obsah organické hmoty ve vrstvě 0-7 cm asi o 20% a snižuje ve vrstvě 7-15 cm asi o 7%. Obecně má přechod na bezorebnou technologii potenciál podle této rozsáhlé studie ukládat v půdě 0.57 t C ha-1 rok-1. </w:t>
      </w:r>
    </w:p>
    <w:p w14:paraId="0ABA6D76" w14:textId="77777777" w:rsidR="00022AAD" w:rsidRDefault="003E0F58" w:rsidP="00022AAD">
      <w:pPr>
        <w:pStyle w:val="UZEINormaln"/>
        <w:rPr>
          <w:rFonts w:eastAsiaTheme="minorEastAsia"/>
        </w:rPr>
      </w:pPr>
      <w:r w:rsidRPr="007C705C">
        <w:rPr>
          <w:rFonts w:eastAsiaTheme="minorEastAsia"/>
        </w:rPr>
        <w:t xml:space="preserve">V posledních letech pozitivní efekt bezorebného zakládání porostů ve srovnání s orbou na obsah organického uhlíku v půdě prokazují např. Kushwa et al. (2016) nebo Busari et al. (2015).  Rozdíly v obsahu organického uhlíku v půdě mezi orbou a bezorebným zakládáním porostů bývají často poměrně malé a to i u víceletých experimentů a pohybují se relativně většinou v jednotkách procent a jen ojediněle v desítkách procent. V případě že je přísun organické hmoty do půdy dostatečný  (posklizňové zbytky, organická hnojiva) jsou rozdíly v bilanci obsahu organického uhlíku mezi intenzivním zpracováním půdy a bezorebným zakládáním porostů minimální, přičemž se ale zásadně mění distribuce obsahu organického uhlíku v hloubkovém profilu.  Výrazně narůstá obsah organického uhlíku ve svrchních 5-10 cm zatímco v hloubce </w:t>
      </w:r>
      <w:r w:rsidRPr="007C705C">
        <w:rPr>
          <w:rFonts w:eastAsiaTheme="minorEastAsia"/>
        </w:rPr>
        <w:lastRenderedPageBreak/>
        <w:t xml:space="preserve">10-20 cm obsah organického uhlíku klesá (Martínez et al. 2016), což už ukázala i dřívější analýza West a Post (2002). Výrazné zvýšení obsahu organického uhlíku ve svrchních 5-10 cm ovšem zásadně přispívá ke zlepšení infiltrace vody a omezení eroze. </w:t>
      </w:r>
    </w:p>
    <w:p w14:paraId="5662B726" w14:textId="55C1E6A7" w:rsidR="003E0F58" w:rsidRPr="007C705C" w:rsidRDefault="003E0F58" w:rsidP="00022AAD">
      <w:pPr>
        <w:pStyle w:val="UZEINormaln"/>
        <w:rPr>
          <w:rFonts w:eastAsiaTheme="minorEastAsia"/>
        </w:rPr>
      </w:pPr>
      <w:r w:rsidRPr="007C705C">
        <w:rPr>
          <w:rFonts w:eastAsiaTheme="minorEastAsia"/>
        </w:rPr>
        <w:t xml:space="preserve">Řešením nastalé situace je využít nástroje precizního zemědělství, především aplikovat stabilní (pomalu rozložitelné) zdroje N a dalších živin přímo do zóny růstu konvenčních plodin a snížit tak dávky minerálních živin (Geisseler et Scow, 2014), popř. využít přímo organo-minerálních živin. Při aplikaci organického materiálu je vždy nutné uvažovat o podstatě jeho působení v půdě. Z pohledu omezení účinku vodní eroze je výhodné např. aplikovat mulč, stejně jako některé druhy kompostů z obecní zeleně na povrch půdy. Nicméně pro udržení půdní kvality, k rozvoji mikrobiálních činností a posílení „zdraví“ půdy je zásadní aplikovat kvalitní zdroje organické hmoty do svrchních vrstev půdy.Pouze půda, která bude „zdravá“ bude schopná odolat případným klimatickým změnám a může nám i do budoucna poskytnou zdroj obživy a vody tolik potřebné k životu (Deb et al., 2015). </w:t>
      </w:r>
    </w:p>
    <w:p w14:paraId="24191B2D" w14:textId="77777777" w:rsidR="003E0F58" w:rsidRPr="007C705C" w:rsidRDefault="003E0F58" w:rsidP="00022AAD">
      <w:pPr>
        <w:pStyle w:val="UZEINormaln"/>
        <w:rPr>
          <w:rFonts w:eastAsiaTheme="minorEastAsia"/>
        </w:rPr>
      </w:pPr>
      <w:r w:rsidRPr="007C705C">
        <w:rPr>
          <w:rFonts w:eastAsiaTheme="minorEastAsia"/>
        </w:rPr>
        <w:t xml:space="preserve">Přínosy jednotlivých opatření samostatně, tj. např. přechod na bezorebnou technologii bez meziplodin nebo naopak meziplodiny bez přechodu na bezorebnou technologii mají přínosy na ukládání organického uhlíku jsou relativně malé ale dávají smysl a stávají se efektivními pokud jsou kombinovány, kdy se navzájem podporují.  </w:t>
      </w:r>
    </w:p>
    <w:p w14:paraId="5CDAEB77" w14:textId="1AB3CC64" w:rsidR="003E0F58" w:rsidRPr="00B516EA" w:rsidRDefault="003E0F58" w:rsidP="00022AAD">
      <w:pPr>
        <w:pStyle w:val="UZEINormaln"/>
        <w:rPr>
          <w:rFonts w:eastAsiaTheme="minorEastAsia"/>
        </w:rPr>
      </w:pPr>
      <w:r w:rsidRPr="007C705C">
        <w:rPr>
          <w:rFonts w:eastAsiaTheme="minorEastAsia"/>
        </w:rPr>
        <w:t>Potenciál ukládání uhlíku na zemědělské půdě a porovnání různých opatření publikoval např. Lal (2004), který uvádí že kombinací opatření je v podmínkách mírného pásma možné ukládat až 1 t C ha-1 rok-1 přičemž potenciální vliv bezorebné technologie samostatně je ukládání 0.1-1 t C ha-1 rok-1 a meziplodin 0.05-0.25 t C ha-1 rok-1.</w:t>
      </w:r>
    </w:p>
    <w:p w14:paraId="55881C74" w14:textId="7EB4C941" w:rsidR="003E0F58" w:rsidRPr="007C705C" w:rsidRDefault="003E0F58" w:rsidP="00B516EA">
      <w:pPr>
        <w:pStyle w:val="UZEIOdrky"/>
        <w:rPr>
          <w:rFonts w:eastAsiaTheme="minorEastAsia"/>
          <w:u w:val="single"/>
        </w:rPr>
      </w:pPr>
      <w:r w:rsidRPr="007C705C">
        <w:rPr>
          <w:rFonts w:eastAsiaTheme="minorEastAsia"/>
        </w:rPr>
        <w:t>Nedostatečné hospodaření na půdě z hlediska bilancování organické hmoty</w:t>
      </w:r>
    </w:p>
    <w:p w14:paraId="61B88161" w14:textId="77777777" w:rsidR="003E0F58" w:rsidRPr="007C705C" w:rsidRDefault="003E0F58" w:rsidP="00022AAD">
      <w:pPr>
        <w:pStyle w:val="UZEINormaln"/>
        <w:rPr>
          <w:rFonts w:eastAsiaTheme="minorEastAsia"/>
        </w:rPr>
      </w:pPr>
      <w:r w:rsidRPr="007C705C">
        <w:rPr>
          <w:rFonts w:eastAsiaTheme="minorEastAsia"/>
        </w:rPr>
        <w:t>Půdní organická hmota (POH) je přibližně z 58 % tvořena uhlíkem</w:t>
      </w:r>
      <w:r w:rsidRPr="007C705C">
        <w:t xml:space="preserve"> (WELTE, 1963)</w:t>
      </w:r>
      <w:r w:rsidRPr="007C705C">
        <w:rPr>
          <w:rFonts w:eastAsiaTheme="minorEastAsia"/>
        </w:rPr>
        <w:t xml:space="preserve">. V poslední době se stále intenzivně setkáváme se snahou o snížení atmosférického oxidu uhličitého – mitigační opatření. Půdní prostředí představuje významný prostor k ukládání uhlíku (půdní sekvestrace), proto je snaha evropských autorit tento prostor využít a tím snížit koncentraci skleníkové plynu v ovzduší </w:t>
      </w:r>
      <w:r w:rsidRPr="007C705C">
        <w:t>(IPCC, 2014)</w:t>
      </w:r>
      <w:r w:rsidRPr="007C705C">
        <w:rPr>
          <w:rFonts w:eastAsiaTheme="minorEastAsia"/>
        </w:rPr>
        <w:t>. Zvyšování obsahu POH v půdě tedy řeší otázky spojené s kvalitou půdy a snižování koncentrace oxidu uhličitého z atmosféry. Jako příčina se uvádí, že již několik desetiletí není pravidelně na ornou půdu dodávána organická hmota statkovými hnojivy živočišného původu, jako důsledek poklesu chovaných hospodářských zvířat. S tím klesly výměry pícnin pěstovaných jako krmivo, čímž se narušila optimální rotace střídání hluboko a mělce kořenících plodin. V důsledku toho narůstá procento půd, u kterých se setkáváme s poklesem půdní organické hmoty. Návrat organických hmot do půdy je mnohdy v nedostatečném množství nebo kvalitě (statková hnojiva rostlinného původu – sláma, zelené hnojení) a dochází k omezení biotransformace C v půdě a tím k poklesu půdní úrodnosti. V neposlední řadě je náhlý úbytek POH způsobem rozoráním luk nebo odvodněním pozemků.</w:t>
      </w:r>
    </w:p>
    <w:p w14:paraId="7E484E03" w14:textId="77777777" w:rsidR="003E0F58" w:rsidRPr="007C705C" w:rsidRDefault="003E0F58" w:rsidP="005D1920">
      <w:pPr>
        <w:pStyle w:val="Odstavecseseznamem"/>
        <w:keepNext/>
        <w:numPr>
          <w:ilvl w:val="0"/>
          <w:numId w:val="16"/>
        </w:numPr>
        <w:spacing w:before="60" w:line="360" w:lineRule="atLeast"/>
        <w:ind w:left="714" w:hanging="357"/>
        <w:rPr>
          <w:rFonts w:eastAsiaTheme="minorEastAsia"/>
          <w:b/>
          <w:bCs/>
        </w:rPr>
      </w:pPr>
      <w:r w:rsidRPr="007C705C">
        <w:rPr>
          <w:rFonts w:eastAsiaTheme="minorEastAsia"/>
          <w:b/>
          <w:bCs/>
        </w:rPr>
        <w:t>Nevyužitý potenciál a neefektivní výroba energií z OZE v zemědělství a lesnictví</w:t>
      </w:r>
    </w:p>
    <w:p w14:paraId="36E5B8E2" w14:textId="77777777" w:rsidR="003E0F58" w:rsidRPr="007C705C" w:rsidRDefault="003E0F58" w:rsidP="00B516EA">
      <w:pPr>
        <w:pStyle w:val="UZEINormaln"/>
        <w:rPr>
          <w:rFonts w:eastAsiaTheme="minorEastAsia"/>
        </w:rPr>
      </w:pPr>
      <w:r w:rsidRPr="007C705C">
        <w:rPr>
          <w:rFonts w:eastAsiaTheme="minorEastAsia"/>
        </w:rPr>
        <w:t>V posledních 3 sledovaných letech výroba energií z OZE v zemědělství a lesnictví stagnuje. Mohou za to zejména stále přetrvávající vysoké měrné investiční i provozní náklady (vysoké ceny paliva z biomasy), nízká účinnost většiny zdrojů, příliš svázané podmínky investičních pobídek, nejasný výhled legislativního prostředí a jeho časté, i retroaktivní změny.</w:t>
      </w:r>
    </w:p>
    <w:p w14:paraId="25F2903E" w14:textId="77777777" w:rsidR="003E0F58" w:rsidRPr="007C705C" w:rsidRDefault="003E0F58" w:rsidP="00B516EA">
      <w:pPr>
        <w:pStyle w:val="UZEINormaln"/>
        <w:rPr>
          <w:rFonts w:eastAsiaTheme="minorEastAsia"/>
        </w:rPr>
      </w:pPr>
      <w:r w:rsidRPr="007C705C">
        <w:rPr>
          <w:rFonts w:eastAsiaTheme="minorEastAsia"/>
        </w:rPr>
        <w:t xml:space="preserve"> Další příčinou vysokých cen paliva z biomasy je neochota farmářů k přechodu z pěstování běžných tržních plodin na pěstování energetické biomasy s nízkým rizikem půdní eroze jako jsou energetické trávy traviny, jeteloviny, luskoviny a případně další druhy plodin nebo jejich směsi využitelné v energetice nebo rychle rostoucí dřeviny – RRD. Mezi hlavní překážky lze uvést nízkou flexibilitu v možnostech změny využívání půdy (jedná se o víceleté porosty </w:t>
      </w:r>
      <w:r w:rsidRPr="007C705C">
        <w:rPr>
          <w:rFonts w:eastAsiaTheme="minorEastAsia"/>
        </w:rPr>
        <w:lastRenderedPageBreak/>
        <w:t>s odpovídající rentabilitou), absence dlouhodobých kontraktů na produkci, ale také samotné vlastnictví půd. Z toho vyplývá i příčina vysokého podílu využívání cíleně pěstované energetické biomasy (rentabilita 1 rok) s vyšším rizikem půdní eroze vůči biomase odpadní či cílené biomase s nízkým erozním rizikem.</w:t>
      </w:r>
    </w:p>
    <w:p w14:paraId="659461B4" w14:textId="77777777" w:rsidR="003E0F58" w:rsidRPr="007C705C" w:rsidRDefault="003E0F58" w:rsidP="00B516EA">
      <w:pPr>
        <w:pStyle w:val="UZEINormaln"/>
        <w:rPr>
          <w:rFonts w:eastAsiaTheme="minorEastAsia"/>
        </w:rPr>
      </w:pPr>
      <w:r w:rsidRPr="007C705C">
        <w:rPr>
          <w:rFonts w:eastAsiaTheme="minorEastAsia"/>
        </w:rPr>
        <w:t>Charakter pěstování lesní biomasy ji předurčuje vzhledem k nákladovosti spíše k lokálnímu (decentrálnímu) využití. Průměrná roční produkce LTZ však neodpovídá současné poptávce po dřevní štěpce.</w:t>
      </w:r>
    </w:p>
    <w:p w14:paraId="087525AA" w14:textId="77777777" w:rsidR="003E0F58" w:rsidRPr="007C705C" w:rsidRDefault="003E0F58" w:rsidP="00B516EA">
      <w:pPr>
        <w:pStyle w:val="UZEINormaln"/>
        <w:rPr>
          <w:rFonts w:eastAsiaTheme="minorEastAsia"/>
        </w:rPr>
      </w:pPr>
      <w:r w:rsidRPr="007C705C">
        <w:rPr>
          <w:rFonts w:eastAsiaTheme="minorEastAsia"/>
        </w:rPr>
        <w:t>Stále významný nevyužívaný energetický potenciál ve venkovském prostoru zaujímá také biologicky rozložitelný odpad reprezentovaný zejména zbytky z rostlinné a živočišné výroby a komunální odpady.</w:t>
      </w:r>
    </w:p>
    <w:p w14:paraId="5C6926ED" w14:textId="02627EC3" w:rsidR="003E0F58" w:rsidRPr="00B516EA" w:rsidRDefault="003E0F58" w:rsidP="00B516EA">
      <w:pPr>
        <w:pStyle w:val="UZEINormaln"/>
        <w:rPr>
          <w:rFonts w:eastAsiaTheme="minorEastAsia"/>
        </w:rPr>
      </w:pPr>
      <w:r w:rsidRPr="007C705C">
        <w:rPr>
          <w:rFonts w:eastAsiaTheme="minorEastAsia"/>
        </w:rPr>
        <w:t>Posledním významným problémem zůstává málo diskutovaná účinnost stávajících výroben energií z biomasy. Nejvíce tíživý je problém u výroben elektřiny z biomasy bez paralelního využití tepla, tedy provozy mimo režim KVET. Méně tíživý, ale přesto nezanedbatelný, je i v případě provozů na spodní hranici KVET.</w:t>
      </w:r>
    </w:p>
    <w:p w14:paraId="598C505C" w14:textId="77777777" w:rsidR="00C64A5C" w:rsidRDefault="00C64A5C" w:rsidP="003E0F58">
      <w:pPr>
        <w:rPr>
          <w:rFonts w:cs="Times New Roman"/>
          <w:b/>
          <w:lang w:val="cs-CZ"/>
        </w:rPr>
      </w:pPr>
    </w:p>
    <w:p w14:paraId="49073EBE" w14:textId="7FC23C32" w:rsidR="003E0F58" w:rsidRPr="007C705C" w:rsidRDefault="003E0F58" w:rsidP="003E0F58">
      <w:pPr>
        <w:rPr>
          <w:rFonts w:cs="Times New Roman"/>
          <w:b/>
          <w:lang w:val="cs-CZ"/>
        </w:rPr>
      </w:pPr>
      <w:r w:rsidRPr="007C705C">
        <w:rPr>
          <w:rFonts w:cs="Times New Roman"/>
          <w:b/>
          <w:lang w:val="cs-CZ"/>
        </w:rPr>
        <w:t>LESY:</w:t>
      </w:r>
    </w:p>
    <w:p w14:paraId="35FEE766" w14:textId="77777777" w:rsidR="003E0F58" w:rsidRPr="007C705C" w:rsidRDefault="003E0F58" w:rsidP="008A1AE3">
      <w:pPr>
        <w:pStyle w:val="Odstavecseseznamem"/>
        <w:numPr>
          <w:ilvl w:val="0"/>
          <w:numId w:val="16"/>
        </w:numPr>
        <w:spacing w:before="60" w:line="360" w:lineRule="atLeast"/>
        <w:rPr>
          <w:rFonts w:eastAsiaTheme="minorEastAsia"/>
          <w:b/>
          <w:bCs/>
        </w:rPr>
      </w:pPr>
      <w:r w:rsidRPr="007C705C">
        <w:rPr>
          <w:rFonts w:eastAsiaTheme="minorEastAsia"/>
          <w:b/>
          <w:bCs/>
        </w:rPr>
        <w:t xml:space="preserve">Zdravotní stav lesů </w:t>
      </w:r>
    </w:p>
    <w:p w14:paraId="0F000EDF" w14:textId="77777777" w:rsidR="003E0F58" w:rsidRPr="007C705C" w:rsidRDefault="003E0F58" w:rsidP="00B516EA">
      <w:pPr>
        <w:pStyle w:val="UZEINormaln"/>
        <w:rPr>
          <w:rFonts w:eastAsiaTheme="minorEastAsia"/>
        </w:rPr>
      </w:pPr>
      <w:r w:rsidRPr="007C705C">
        <w:rPr>
          <w:rFonts w:eastAsiaTheme="minorEastAsia"/>
        </w:rPr>
        <w:t xml:space="preserve">V současné době ovlivňují zdravotní stav lesů především meteorologické faktory a s tím spojená aktivita biotických škodlivých činitelů. Znečištění ovzduší, které bylo v minulosti významným negativním činitelem, v současné době nepředstavuje přímé ohrožení vitality lesů, přestože jsou na významné části území ČR stále překračovány kritické zátěže acidity a nutričního dusíku (Novotný et al. 2017). Zdravotní stav lesů v ČR není rovnoměrný – v oblasti severní Moravy a Slezska, na Vysočině a částečně i v dalších regionech dochází k plošnému odumírání a rozpadu smrkových porostů v nižších a středních polohách. K tomuto stavu vedl celý soubor příčin, který se na mnohých místech odvíjí od dlouhodobého pěstování stanovištně nevhodných, věkově a prostorově unifikovaných a málo odolných monokultur smrku s negativními dopady na živinovou bilanci </w:t>
      </w:r>
      <w:r w:rsidRPr="007C705C">
        <w:t xml:space="preserve">(v kombinaci s depoziční zátěží) </w:t>
      </w:r>
      <w:r w:rsidRPr="007C705C">
        <w:rPr>
          <w:rFonts w:eastAsiaTheme="minorEastAsia"/>
        </w:rPr>
        <w:t>a stav lesních půd. Komplex příčin podle současných poznatků zahrnuje nepříznivý stav půd jako pozaďovou zátěž, sucho jako primární spoušťový faktor a biotické faktory (václavka, podkorní hmyz) jako finální faktory poškození – k vývoji poškození podkorním hmyzem viz následující odstavec. K rozvoji podkorního hmyzu významně přispívají i nedostatečně efektivní způsoby asanace kůrovcového dříví (asanace dříví na skládkách nebyla dosud řešena, nedostatek asanačních kapacit). V současné době je rozhodujícím mortalitním faktorem jednoznačně lýkožrout smrkový (Liška et al. 2018)..</w:t>
      </w:r>
    </w:p>
    <w:p w14:paraId="10473A2F" w14:textId="77777777" w:rsidR="003E0F58" w:rsidRPr="007C705C" w:rsidRDefault="003E0F58" w:rsidP="00B516EA">
      <w:pPr>
        <w:pStyle w:val="UZEINormaln"/>
        <w:rPr>
          <w:rFonts w:eastAsiaTheme="minorEastAsia"/>
        </w:rPr>
      </w:pPr>
      <w:r w:rsidRPr="007C705C">
        <w:rPr>
          <w:rFonts w:eastAsiaTheme="minorEastAsia"/>
        </w:rPr>
        <w:t xml:space="preserve">Sucho je obvykle v lesních ekosystémech predispozičním či spoušťovým faktorem, který předchází či nepřímo způsobuje závažná poškození biotickými (houbové patogeny, podkorní hmyz), abiotickými (vítr) či antropogenními (imise) faktory. Přímé poškození bývá obvykle pozorováno pouze na výsadbách či porostech prvního věkového stupně. </w:t>
      </w:r>
    </w:p>
    <w:p w14:paraId="178FE742" w14:textId="218C6AF4" w:rsidR="003E0F58" w:rsidRPr="007C705C" w:rsidRDefault="003E0F58" w:rsidP="00B516EA">
      <w:pPr>
        <w:pStyle w:val="UZEINormaln"/>
        <w:rPr>
          <w:rFonts w:eastAsiaTheme="minorEastAsia"/>
        </w:rPr>
      </w:pPr>
      <w:r w:rsidRPr="007C705C">
        <w:rPr>
          <w:rFonts w:eastAsiaTheme="minorEastAsia"/>
        </w:rPr>
        <w:t xml:space="preserve">Rozsáhlejší poškození lesních porostů suchem byla pozorována  v letech 2015, 2018 a 2019, kdy docházelo k předčasnému usychání a opadu asimilačních orgánů listnatých dřevin (obvykle s regenerací v následujícím roce), ale i k usychání jehličnanů – zejména smrku </w:t>
      </w:r>
      <w:r w:rsidRPr="007C705C">
        <w:t>a borovice (Pešková et al</w:t>
      </w:r>
      <w:r w:rsidR="002E6D60">
        <w:t>.</w:t>
      </w:r>
      <w:r w:rsidRPr="007C705C">
        <w:t xml:space="preserve"> 2016)</w:t>
      </w:r>
      <w:r w:rsidRPr="007C705C">
        <w:rPr>
          <w:rFonts w:eastAsiaTheme="minorEastAsia"/>
        </w:rPr>
        <w:t xml:space="preserve">, a to často na podmáčených a vodou ovlivněných stanovištích, kde zaklesla hladina půdní vody mimo dosah kořenového systému (Šrámek et al. 2016). Nejvýrazněji se tyto škody projevovaly v oblasti severní Moravy a Slezska a ve středních Čechách (Šrámek, Neudertová Hellebrandová 2016). Smrkové porosty jsou dominantně poškozovány kalamitním přemnožením lýkožrouta smrkového, sucho však výrazně přispívá k jejich oslabení a atraktivitě pro kůrovce. Obdobná souvislost s biotickými škůdci je u borovic. </w:t>
      </w:r>
    </w:p>
    <w:p w14:paraId="06A77BB6" w14:textId="77777777" w:rsidR="003E0F58" w:rsidRPr="007C705C" w:rsidRDefault="003E0F58" w:rsidP="00B516EA">
      <w:pPr>
        <w:pStyle w:val="UZEINormaln"/>
        <w:rPr>
          <w:rFonts w:eastAsiaTheme="minorEastAsia"/>
        </w:rPr>
      </w:pPr>
      <w:r w:rsidRPr="007C705C">
        <w:lastRenderedPageBreak/>
        <w:t>Počátek současného dlouhotrvajícího přemnožení lze datovat do roku 2003, kdy byly lesní porosty velkoplošně oslabeny extrémním suchem a vývoj podkorního hmyzu akcelerovalo dlouhé teplé vegetační období. V následujících letech byla kůrovcová gradace podpořena např. rozsáhlými polomy po orkánu Kyrill (2007), celkově velmi teplým rokem 2007, polomy po vichřicích Emma a Ivan (2008) atd. Po roce 2009, kdy v oblasti Čech nastala kulminace evidovaných objemů vytěženého kůrovcového dříví, došlo v letech 2010 až 2012 k jejich výraznému poklesu, následovala stagnace nebo mírný nárůst a k opětovnému výraznějšímu růstu došlo až od roku 2015, přičemž skokový nárůst se týká zejména uplynulých dvou let. Vývoj v oblasti severní a střední Moravy a Slezska byl rozdílný, zejména s ohledem na distribuci srážek v předchozích letech a trvající "komplexní chřadnutí nepůvodních smrčin". Ke kulminaci evidovaných objemů kůrovcového dříví zde došlo již o jeden až dva roky dříve, když k opětovnému nárůstu dochází od roku 2011, přičemž více patrný byl růst v letech 2013 a 2014 a zejména pak mezi lety 2015 až 2018</w:t>
      </w:r>
      <w:r w:rsidRPr="007C705C" w:rsidDel="00ED01F3">
        <w:rPr>
          <w:rFonts w:eastAsiaTheme="minorEastAsia"/>
        </w:rPr>
        <w:t xml:space="preserve"> </w:t>
      </w:r>
      <w:r w:rsidRPr="007C705C">
        <w:rPr>
          <w:rFonts w:eastAsiaTheme="minorEastAsia"/>
        </w:rPr>
        <w:t>(</w:t>
      </w:r>
      <w:r w:rsidRPr="007C705C">
        <w:t xml:space="preserve">Lubojacký 2018; </w:t>
      </w:r>
      <w:r w:rsidRPr="007C705C">
        <w:rPr>
          <w:rFonts w:eastAsiaTheme="minorEastAsia"/>
        </w:rPr>
        <w:t>Lubojacký, Knížek 2020).</w:t>
      </w:r>
    </w:p>
    <w:p w14:paraId="6241B973" w14:textId="77777777" w:rsidR="003E0F58" w:rsidRPr="007C705C" w:rsidRDefault="003E0F58" w:rsidP="00B516EA">
      <w:pPr>
        <w:pStyle w:val="UZEINormaln"/>
        <w:rPr>
          <w:rFonts w:eastAsia="Calibri"/>
        </w:rPr>
      </w:pPr>
      <w:r w:rsidRPr="007C705C">
        <w:t>Výskyt kůrovců na smrku v Česku prudce narostl již v roce 2015 (na severovýchodě dokonce o dva roky dříve), kdy lesní hospodářství nedokázalo prostřednictvím opatření v ochraně lesa adekvátně reagovat na následky velmi nepříznivého chodu povětrnostních vlivů. Od té doby se situace trvale zhoršuje. V roce 2018 dostala dynamika nárůstu přemnožení lýkožroutů nový impuls v podobě další periody extrémního průběhu počasí (oslabení a snížení obranyschopnosti smrkových porostů). Ve stejném roce se již kalamita zcela vymyká kontrole a miliony m</w:t>
      </w:r>
      <w:r w:rsidRPr="007C705C">
        <w:rPr>
          <w:vertAlign w:val="superscript"/>
        </w:rPr>
        <w:t>3</w:t>
      </w:r>
      <w:r w:rsidRPr="007C705C">
        <w:t xml:space="preserve"> napadeného dříví zůstávají stát v lesních porostech bez zpracování, tj. bez včasné a účinné asanace. V uplynulém roce došlo k dalšímu prohloubení této krize. Souběh predispozičních klimatických vlivů s krajně nepříznivou socioekonomickou situací v celém odvětví lesního hospodářství (kritický nedostatek pracovních sil, cenový pád na trhu s dřevní hmotou, organizační problémy u státních lesů, vyplývající ze striktní aplikace modelu zadávání veřejných zakázek atd.) vedl k bezprecedentní eskalaci kůrovcového napadení a vzniku velkoplošné kalamity, zasahující v přítomné době již většinu tuzemských lesů (Lubojacký, Knížek 2020). </w:t>
      </w:r>
      <w:r w:rsidRPr="007C705C">
        <w:rPr>
          <w:rFonts w:eastAsia="Calibri"/>
        </w:rPr>
        <w:t>Mezi kůrovcovitými jednoznačně dominuje lýkožrout smrkový – Ips typographus (doprovázený na severovýchodě Česka a v přilehlých oblastech lýkožroutem severským – Ips duplicatus). Výrazné sucho provázené extrémními teplotami posledních let umocnilo trvající špatnou kondici smrčin, vlny veder současně urychlily také vývoj podkorního hmyzu, kdy téměř pravidelně zaznamenáváme třetí rojení lýkožrouta smrkového v závěru vegetační sezóny (Lubojacký et al. 2018, 2019b).</w:t>
      </w:r>
    </w:p>
    <w:p w14:paraId="0E7463CC" w14:textId="77777777" w:rsidR="003E0F58" w:rsidRPr="007C705C" w:rsidRDefault="003E0F58" w:rsidP="00B516EA">
      <w:pPr>
        <w:pStyle w:val="UZEINormaln"/>
        <w:rPr>
          <w:rFonts w:eastAsia="Calibri"/>
        </w:rPr>
      </w:pPr>
      <w:r w:rsidRPr="007C705C">
        <w:rPr>
          <w:rFonts w:eastAsia="Calibri"/>
        </w:rPr>
        <w:t>Kromě trvajících dopadů sucha z roku 2015, ale i řady let předchozích, a zvýšených teplot, lze mezi hlavní příčiny aktuální kůrovcové kalamity bezpochyby zahrnout podcenění vznikající kůrovcové gradace již několik let nazpět, omezené schopnosti, resp. možnosti lesnického provozu adekvátně reagovat na vzniklou situaci (vyplývající z dlouhodobých trendů vývoje zaměstnanosti v oboru a dalších negativních skutečností, jako je např. u státních lesů nutnost dodržování zákona o zadávání veřejných zakázek, který zpomaluje asanaci kůrovcového dříví, a to tak, že je v mnoha případech nefunkční – přichází pozdě), pasivní přístup části vlastníků, nepříznivý vývoj na trhu s dřívím, včetně rozsáhlých větrných polomů z roku 2017. Vysoká míra pozdního zpracování kůrovcové hmoty je právě největším problémem v ochraně lesa před podkorním hmyzem. V průřezu všech typů vlastnictví lesů dochází často k pozdnímu zpracování kůrovcového dříví, mnohde dokonce zůstávají kůrovcové stromy nezpracovány vůbec, a nedůsledně prováděné asanaci aktivního kůrovcového dříví Souběhem výše uvedených vlivů došlo k bezprecedentní eskalaci kůrovcového napadení a vzniku velkoplošné kalamity, zasahující v přítomné době již značnou část lesů (Lubojacký et al. 2018, 2019).</w:t>
      </w:r>
    </w:p>
    <w:p w14:paraId="2225359E" w14:textId="77777777" w:rsidR="003E0F58" w:rsidRPr="007C705C" w:rsidRDefault="003E0F58" w:rsidP="00B516EA">
      <w:pPr>
        <w:pStyle w:val="UZEINormaln"/>
        <w:rPr>
          <w:rFonts w:eastAsia="Calibri"/>
        </w:rPr>
      </w:pPr>
      <w:r w:rsidRPr="007C705C">
        <w:rPr>
          <w:rFonts w:eastAsia="Calibri"/>
        </w:rPr>
        <w:t xml:space="preserve">Dále se jedná o pozdní či nedostatečné zpracování nově vzniklých polomů (např. z roku 2017 a začátku roku 2018) vzhledem k vývoji nové generace podkorního hmyzu. Plně se projevuje kritický nedostatek (kvalifikovaných) pracovníků, zejména v oblasti těžby a soustřeďování </w:t>
      </w:r>
      <w:r w:rsidRPr="007C705C">
        <w:rPr>
          <w:rFonts w:eastAsia="Calibri"/>
        </w:rPr>
        <w:lastRenderedPageBreak/>
        <w:t>dříví (u nahodilých těžeb je odborné provedení zvláště důležité, v přímé vazbě na účinnou asanaci napadené hmoty). Nastaly problémy v odbytu dříví - přebytek dříví (zejména kůrovcového) na trhu, omezení odběru dříví zpracovateli, pokles cen dříví (Lubojacký et al. 2018).</w:t>
      </w:r>
    </w:p>
    <w:p w14:paraId="0886C432" w14:textId="17A5C068" w:rsidR="003E0F58" w:rsidRPr="007C705C" w:rsidRDefault="003E0F58" w:rsidP="00B516EA">
      <w:pPr>
        <w:pStyle w:val="UZEINormaln"/>
      </w:pPr>
      <w:r w:rsidRPr="007C705C">
        <w:rPr>
          <w:rFonts w:eastAsia="Calibri"/>
        </w:rPr>
        <w:t>Obdobné problémy se projevují i v porostech dalších dřevin, zejména pak pokračování odumírání borovice lesní, způsobené primárně suchem, následně napadením borovic houbovými patogeny a rozvojem gradace l. vrcholkového zejména na jihozápadní Moravě. V důsledku nepříznivé situace mohou nastat obdobné problémy i u dalších dřevin (Lubojacký et al. 2018, 2019b</w:t>
      </w:r>
      <w:r w:rsidRPr="007C705C">
        <w:t>; Lubojacký, Knížek 2020</w:t>
      </w:r>
      <w:r w:rsidRPr="007C705C">
        <w:rPr>
          <w:rFonts w:eastAsia="Calibri"/>
        </w:rPr>
        <w:t>).</w:t>
      </w:r>
    </w:p>
    <w:p w14:paraId="352164D1" w14:textId="77777777" w:rsidR="003E0F58" w:rsidRPr="007C705C" w:rsidRDefault="003E0F58" w:rsidP="008A1AE3">
      <w:pPr>
        <w:pStyle w:val="Odstavecseseznamem"/>
        <w:numPr>
          <w:ilvl w:val="0"/>
          <w:numId w:val="16"/>
        </w:numPr>
        <w:spacing w:before="60" w:line="360" w:lineRule="atLeast"/>
        <w:rPr>
          <w:rFonts w:eastAsiaTheme="minorEastAsia"/>
          <w:b/>
          <w:bCs/>
        </w:rPr>
      </w:pPr>
      <w:r w:rsidRPr="007C705C">
        <w:rPr>
          <w:rFonts w:eastAsiaTheme="minorEastAsia"/>
          <w:b/>
          <w:bCs/>
        </w:rPr>
        <w:t>Druhové, věkové a prostorové složení lesních porostů</w:t>
      </w:r>
    </w:p>
    <w:p w14:paraId="5D2577AC" w14:textId="77777777" w:rsidR="003E0F58" w:rsidRPr="007C705C" w:rsidRDefault="003E0F58" w:rsidP="00B516EA">
      <w:pPr>
        <w:pStyle w:val="UZEINormaln"/>
        <w:rPr>
          <w:rFonts w:eastAsia="Calibri"/>
        </w:rPr>
      </w:pPr>
      <w:r w:rsidRPr="007C705C">
        <w:rPr>
          <w:rFonts w:eastAsia="Calibri"/>
        </w:rPr>
        <w:t xml:space="preserve">Změna druhového složení lesů probíhala od počátku interakcí s člověkem, výrazná pak byla s počátkem přechodu k intenzivnímu způsobu hospodaření na přelomu 18. a 19. století. Z analýzy dat LHP/O lze vysledovat trend vývoje dřevinné skladby našich lesů dle roku jejich založení. Porosty založené v období 1950-1989 zaujímají v současnosti cca 30 % porostní plochy našich lesů. Porosty založené v této etapě jsou charakteristické nárůstem podílu jehličnatých dřevin. Jejich zastoupení se za čtyřicet let zvýšilo z 65 % na 80 %. Tento nárůst nebyl ovšem plynulý. Na počátku padesátých let tvořil podíl smrku při zalesnění 45 %, k 56% podílu narostl až koncem osmdesátých let. Obdobně modřín kopíroval trend smrku a z 3,5% podílu postupně dosáhl v osmdesátých letech 6% zastoupení. V případě borovice nejvyššího zastoupení 16 % dosáhla již v šedesátých a sedmdesátých letech minulého století. Naopak podíl listnatých dřevin v daném období stagnuje, až klesá. Zastoupení dubu se za čtyřicet let propadlo z 6 % na 4 %, propad o polovinu zaznamenaly javory, jasany a lípy. Zastoupení buku se pohybovalo v tomto období kolem 5 %. I vývoj podílu krátkověkých listnáčů v daném období nebyl plynulý a odrážel se v něm jak jejich ústup na konci padesátých let nebo naopak jejich vzestup (bříza) v souvislosti s vrcholící imisní kalamitou a zalesňováním kalamitních holin. Se změnami druhové skladby úzce souvisela i unifikace věkové a prostorové struktury porostů. </w:t>
      </w:r>
    </w:p>
    <w:p w14:paraId="016CE1D9" w14:textId="77777777" w:rsidR="003E0F58" w:rsidRPr="007C705C" w:rsidRDefault="003E0F58" w:rsidP="00B516EA">
      <w:pPr>
        <w:pStyle w:val="UZEINormaln"/>
        <w:rPr>
          <w:rFonts w:eastAsia="Calibri"/>
        </w:rPr>
      </w:pPr>
      <w:r w:rsidRPr="007C705C">
        <w:rPr>
          <w:rFonts w:eastAsia="Calibri"/>
        </w:rPr>
        <w:t>Porosty založené v období let 1990–2015 zaujímají v současnosti cca 19 % porostní plochy našich lesů. Prakticky okamžitě po roce 1990 dochází ke změnám preferencí dřevin pro obnovu. Z pohledu jehličnatých dřevin jde o etapu, ve které tyto dřeviny ztrácely. Podíl smrku se po počáteční stagnaci na 55 % propadl na až na 45% zastoupení v ročníku výsadby 2005. Podíl borovice klesl z 15 % na 10 %. Nejdramatičtější změnou prošel modřín, kdy jeho podíl z 6 % v roce 1990 klesl na dnešní 1 %. Naopak podíl jedle se zdesetinásobil až na 3,5 %. Podobně i listnaté dřeviny v obnově od roku 1990 zažívají výrazný vzestup, kdy jejich podíl z 19 % stoupl až na 38 % v ročníku výsadby 2005. Z listnatých dřevin došlo k nejvyššímu vzrůstu podílu zastoupení u buku a to z 5 % na 21 %. Zastoupení dubu se zvýšilo ze 4 % na 9 %. Ostatní listnáče víceméně stagnují ve svém původním zastoupení. Největší význam si z nich udržuje bříza s podílem 3,5 %.</w:t>
      </w:r>
    </w:p>
    <w:p w14:paraId="4920E593" w14:textId="77777777" w:rsidR="003E0F58" w:rsidRPr="007C705C" w:rsidRDefault="003E0F58" w:rsidP="00B516EA">
      <w:pPr>
        <w:pStyle w:val="UZEINormaln"/>
        <w:rPr>
          <w:rFonts w:eastAsia="Calibri"/>
        </w:rPr>
      </w:pPr>
      <w:r w:rsidRPr="007C705C">
        <w:rPr>
          <w:rFonts w:eastAsia="Calibri"/>
        </w:rPr>
        <w:t>Podíváme-li se na dnešní zastoupení dřevin v obnově bez přihlédnutí k probíhajícím klimatickým změnám, lze vysledovat následující trendy. Zastoupení smrku, kleslo na 45 %. podíl borovice v obnově plynule klesá až k 10 %, podíl jedle činí 3,5 %, podíl buku dnes dosahuje 20 % v obnově, duby dosahují v obnově 9 % podíl. Pokles smrku, modřínu a borovice v porostech zakládaných mezi lety 1995–2015 šel na vrub především zvýšeného podílu buku, dubu, jedle bělokoré a v menší míře i javorů (Apltauer 2018).</w:t>
      </w:r>
    </w:p>
    <w:p w14:paraId="0E140489" w14:textId="41146CA0" w:rsidR="003E0F58" w:rsidRPr="007C705C" w:rsidRDefault="003E0F58" w:rsidP="00603F60">
      <w:pPr>
        <w:pStyle w:val="UZEINormaln"/>
        <w:numPr>
          <w:ilvl w:val="0"/>
          <w:numId w:val="16"/>
        </w:numPr>
        <w:rPr>
          <w:rFonts w:eastAsiaTheme="minorEastAsia"/>
          <w:b/>
          <w:bCs/>
        </w:rPr>
      </w:pPr>
      <w:r w:rsidRPr="007C705C">
        <w:rPr>
          <w:rFonts w:eastAsiaTheme="minorEastAsia"/>
          <w:b/>
          <w:bCs/>
        </w:rPr>
        <w:t>Protierozní, protipovodňová a retenční opatření v lesích</w:t>
      </w:r>
    </w:p>
    <w:p w14:paraId="30FEA954" w14:textId="77777777" w:rsidR="003E0F58" w:rsidRPr="007C705C" w:rsidRDefault="003E0F58" w:rsidP="00B516EA">
      <w:pPr>
        <w:pStyle w:val="UZEINormaln"/>
        <w:rPr>
          <w:rFonts w:eastAsia="Calibri"/>
        </w:rPr>
      </w:pPr>
      <w:r w:rsidRPr="007C705C">
        <w:rPr>
          <w:rFonts w:eastAsia="Calibri"/>
        </w:rPr>
        <w:t xml:space="preserve">V oblastech s nedostatkem vody v prostředí je po infiltraci nutné snížení výparu. Toho se dociluje trvalým zastíněním půdy porostem při využití podrostních a výběrných způsobů pěstování. Dále snížením intercepce a evapotranspirace porostů a zvýšením podkorunových </w:t>
      </w:r>
      <w:r w:rsidRPr="007C705C">
        <w:rPr>
          <w:rFonts w:eastAsia="Calibri"/>
        </w:rPr>
        <w:lastRenderedPageBreak/>
        <w:t>srážek snížením počtu jedinců na hektar. Toto snížení nesmí být tak intenzivní, aby došlo k rozvoji přízemní vegetace, jejíž spotřeba vody eliminuje provedená opatření. Snížení intercepce a evapotranspirace porostů je docilováno také změnou druhové skladby podporou listnaté složky, která má hlavně intercepci menší než jehličnany. Stejné opatření se zvýšením podílu listnáčů do 30 % má vliv na zvýšení odtoků z lesa a tím zabezpečení minimálních průtoků ve vodotečích (vyšší podíl již odtoky nezvyšuje). Funkce klimatická má význam v porostech od 5. lesního vegetačního stupně výše s tvorbou usazených srážek vyčesáváním nízké oblačnosti, tvorbou ledovky a námrazy. Usazené srážky u smrku představují 28,7 % zimních srážek volné plochy a v létě 10,2 % letních srážek. U buku se jedná o 16,4 % zimních srážek.</w:t>
      </w:r>
    </w:p>
    <w:p w14:paraId="4873FAFA" w14:textId="1A6C852F" w:rsidR="003E0F58" w:rsidRPr="005753FE" w:rsidRDefault="003E0F58" w:rsidP="005753FE">
      <w:pPr>
        <w:pStyle w:val="UZEINormaln"/>
        <w:rPr>
          <w:rFonts w:eastAsia="Calibri"/>
        </w:rPr>
      </w:pPr>
      <w:r w:rsidRPr="007C705C">
        <w:rPr>
          <w:rFonts w:eastAsia="Calibri"/>
        </w:rPr>
        <w:t xml:space="preserve">Na lokalitách s nadbytkem vody je potřeba zabezpečit dostatečnou infiltraci k převedení nežádoucího povrchového odtoku na odtok půdní hypodermický. Na stanovištích s vyšším obsahem půdní vody má význam přirozená desukční funkce porostů jejich schopnost odčerpávání této vody k transpiraci a růstu. Je nutné přizpůsobit dřevinnou skladbu a způsob hospodaření stavu a povaze stanoviště tak (úroveň zamokření), aby mohla být plněna jak hospodářská (bezpečnost produkce) tak vodoochranná funkce porostu s návazností na podporu biodiverzity prostředí. Prioritou je maximální možné zadržení vody v krajině. Opětovně je třeba zajistit bezpečné odvodnění cestní sítě a zpevněných ploch s následnou infiltrací nebo retencí, protože lesní cesty vytváří v členitém terénu alternativní síť vodotečí, která zvyšuje a urychluje odtok vody z lesního území. </w:t>
      </w:r>
    </w:p>
    <w:p w14:paraId="24701FD0" w14:textId="30F1AF5F" w:rsidR="003E0F58" w:rsidRPr="007C705C" w:rsidRDefault="003E0F58" w:rsidP="005753FE">
      <w:pPr>
        <w:pStyle w:val="UZEITaB"/>
        <w:rPr>
          <w:rFonts w:eastAsia="Calibri"/>
        </w:rPr>
      </w:pPr>
      <w:bookmarkStart w:id="251" w:name="_Toc15309853"/>
      <w:bookmarkStart w:id="252" w:name="_Toc77245826"/>
      <w:bookmarkStart w:id="253" w:name="_Toc94181584"/>
      <w:r w:rsidRPr="007C705C">
        <w:rPr>
          <w:rFonts w:eastAsia="Calibri"/>
        </w:rPr>
        <w:t>Délka LC ve vzdálenosti do 20 m od vodních toků</w:t>
      </w:r>
      <w:bookmarkEnd w:id="251"/>
      <w:bookmarkEnd w:id="252"/>
      <w:bookmarkEnd w:id="253"/>
    </w:p>
    <w:tbl>
      <w:tblPr>
        <w:tblW w:w="4780" w:type="dxa"/>
        <w:tblInd w:w="-5" w:type="dxa"/>
        <w:tblCellMar>
          <w:left w:w="70" w:type="dxa"/>
          <w:right w:w="70" w:type="dxa"/>
        </w:tblCellMar>
        <w:tblLook w:val="04A0" w:firstRow="1" w:lastRow="0" w:firstColumn="1" w:lastColumn="0" w:noHBand="0" w:noVBand="1"/>
      </w:tblPr>
      <w:tblGrid>
        <w:gridCol w:w="2520"/>
        <w:gridCol w:w="2260"/>
      </w:tblGrid>
      <w:tr w:rsidR="003E0F58" w:rsidRPr="007C705C" w14:paraId="27690946" w14:textId="77777777" w:rsidTr="005753FE">
        <w:trPr>
          <w:trHeight w:val="300"/>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8143FA" w14:textId="77777777" w:rsidR="003E0F58" w:rsidRPr="005753FE" w:rsidRDefault="003E0F58" w:rsidP="004D2249">
            <w:pPr>
              <w:jc w:val="left"/>
              <w:rPr>
                <w:rFonts w:cs="Times New Roman"/>
                <w:color w:val="000000"/>
                <w:sz w:val="20"/>
                <w:szCs w:val="20"/>
                <w:lang w:val="cs-CZ"/>
              </w:rPr>
            </w:pPr>
            <w:r w:rsidRPr="005753FE">
              <w:rPr>
                <w:rFonts w:cs="Times New Roman"/>
                <w:color w:val="000000"/>
                <w:sz w:val="20"/>
                <w:szCs w:val="20"/>
                <w:lang w:val="cs-CZ"/>
              </w:rPr>
              <w:t>Popisky řádků</w:t>
            </w:r>
          </w:p>
        </w:tc>
        <w:tc>
          <w:tcPr>
            <w:tcW w:w="2260" w:type="dxa"/>
            <w:tcBorders>
              <w:top w:val="single" w:sz="4" w:space="0" w:color="auto"/>
              <w:left w:val="nil"/>
              <w:bottom w:val="single" w:sz="4" w:space="0" w:color="auto"/>
              <w:right w:val="single" w:sz="4" w:space="0" w:color="auto"/>
            </w:tcBorders>
            <w:shd w:val="clear" w:color="auto" w:fill="auto"/>
            <w:noWrap/>
            <w:vAlign w:val="bottom"/>
            <w:hideMark/>
          </w:tcPr>
          <w:p w14:paraId="0619D0B9" w14:textId="77777777" w:rsidR="003E0F58" w:rsidRPr="005753FE" w:rsidRDefault="003E0F58" w:rsidP="004D2249">
            <w:pPr>
              <w:jc w:val="center"/>
              <w:rPr>
                <w:rFonts w:cs="Times New Roman"/>
                <w:color w:val="000000"/>
                <w:sz w:val="20"/>
                <w:szCs w:val="20"/>
                <w:lang w:val="cs-CZ"/>
              </w:rPr>
            </w:pPr>
            <w:r w:rsidRPr="005753FE">
              <w:rPr>
                <w:rFonts w:cs="Times New Roman"/>
                <w:color w:val="000000"/>
                <w:sz w:val="20"/>
                <w:szCs w:val="20"/>
                <w:lang w:val="cs-CZ"/>
              </w:rPr>
              <w:t>Délka v m</w:t>
            </w:r>
          </w:p>
        </w:tc>
      </w:tr>
      <w:tr w:rsidR="003E0F58" w:rsidRPr="007C705C" w14:paraId="42F48515" w14:textId="77777777" w:rsidTr="005753FE">
        <w:trPr>
          <w:trHeight w:val="300"/>
        </w:trPr>
        <w:tc>
          <w:tcPr>
            <w:tcW w:w="2520" w:type="dxa"/>
            <w:tcBorders>
              <w:top w:val="nil"/>
              <w:left w:val="single" w:sz="4" w:space="0" w:color="auto"/>
              <w:bottom w:val="single" w:sz="4" w:space="0" w:color="auto"/>
              <w:right w:val="single" w:sz="4" w:space="0" w:color="auto"/>
            </w:tcBorders>
            <w:shd w:val="clear" w:color="auto" w:fill="auto"/>
            <w:noWrap/>
            <w:vAlign w:val="bottom"/>
            <w:hideMark/>
          </w:tcPr>
          <w:p w14:paraId="03958186" w14:textId="77777777" w:rsidR="003E0F58" w:rsidRPr="005753FE" w:rsidRDefault="003E0F58" w:rsidP="004D2249">
            <w:pPr>
              <w:jc w:val="left"/>
              <w:rPr>
                <w:rFonts w:cs="Times New Roman"/>
                <w:color w:val="000000"/>
                <w:sz w:val="20"/>
                <w:szCs w:val="20"/>
                <w:lang w:val="cs-CZ"/>
              </w:rPr>
            </w:pPr>
            <w:r w:rsidRPr="005753FE">
              <w:rPr>
                <w:rFonts w:cs="Times New Roman"/>
                <w:color w:val="000000"/>
                <w:sz w:val="20"/>
                <w:szCs w:val="20"/>
                <w:lang w:val="cs-CZ"/>
              </w:rPr>
              <w:t>HL. M. PRAHA</w:t>
            </w:r>
          </w:p>
        </w:tc>
        <w:tc>
          <w:tcPr>
            <w:tcW w:w="2260" w:type="dxa"/>
            <w:tcBorders>
              <w:top w:val="nil"/>
              <w:left w:val="nil"/>
              <w:bottom w:val="single" w:sz="4" w:space="0" w:color="auto"/>
              <w:right w:val="single" w:sz="4" w:space="0" w:color="auto"/>
            </w:tcBorders>
            <w:shd w:val="clear" w:color="auto" w:fill="auto"/>
            <w:noWrap/>
            <w:vAlign w:val="bottom"/>
            <w:hideMark/>
          </w:tcPr>
          <w:p w14:paraId="1996A2E9" w14:textId="77777777" w:rsidR="003E0F58" w:rsidRPr="005753FE" w:rsidRDefault="003E0F58" w:rsidP="004D2249">
            <w:pPr>
              <w:jc w:val="right"/>
              <w:rPr>
                <w:rFonts w:cs="Times New Roman"/>
                <w:color w:val="000000"/>
                <w:sz w:val="20"/>
                <w:szCs w:val="20"/>
                <w:lang w:val="cs-CZ"/>
              </w:rPr>
            </w:pPr>
            <w:r w:rsidRPr="005753FE">
              <w:rPr>
                <w:rFonts w:cs="Times New Roman"/>
                <w:color w:val="000000"/>
                <w:sz w:val="20"/>
                <w:szCs w:val="20"/>
                <w:lang w:val="cs-CZ"/>
              </w:rPr>
              <w:t>17 931,98</w:t>
            </w:r>
          </w:p>
        </w:tc>
      </w:tr>
      <w:tr w:rsidR="003E0F58" w:rsidRPr="007C705C" w14:paraId="52EAFF49" w14:textId="77777777" w:rsidTr="005753FE">
        <w:trPr>
          <w:trHeight w:val="300"/>
        </w:trPr>
        <w:tc>
          <w:tcPr>
            <w:tcW w:w="2520" w:type="dxa"/>
            <w:tcBorders>
              <w:top w:val="nil"/>
              <w:left w:val="single" w:sz="4" w:space="0" w:color="auto"/>
              <w:bottom w:val="single" w:sz="4" w:space="0" w:color="auto"/>
              <w:right w:val="single" w:sz="4" w:space="0" w:color="auto"/>
            </w:tcBorders>
            <w:shd w:val="clear" w:color="auto" w:fill="auto"/>
            <w:noWrap/>
            <w:vAlign w:val="bottom"/>
            <w:hideMark/>
          </w:tcPr>
          <w:p w14:paraId="39A25890" w14:textId="77777777" w:rsidR="003E0F58" w:rsidRPr="005753FE" w:rsidRDefault="003E0F58" w:rsidP="004D2249">
            <w:pPr>
              <w:jc w:val="left"/>
              <w:rPr>
                <w:rFonts w:cs="Times New Roman"/>
                <w:color w:val="000000"/>
                <w:sz w:val="20"/>
                <w:szCs w:val="20"/>
                <w:lang w:val="cs-CZ"/>
              </w:rPr>
            </w:pPr>
            <w:r w:rsidRPr="005753FE">
              <w:rPr>
                <w:rFonts w:cs="Times New Roman"/>
                <w:color w:val="000000"/>
                <w:sz w:val="20"/>
                <w:szCs w:val="20"/>
                <w:lang w:val="cs-CZ"/>
              </w:rPr>
              <w:t>JIHOČESKÝ</w:t>
            </w:r>
          </w:p>
        </w:tc>
        <w:tc>
          <w:tcPr>
            <w:tcW w:w="2260" w:type="dxa"/>
            <w:tcBorders>
              <w:top w:val="nil"/>
              <w:left w:val="nil"/>
              <w:bottom w:val="single" w:sz="4" w:space="0" w:color="auto"/>
              <w:right w:val="single" w:sz="4" w:space="0" w:color="auto"/>
            </w:tcBorders>
            <w:shd w:val="clear" w:color="auto" w:fill="auto"/>
            <w:noWrap/>
            <w:vAlign w:val="bottom"/>
            <w:hideMark/>
          </w:tcPr>
          <w:p w14:paraId="242C4F4D" w14:textId="77777777" w:rsidR="003E0F58" w:rsidRPr="005753FE" w:rsidRDefault="003E0F58" w:rsidP="004D2249">
            <w:pPr>
              <w:jc w:val="right"/>
              <w:rPr>
                <w:rFonts w:cs="Times New Roman"/>
                <w:color w:val="000000"/>
                <w:sz w:val="20"/>
                <w:szCs w:val="20"/>
                <w:lang w:val="cs-CZ"/>
              </w:rPr>
            </w:pPr>
            <w:r w:rsidRPr="005753FE">
              <w:rPr>
                <w:rFonts w:cs="Times New Roman"/>
                <w:color w:val="000000"/>
                <w:sz w:val="20"/>
                <w:szCs w:val="20"/>
                <w:lang w:val="cs-CZ"/>
              </w:rPr>
              <w:t>1 068 329,59</w:t>
            </w:r>
          </w:p>
        </w:tc>
      </w:tr>
      <w:tr w:rsidR="003E0F58" w:rsidRPr="007C705C" w14:paraId="206CCDFF" w14:textId="77777777" w:rsidTr="005753FE">
        <w:trPr>
          <w:trHeight w:val="300"/>
        </w:trPr>
        <w:tc>
          <w:tcPr>
            <w:tcW w:w="2520" w:type="dxa"/>
            <w:tcBorders>
              <w:top w:val="nil"/>
              <w:left w:val="single" w:sz="4" w:space="0" w:color="auto"/>
              <w:bottom w:val="single" w:sz="4" w:space="0" w:color="auto"/>
              <w:right w:val="single" w:sz="4" w:space="0" w:color="auto"/>
            </w:tcBorders>
            <w:shd w:val="clear" w:color="auto" w:fill="auto"/>
            <w:noWrap/>
            <w:vAlign w:val="bottom"/>
            <w:hideMark/>
          </w:tcPr>
          <w:p w14:paraId="1C5063D8" w14:textId="77777777" w:rsidR="003E0F58" w:rsidRPr="005753FE" w:rsidRDefault="003E0F58" w:rsidP="004D2249">
            <w:pPr>
              <w:jc w:val="left"/>
              <w:rPr>
                <w:rFonts w:cs="Times New Roman"/>
                <w:color w:val="000000"/>
                <w:sz w:val="20"/>
                <w:szCs w:val="20"/>
                <w:lang w:val="cs-CZ"/>
              </w:rPr>
            </w:pPr>
            <w:r w:rsidRPr="005753FE">
              <w:rPr>
                <w:rFonts w:cs="Times New Roman"/>
                <w:color w:val="000000"/>
                <w:sz w:val="20"/>
                <w:szCs w:val="20"/>
                <w:lang w:val="cs-CZ"/>
              </w:rPr>
              <w:t>JIHOMORAVSKÝ</w:t>
            </w:r>
          </w:p>
        </w:tc>
        <w:tc>
          <w:tcPr>
            <w:tcW w:w="2260" w:type="dxa"/>
            <w:tcBorders>
              <w:top w:val="nil"/>
              <w:left w:val="nil"/>
              <w:bottom w:val="single" w:sz="4" w:space="0" w:color="auto"/>
              <w:right w:val="single" w:sz="4" w:space="0" w:color="auto"/>
            </w:tcBorders>
            <w:shd w:val="clear" w:color="auto" w:fill="auto"/>
            <w:noWrap/>
            <w:vAlign w:val="bottom"/>
            <w:hideMark/>
          </w:tcPr>
          <w:p w14:paraId="53132484" w14:textId="77777777" w:rsidR="003E0F58" w:rsidRPr="005753FE" w:rsidRDefault="003E0F58" w:rsidP="004D2249">
            <w:pPr>
              <w:jc w:val="right"/>
              <w:rPr>
                <w:rFonts w:cs="Times New Roman"/>
                <w:color w:val="000000"/>
                <w:sz w:val="20"/>
                <w:szCs w:val="20"/>
                <w:lang w:val="cs-CZ"/>
              </w:rPr>
            </w:pPr>
            <w:r w:rsidRPr="005753FE">
              <w:rPr>
                <w:rFonts w:cs="Times New Roman"/>
                <w:color w:val="000000"/>
                <w:sz w:val="20"/>
                <w:szCs w:val="20"/>
                <w:lang w:val="cs-CZ"/>
              </w:rPr>
              <w:t>771 738,34</w:t>
            </w:r>
          </w:p>
        </w:tc>
      </w:tr>
      <w:tr w:rsidR="003E0F58" w:rsidRPr="007C705C" w14:paraId="69ED920E" w14:textId="77777777" w:rsidTr="005753FE">
        <w:trPr>
          <w:trHeight w:val="300"/>
        </w:trPr>
        <w:tc>
          <w:tcPr>
            <w:tcW w:w="2520" w:type="dxa"/>
            <w:tcBorders>
              <w:top w:val="nil"/>
              <w:left w:val="single" w:sz="4" w:space="0" w:color="auto"/>
              <w:bottom w:val="single" w:sz="4" w:space="0" w:color="auto"/>
              <w:right w:val="single" w:sz="4" w:space="0" w:color="auto"/>
            </w:tcBorders>
            <w:shd w:val="clear" w:color="auto" w:fill="auto"/>
            <w:noWrap/>
            <w:vAlign w:val="bottom"/>
            <w:hideMark/>
          </w:tcPr>
          <w:p w14:paraId="092774A6" w14:textId="77777777" w:rsidR="003E0F58" w:rsidRPr="005753FE" w:rsidRDefault="003E0F58" w:rsidP="004D2249">
            <w:pPr>
              <w:jc w:val="left"/>
              <w:rPr>
                <w:rFonts w:cs="Times New Roman"/>
                <w:color w:val="000000"/>
                <w:sz w:val="20"/>
                <w:szCs w:val="20"/>
                <w:lang w:val="cs-CZ"/>
              </w:rPr>
            </w:pPr>
            <w:r w:rsidRPr="005753FE">
              <w:rPr>
                <w:rFonts w:cs="Times New Roman"/>
                <w:color w:val="000000"/>
                <w:sz w:val="20"/>
                <w:szCs w:val="20"/>
                <w:lang w:val="cs-CZ"/>
              </w:rPr>
              <w:t>KARLOVARSKÝ</w:t>
            </w:r>
          </w:p>
        </w:tc>
        <w:tc>
          <w:tcPr>
            <w:tcW w:w="2260" w:type="dxa"/>
            <w:tcBorders>
              <w:top w:val="nil"/>
              <w:left w:val="nil"/>
              <w:bottom w:val="single" w:sz="4" w:space="0" w:color="auto"/>
              <w:right w:val="single" w:sz="4" w:space="0" w:color="auto"/>
            </w:tcBorders>
            <w:shd w:val="clear" w:color="auto" w:fill="auto"/>
            <w:noWrap/>
            <w:vAlign w:val="bottom"/>
            <w:hideMark/>
          </w:tcPr>
          <w:p w14:paraId="49B2C2F2" w14:textId="77777777" w:rsidR="003E0F58" w:rsidRPr="005753FE" w:rsidRDefault="003E0F58" w:rsidP="004D2249">
            <w:pPr>
              <w:jc w:val="right"/>
              <w:rPr>
                <w:rFonts w:cs="Times New Roman"/>
                <w:color w:val="000000"/>
                <w:sz w:val="20"/>
                <w:szCs w:val="20"/>
                <w:lang w:val="cs-CZ"/>
              </w:rPr>
            </w:pPr>
            <w:r w:rsidRPr="005753FE">
              <w:rPr>
                <w:rFonts w:cs="Times New Roman"/>
                <w:color w:val="000000"/>
                <w:sz w:val="20"/>
                <w:szCs w:val="20"/>
                <w:lang w:val="cs-CZ"/>
              </w:rPr>
              <w:t>633 456,13</w:t>
            </w:r>
          </w:p>
        </w:tc>
      </w:tr>
      <w:tr w:rsidR="003E0F58" w:rsidRPr="007C705C" w14:paraId="2BCB2AF6" w14:textId="77777777" w:rsidTr="005753FE">
        <w:trPr>
          <w:trHeight w:val="300"/>
        </w:trPr>
        <w:tc>
          <w:tcPr>
            <w:tcW w:w="2520" w:type="dxa"/>
            <w:tcBorders>
              <w:top w:val="nil"/>
              <w:left w:val="single" w:sz="4" w:space="0" w:color="auto"/>
              <w:bottom w:val="single" w:sz="4" w:space="0" w:color="auto"/>
              <w:right w:val="single" w:sz="4" w:space="0" w:color="auto"/>
            </w:tcBorders>
            <w:shd w:val="clear" w:color="auto" w:fill="auto"/>
            <w:noWrap/>
            <w:vAlign w:val="bottom"/>
            <w:hideMark/>
          </w:tcPr>
          <w:p w14:paraId="5A09229D" w14:textId="77777777" w:rsidR="003E0F58" w:rsidRPr="005753FE" w:rsidRDefault="003E0F58" w:rsidP="004D2249">
            <w:pPr>
              <w:jc w:val="left"/>
              <w:rPr>
                <w:rFonts w:cs="Times New Roman"/>
                <w:color w:val="000000"/>
                <w:sz w:val="20"/>
                <w:szCs w:val="20"/>
                <w:lang w:val="cs-CZ"/>
              </w:rPr>
            </w:pPr>
            <w:r w:rsidRPr="005753FE">
              <w:rPr>
                <w:rFonts w:cs="Times New Roman"/>
                <w:color w:val="000000"/>
                <w:sz w:val="20"/>
                <w:szCs w:val="20"/>
                <w:lang w:val="cs-CZ"/>
              </w:rPr>
              <w:t>KRÁLOVÉHRADECKÝ</w:t>
            </w:r>
          </w:p>
        </w:tc>
        <w:tc>
          <w:tcPr>
            <w:tcW w:w="2260" w:type="dxa"/>
            <w:tcBorders>
              <w:top w:val="nil"/>
              <w:left w:val="nil"/>
              <w:bottom w:val="single" w:sz="4" w:space="0" w:color="auto"/>
              <w:right w:val="single" w:sz="4" w:space="0" w:color="auto"/>
            </w:tcBorders>
            <w:shd w:val="clear" w:color="auto" w:fill="auto"/>
            <w:noWrap/>
            <w:vAlign w:val="bottom"/>
            <w:hideMark/>
          </w:tcPr>
          <w:p w14:paraId="2B81C0B8" w14:textId="77777777" w:rsidR="003E0F58" w:rsidRPr="005753FE" w:rsidRDefault="003E0F58" w:rsidP="004D2249">
            <w:pPr>
              <w:jc w:val="right"/>
              <w:rPr>
                <w:rFonts w:cs="Times New Roman"/>
                <w:color w:val="000000"/>
                <w:sz w:val="20"/>
                <w:szCs w:val="20"/>
                <w:lang w:val="cs-CZ"/>
              </w:rPr>
            </w:pPr>
            <w:r w:rsidRPr="005753FE">
              <w:rPr>
                <w:rFonts w:cs="Times New Roman"/>
                <w:color w:val="000000"/>
                <w:sz w:val="20"/>
                <w:szCs w:val="20"/>
                <w:lang w:val="cs-CZ"/>
              </w:rPr>
              <w:t>410 760,35</w:t>
            </w:r>
          </w:p>
        </w:tc>
      </w:tr>
      <w:tr w:rsidR="003E0F58" w:rsidRPr="007C705C" w14:paraId="286F9E5B" w14:textId="77777777" w:rsidTr="005753FE">
        <w:trPr>
          <w:trHeight w:val="300"/>
        </w:trPr>
        <w:tc>
          <w:tcPr>
            <w:tcW w:w="2520" w:type="dxa"/>
            <w:tcBorders>
              <w:top w:val="nil"/>
              <w:left w:val="single" w:sz="4" w:space="0" w:color="auto"/>
              <w:bottom w:val="single" w:sz="4" w:space="0" w:color="auto"/>
              <w:right w:val="single" w:sz="4" w:space="0" w:color="auto"/>
            </w:tcBorders>
            <w:shd w:val="clear" w:color="auto" w:fill="auto"/>
            <w:noWrap/>
            <w:vAlign w:val="bottom"/>
            <w:hideMark/>
          </w:tcPr>
          <w:p w14:paraId="2C3BEA39" w14:textId="77777777" w:rsidR="003E0F58" w:rsidRPr="005753FE" w:rsidRDefault="003E0F58" w:rsidP="004D2249">
            <w:pPr>
              <w:jc w:val="left"/>
              <w:rPr>
                <w:rFonts w:cs="Times New Roman"/>
                <w:color w:val="000000"/>
                <w:sz w:val="20"/>
                <w:szCs w:val="20"/>
                <w:lang w:val="cs-CZ"/>
              </w:rPr>
            </w:pPr>
            <w:r w:rsidRPr="005753FE">
              <w:rPr>
                <w:rFonts w:cs="Times New Roman"/>
                <w:color w:val="000000"/>
                <w:sz w:val="20"/>
                <w:szCs w:val="20"/>
                <w:lang w:val="cs-CZ"/>
              </w:rPr>
              <w:t>LIBERECKÝ</w:t>
            </w:r>
          </w:p>
        </w:tc>
        <w:tc>
          <w:tcPr>
            <w:tcW w:w="2260" w:type="dxa"/>
            <w:tcBorders>
              <w:top w:val="nil"/>
              <w:left w:val="nil"/>
              <w:bottom w:val="single" w:sz="4" w:space="0" w:color="auto"/>
              <w:right w:val="single" w:sz="4" w:space="0" w:color="auto"/>
            </w:tcBorders>
            <w:shd w:val="clear" w:color="auto" w:fill="auto"/>
            <w:noWrap/>
            <w:vAlign w:val="bottom"/>
            <w:hideMark/>
          </w:tcPr>
          <w:p w14:paraId="119551CB" w14:textId="77777777" w:rsidR="003E0F58" w:rsidRPr="005753FE" w:rsidRDefault="003E0F58" w:rsidP="004D2249">
            <w:pPr>
              <w:jc w:val="right"/>
              <w:rPr>
                <w:rFonts w:cs="Times New Roman"/>
                <w:color w:val="000000"/>
                <w:sz w:val="20"/>
                <w:szCs w:val="20"/>
                <w:lang w:val="cs-CZ"/>
              </w:rPr>
            </w:pPr>
            <w:r w:rsidRPr="005753FE">
              <w:rPr>
                <w:rFonts w:cs="Times New Roman"/>
                <w:color w:val="000000"/>
                <w:sz w:val="20"/>
                <w:szCs w:val="20"/>
                <w:lang w:val="cs-CZ"/>
              </w:rPr>
              <w:t>508 670,20</w:t>
            </w:r>
          </w:p>
        </w:tc>
      </w:tr>
      <w:tr w:rsidR="003E0F58" w:rsidRPr="007C705C" w14:paraId="230651C9" w14:textId="77777777" w:rsidTr="005753FE">
        <w:trPr>
          <w:trHeight w:val="300"/>
        </w:trPr>
        <w:tc>
          <w:tcPr>
            <w:tcW w:w="2520" w:type="dxa"/>
            <w:tcBorders>
              <w:top w:val="nil"/>
              <w:left w:val="single" w:sz="4" w:space="0" w:color="auto"/>
              <w:bottom w:val="single" w:sz="4" w:space="0" w:color="auto"/>
              <w:right w:val="single" w:sz="4" w:space="0" w:color="auto"/>
            </w:tcBorders>
            <w:shd w:val="clear" w:color="auto" w:fill="auto"/>
            <w:noWrap/>
            <w:vAlign w:val="bottom"/>
            <w:hideMark/>
          </w:tcPr>
          <w:p w14:paraId="5D1AD915" w14:textId="77777777" w:rsidR="003E0F58" w:rsidRPr="005753FE" w:rsidRDefault="003E0F58" w:rsidP="004D2249">
            <w:pPr>
              <w:jc w:val="left"/>
              <w:rPr>
                <w:rFonts w:cs="Times New Roman"/>
                <w:color w:val="000000"/>
                <w:sz w:val="20"/>
                <w:szCs w:val="20"/>
                <w:lang w:val="cs-CZ"/>
              </w:rPr>
            </w:pPr>
            <w:r w:rsidRPr="005753FE">
              <w:rPr>
                <w:rFonts w:cs="Times New Roman"/>
                <w:color w:val="000000"/>
                <w:sz w:val="20"/>
                <w:szCs w:val="20"/>
                <w:lang w:val="cs-CZ"/>
              </w:rPr>
              <w:t>MORAVSKOSLEZSKÝ</w:t>
            </w:r>
          </w:p>
        </w:tc>
        <w:tc>
          <w:tcPr>
            <w:tcW w:w="2260" w:type="dxa"/>
            <w:tcBorders>
              <w:top w:val="nil"/>
              <w:left w:val="nil"/>
              <w:bottom w:val="single" w:sz="4" w:space="0" w:color="auto"/>
              <w:right w:val="single" w:sz="4" w:space="0" w:color="auto"/>
            </w:tcBorders>
            <w:shd w:val="clear" w:color="auto" w:fill="auto"/>
            <w:noWrap/>
            <w:vAlign w:val="bottom"/>
            <w:hideMark/>
          </w:tcPr>
          <w:p w14:paraId="6A06D42A" w14:textId="77777777" w:rsidR="003E0F58" w:rsidRPr="005753FE" w:rsidRDefault="003E0F58" w:rsidP="004D2249">
            <w:pPr>
              <w:jc w:val="right"/>
              <w:rPr>
                <w:rFonts w:cs="Times New Roman"/>
                <w:color w:val="000000"/>
                <w:sz w:val="20"/>
                <w:szCs w:val="20"/>
                <w:lang w:val="cs-CZ"/>
              </w:rPr>
            </w:pPr>
            <w:r w:rsidRPr="005753FE">
              <w:rPr>
                <w:rFonts w:cs="Times New Roman"/>
                <w:color w:val="000000"/>
                <w:sz w:val="20"/>
                <w:szCs w:val="20"/>
                <w:lang w:val="cs-CZ"/>
              </w:rPr>
              <w:t>1 114 576,67</w:t>
            </w:r>
          </w:p>
        </w:tc>
      </w:tr>
      <w:tr w:rsidR="003E0F58" w:rsidRPr="007C705C" w14:paraId="5FE0AF30" w14:textId="77777777" w:rsidTr="005753FE">
        <w:trPr>
          <w:trHeight w:val="300"/>
        </w:trPr>
        <w:tc>
          <w:tcPr>
            <w:tcW w:w="2520" w:type="dxa"/>
            <w:tcBorders>
              <w:top w:val="nil"/>
              <w:left w:val="single" w:sz="4" w:space="0" w:color="auto"/>
              <w:bottom w:val="single" w:sz="4" w:space="0" w:color="auto"/>
              <w:right w:val="single" w:sz="4" w:space="0" w:color="auto"/>
            </w:tcBorders>
            <w:shd w:val="clear" w:color="auto" w:fill="auto"/>
            <w:noWrap/>
            <w:vAlign w:val="bottom"/>
            <w:hideMark/>
          </w:tcPr>
          <w:p w14:paraId="447C4F88" w14:textId="77777777" w:rsidR="003E0F58" w:rsidRPr="005753FE" w:rsidRDefault="003E0F58" w:rsidP="004D2249">
            <w:pPr>
              <w:jc w:val="left"/>
              <w:rPr>
                <w:rFonts w:cs="Times New Roman"/>
                <w:color w:val="000000"/>
                <w:sz w:val="20"/>
                <w:szCs w:val="20"/>
                <w:lang w:val="cs-CZ"/>
              </w:rPr>
            </w:pPr>
            <w:r w:rsidRPr="005753FE">
              <w:rPr>
                <w:rFonts w:cs="Times New Roman"/>
                <w:color w:val="000000"/>
                <w:sz w:val="20"/>
                <w:szCs w:val="20"/>
                <w:lang w:val="cs-CZ"/>
              </w:rPr>
              <w:t>OLOMOUCKÝ</w:t>
            </w:r>
          </w:p>
        </w:tc>
        <w:tc>
          <w:tcPr>
            <w:tcW w:w="2260" w:type="dxa"/>
            <w:tcBorders>
              <w:top w:val="nil"/>
              <w:left w:val="nil"/>
              <w:bottom w:val="single" w:sz="4" w:space="0" w:color="auto"/>
              <w:right w:val="single" w:sz="4" w:space="0" w:color="auto"/>
            </w:tcBorders>
            <w:shd w:val="clear" w:color="auto" w:fill="auto"/>
            <w:noWrap/>
            <w:vAlign w:val="bottom"/>
            <w:hideMark/>
          </w:tcPr>
          <w:p w14:paraId="7003E121" w14:textId="77777777" w:rsidR="003E0F58" w:rsidRPr="005753FE" w:rsidRDefault="003E0F58" w:rsidP="004D2249">
            <w:pPr>
              <w:jc w:val="right"/>
              <w:rPr>
                <w:rFonts w:cs="Times New Roman"/>
                <w:color w:val="000000"/>
                <w:sz w:val="20"/>
                <w:szCs w:val="20"/>
                <w:lang w:val="cs-CZ"/>
              </w:rPr>
            </w:pPr>
            <w:r w:rsidRPr="005753FE">
              <w:rPr>
                <w:rFonts w:cs="Times New Roman"/>
                <w:color w:val="000000"/>
                <w:sz w:val="20"/>
                <w:szCs w:val="20"/>
                <w:lang w:val="cs-CZ"/>
              </w:rPr>
              <w:t>1 035 956,16</w:t>
            </w:r>
          </w:p>
        </w:tc>
      </w:tr>
      <w:tr w:rsidR="003E0F58" w:rsidRPr="007C705C" w14:paraId="5E185972" w14:textId="77777777" w:rsidTr="005753FE">
        <w:trPr>
          <w:trHeight w:val="300"/>
        </w:trPr>
        <w:tc>
          <w:tcPr>
            <w:tcW w:w="2520" w:type="dxa"/>
            <w:tcBorders>
              <w:top w:val="nil"/>
              <w:left w:val="single" w:sz="4" w:space="0" w:color="auto"/>
              <w:bottom w:val="single" w:sz="4" w:space="0" w:color="auto"/>
              <w:right w:val="single" w:sz="4" w:space="0" w:color="auto"/>
            </w:tcBorders>
            <w:shd w:val="clear" w:color="auto" w:fill="auto"/>
            <w:noWrap/>
            <w:vAlign w:val="bottom"/>
            <w:hideMark/>
          </w:tcPr>
          <w:p w14:paraId="49ADBC8C" w14:textId="77777777" w:rsidR="003E0F58" w:rsidRPr="005753FE" w:rsidRDefault="003E0F58" w:rsidP="004D2249">
            <w:pPr>
              <w:jc w:val="left"/>
              <w:rPr>
                <w:rFonts w:cs="Times New Roman"/>
                <w:color w:val="000000"/>
                <w:sz w:val="20"/>
                <w:szCs w:val="20"/>
                <w:lang w:val="cs-CZ"/>
              </w:rPr>
            </w:pPr>
            <w:r w:rsidRPr="005753FE">
              <w:rPr>
                <w:rFonts w:cs="Times New Roman"/>
                <w:color w:val="000000"/>
                <w:sz w:val="20"/>
                <w:szCs w:val="20"/>
                <w:lang w:val="cs-CZ"/>
              </w:rPr>
              <w:t>PARDUBICKÝ</w:t>
            </w:r>
          </w:p>
        </w:tc>
        <w:tc>
          <w:tcPr>
            <w:tcW w:w="2260" w:type="dxa"/>
            <w:tcBorders>
              <w:top w:val="nil"/>
              <w:left w:val="nil"/>
              <w:bottom w:val="single" w:sz="4" w:space="0" w:color="auto"/>
              <w:right w:val="single" w:sz="4" w:space="0" w:color="auto"/>
            </w:tcBorders>
            <w:shd w:val="clear" w:color="auto" w:fill="auto"/>
            <w:noWrap/>
            <w:vAlign w:val="bottom"/>
            <w:hideMark/>
          </w:tcPr>
          <w:p w14:paraId="29272738" w14:textId="77777777" w:rsidR="003E0F58" w:rsidRPr="005753FE" w:rsidRDefault="003E0F58" w:rsidP="004D2249">
            <w:pPr>
              <w:jc w:val="right"/>
              <w:rPr>
                <w:rFonts w:cs="Times New Roman"/>
                <w:color w:val="000000"/>
                <w:sz w:val="20"/>
                <w:szCs w:val="20"/>
                <w:lang w:val="cs-CZ"/>
              </w:rPr>
            </w:pPr>
            <w:r w:rsidRPr="005753FE">
              <w:rPr>
                <w:rFonts w:cs="Times New Roman"/>
                <w:color w:val="000000"/>
                <w:sz w:val="20"/>
                <w:szCs w:val="20"/>
                <w:lang w:val="cs-CZ"/>
              </w:rPr>
              <w:t>395 880,65</w:t>
            </w:r>
          </w:p>
        </w:tc>
      </w:tr>
      <w:tr w:rsidR="003E0F58" w:rsidRPr="007C705C" w14:paraId="6FF736EF" w14:textId="77777777" w:rsidTr="005753FE">
        <w:trPr>
          <w:trHeight w:val="300"/>
        </w:trPr>
        <w:tc>
          <w:tcPr>
            <w:tcW w:w="2520" w:type="dxa"/>
            <w:tcBorders>
              <w:top w:val="nil"/>
              <w:left w:val="single" w:sz="4" w:space="0" w:color="auto"/>
              <w:bottom w:val="single" w:sz="4" w:space="0" w:color="auto"/>
              <w:right w:val="single" w:sz="4" w:space="0" w:color="auto"/>
            </w:tcBorders>
            <w:shd w:val="clear" w:color="auto" w:fill="auto"/>
            <w:noWrap/>
            <w:vAlign w:val="bottom"/>
            <w:hideMark/>
          </w:tcPr>
          <w:p w14:paraId="672C5CE7" w14:textId="77777777" w:rsidR="003E0F58" w:rsidRPr="005753FE" w:rsidRDefault="003E0F58" w:rsidP="004D2249">
            <w:pPr>
              <w:jc w:val="left"/>
              <w:rPr>
                <w:rFonts w:cs="Times New Roman"/>
                <w:color w:val="000000"/>
                <w:sz w:val="20"/>
                <w:szCs w:val="20"/>
                <w:lang w:val="cs-CZ"/>
              </w:rPr>
            </w:pPr>
            <w:r w:rsidRPr="005753FE">
              <w:rPr>
                <w:rFonts w:cs="Times New Roman"/>
                <w:color w:val="000000"/>
                <w:sz w:val="20"/>
                <w:szCs w:val="20"/>
                <w:lang w:val="cs-CZ"/>
              </w:rPr>
              <w:t>PLZEŇSKÝ</w:t>
            </w:r>
          </w:p>
        </w:tc>
        <w:tc>
          <w:tcPr>
            <w:tcW w:w="2260" w:type="dxa"/>
            <w:tcBorders>
              <w:top w:val="nil"/>
              <w:left w:val="nil"/>
              <w:bottom w:val="single" w:sz="4" w:space="0" w:color="auto"/>
              <w:right w:val="single" w:sz="4" w:space="0" w:color="auto"/>
            </w:tcBorders>
            <w:shd w:val="clear" w:color="auto" w:fill="auto"/>
            <w:noWrap/>
            <w:vAlign w:val="bottom"/>
            <w:hideMark/>
          </w:tcPr>
          <w:p w14:paraId="2BF4F8BD" w14:textId="77777777" w:rsidR="003E0F58" w:rsidRPr="005753FE" w:rsidRDefault="003E0F58" w:rsidP="004D2249">
            <w:pPr>
              <w:jc w:val="right"/>
              <w:rPr>
                <w:rFonts w:cs="Times New Roman"/>
                <w:color w:val="000000"/>
                <w:sz w:val="20"/>
                <w:szCs w:val="20"/>
                <w:lang w:val="cs-CZ"/>
              </w:rPr>
            </w:pPr>
            <w:r w:rsidRPr="005753FE">
              <w:rPr>
                <w:rFonts w:cs="Times New Roman"/>
                <w:color w:val="000000"/>
                <w:sz w:val="20"/>
                <w:szCs w:val="20"/>
                <w:lang w:val="cs-CZ"/>
              </w:rPr>
              <w:t>539 383,74</w:t>
            </w:r>
          </w:p>
        </w:tc>
      </w:tr>
      <w:tr w:rsidR="003E0F58" w:rsidRPr="007C705C" w14:paraId="5413BD58" w14:textId="77777777" w:rsidTr="005753FE">
        <w:trPr>
          <w:trHeight w:val="300"/>
        </w:trPr>
        <w:tc>
          <w:tcPr>
            <w:tcW w:w="2520" w:type="dxa"/>
            <w:tcBorders>
              <w:top w:val="nil"/>
              <w:left w:val="single" w:sz="4" w:space="0" w:color="auto"/>
              <w:bottom w:val="single" w:sz="4" w:space="0" w:color="auto"/>
              <w:right w:val="single" w:sz="4" w:space="0" w:color="auto"/>
            </w:tcBorders>
            <w:shd w:val="clear" w:color="auto" w:fill="auto"/>
            <w:noWrap/>
            <w:vAlign w:val="bottom"/>
            <w:hideMark/>
          </w:tcPr>
          <w:p w14:paraId="7A036B94" w14:textId="77777777" w:rsidR="003E0F58" w:rsidRPr="005753FE" w:rsidRDefault="003E0F58" w:rsidP="004D2249">
            <w:pPr>
              <w:jc w:val="left"/>
              <w:rPr>
                <w:rFonts w:cs="Times New Roman"/>
                <w:color w:val="000000"/>
                <w:sz w:val="20"/>
                <w:szCs w:val="20"/>
                <w:lang w:val="cs-CZ"/>
              </w:rPr>
            </w:pPr>
            <w:r w:rsidRPr="005753FE">
              <w:rPr>
                <w:rFonts w:cs="Times New Roman"/>
                <w:color w:val="000000"/>
                <w:sz w:val="20"/>
                <w:szCs w:val="20"/>
                <w:lang w:val="cs-CZ"/>
              </w:rPr>
              <w:t>STŘEDOČESKÝ</w:t>
            </w:r>
          </w:p>
        </w:tc>
        <w:tc>
          <w:tcPr>
            <w:tcW w:w="2260" w:type="dxa"/>
            <w:tcBorders>
              <w:top w:val="nil"/>
              <w:left w:val="nil"/>
              <w:bottom w:val="single" w:sz="4" w:space="0" w:color="auto"/>
              <w:right w:val="single" w:sz="4" w:space="0" w:color="auto"/>
            </w:tcBorders>
            <w:shd w:val="clear" w:color="auto" w:fill="auto"/>
            <w:noWrap/>
            <w:vAlign w:val="bottom"/>
            <w:hideMark/>
          </w:tcPr>
          <w:p w14:paraId="7042F73C" w14:textId="77777777" w:rsidR="003E0F58" w:rsidRPr="005753FE" w:rsidRDefault="003E0F58" w:rsidP="004D2249">
            <w:pPr>
              <w:jc w:val="right"/>
              <w:rPr>
                <w:rFonts w:cs="Times New Roman"/>
                <w:color w:val="000000"/>
                <w:sz w:val="20"/>
                <w:szCs w:val="20"/>
                <w:lang w:val="cs-CZ"/>
              </w:rPr>
            </w:pPr>
            <w:r w:rsidRPr="005753FE">
              <w:rPr>
                <w:rFonts w:cs="Times New Roman"/>
                <w:color w:val="000000"/>
                <w:sz w:val="20"/>
                <w:szCs w:val="20"/>
                <w:lang w:val="cs-CZ"/>
              </w:rPr>
              <w:t>636 926,25</w:t>
            </w:r>
          </w:p>
        </w:tc>
      </w:tr>
      <w:tr w:rsidR="003E0F58" w:rsidRPr="007C705C" w14:paraId="0BA86E41" w14:textId="77777777" w:rsidTr="005753FE">
        <w:trPr>
          <w:trHeight w:val="300"/>
        </w:trPr>
        <w:tc>
          <w:tcPr>
            <w:tcW w:w="2520" w:type="dxa"/>
            <w:tcBorders>
              <w:top w:val="nil"/>
              <w:left w:val="single" w:sz="4" w:space="0" w:color="auto"/>
              <w:bottom w:val="single" w:sz="4" w:space="0" w:color="auto"/>
              <w:right w:val="single" w:sz="4" w:space="0" w:color="auto"/>
            </w:tcBorders>
            <w:shd w:val="clear" w:color="auto" w:fill="auto"/>
            <w:noWrap/>
            <w:vAlign w:val="bottom"/>
            <w:hideMark/>
          </w:tcPr>
          <w:p w14:paraId="1453BF40" w14:textId="77777777" w:rsidR="003E0F58" w:rsidRPr="005753FE" w:rsidRDefault="003E0F58" w:rsidP="004D2249">
            <w:pPr>
              <w:jc w:val="left"/>
              <w:rPr>
                <w:rFonts w:cs="Times New Roman"/>
                <w:color w:val="000000"/>
                <w:sz w:val="20"/>
                <w:szCs w:val="20"/>
                <w:lang w:val="cs-CZ"/>
              </w:rPr>
            </w:pPr>
            <w:r w:rsidRPr="005753FE">
              <w:rPr>
                <w:rFonts w:cs="Times New Roman"/>
                <w:color w:val="000000"/>
                <w:sz w:val="20"/>
                <w:szCs w:val="20"/>
                <w:lang w:val="cs-CZ"/>
              </w:rPr>
              <w:t>ÚSTECKÝ</w:t>
            </w:r>
          </w:p>
        </w:tc>
        <w:tc>
          <w:tcPr>
            <w:tcW w:w="2260" w:type="dxa"/>
            <w:tcBorders>
              <w:top w:val="nil"/>
              <w:left w:val="nil"/>
              <w:bottom w:val="single" w:sz="4" w:space="0" w:color="auto"/>
              <w:right w:val="single" w:sz="4" w:space="0" w:color="auto"/>
            </w:tcBorders>
            <w:shd w:val="clear" w:color="auto" w:fill="auto"/>
            <w:noWrap/>
            <w:vAlign w:val="bottom"/>
            <w:hideMark/>
          </w:tcPr>
          <w:p w14:paraId="6BDCAB67" w14:textId="77777777" w:rsidR="003E0F58" w:rsidRPr="005753FE" w:rsidRDefault="003E0F58" w:rsidP="004D2249">
            <w:pPr>
              <w:jc w:val="right"/>
              <w:rPr>
                <w:rFonts w:cs="Times New Roman"/>
                <w:color w:val="000000"/>
                <w:sz w:val="20"/>
                <w:szCs w:val="20"/>
                <w:lang w:val="cs-CZ"/>
              </w:rPr>
            </w:pPr>
            <w:r w:rsidRPr="005753FE">
              <w:rPr>
                <w:rFonts w:cs="Times New Roman"/>
                <w:color w:val="000000"/>
                <w:sz w:val="20"/>
                <w:szCs w:val="20"/>
                <w:lang w:val="cs-CZ"/>
              </w:rPr>
              <w:t>875 920,79</w:t>
            </w:r>
          </w:p>
        </w:tc>
      </w:tr>
      <w:tr w:rsidR="003E0F58" w:rsidRPr="007C705C" w14:paraId="1E704F01" w14:textId="77777777" w:rsidTr="005753FE">
        <w:trPr>
          <w:trHeight w:val="300"/>
        </w:trPr>
        <w:tc>
          <w:tcPr>
            <w:tcW w:w="2520" w:type="dxa"/>
            <w:tcBorders>
              <w:top w:val="nil"/>
              <w:left w:val="single" w:sz="4" w:space="0" w:color="auto"/>
              <w:bottom w:val="single" w:sz="4" w:space="0" w:color="auto"/>
              <w:right w:val="single" w:sz="4" w:space="0" w:color="auto"/>
            </w:tcBorders>
            <w:shd w:val="clear" w:color="auto" w:fill="auto"/>
            <w:noWrap/>
            <w:vAlign w:val="bottom"/>
            <w:hideMark/>
          </w:tcPr>
          <w:p w14:paraId="579A7360" w14:textId="77777777" w:rsidR="003E0F58" w:rsidRPr="005753FE" w:rsidRDefault="003E0F58" w:rsidP="004D2249">
            <w:pPr>
              <w:jc w:val="left"/>
              <w:rPr>
                <w:rFonts w:cs="Times New Roman"/>
                <w:color w:val="000000"/>
                <w:sz w:val="20"/>
                <w:szCs w:val="20"/>
                <w:lang w:val="cs-CZ"/>
              </w:rPr>
            </w:pPr>
            <w:r w:rsidRPr="005753FE">
              <w:rPr>
                <w:rFonts w:cs="Times New Roman"/>
                <w:color w:val="000000"/>
                <w:sz w:val="20"/>
                <w:szCs w:val="20"/>
                <w:lang w:val="cs-CZ"/>
              </w:rPr>
              <w:t>VYSOČINA</w:t>
            </w:r>
          </w:p>
        </w:tc>
        <w:tc>
          <w:tcPr>
            <w:tcW w:w="2260" w:type="dxa"/>
            <w:tcBorders>
              <w:top w:val="nil"/>
              <w:left w:val="nil"/>
              <w:bottom w:val="single" w:sz="4" w:space="0" w:color="auto"/>
              <w:right w:val="single" w:sz="4" w:space="0" w:color="auto"/>
            </w:tcBorders>
            <w:shd w:val="clear" w:color="auto" w:fill="auto"/>
            <w:noWrap/>
            <w:vAlign w:val="bottom"/>
            <w:hideMark/>
          </w:tcPr>
          <w:p w14:paraId="5B4919D1" w14:textId="77777777" w:rsidR="003E0F58" w:rsidRPr="005753FE" w:rsidRDefault="003E0F58" w:rsidP="004D2249">
            <w:pPr>
              <w:jc w:val="right"/>
              <w:rPr>
                <w:rFonts w:cs="Times New Roman"/>
                <w:color w:val="000000"/>
                <w:sz w:val="20"/>
                <w:szCs w:val="20"/>
                <w:lang w:val="cs-CZ"/>
              </w:rPr>
            </w:pPr>
            <w:r w:rsidRPr="005753FE">
              <w:rPr>
                <w:rFonts w:cs="Times New Roman"/>
                <w:color w:val="000000"/>
                <w:sz w:val="20"/>
                <w:szCs w:val="20"/>
                <w:lang w:val="cs-CZ"/>
              </w:rPr>
              <w:t>512 023,12</w:t>
            </w:r>
          </w:p>
        </w:tc>
      </w:tr>
      <w:tr w:rsidR="003E0F58" w:rsidRPr="007C705C" w14:paraId="252725F5" w14:textId="77777777" w:rsidTr="005753FE">
        <w:trPr>
          <w:trHeight w:val="300"/>
        </w:trPr>
        <w:tc>
          <w:tcPr>
            <w:tcW w:w="2520" w:type="dxa"/>
            <w:tcBorders>
              <w:top w:val="nil"/>
              <w:left w:val="single" w:sz="4" w:space="0" w:color="auto"/>
              <w:bottom w:val="single" w:sz="4" w:space="0" w:color="auto"/>
              <w:right w:val="single" w:sz="4" w:space="0" w:color="auto"/>
            </w:tcBorders>
            <w:shd w:val="clear" w:color="auto" w:fill="auto"/>
            <w:noWrap/>
            <w:vAlign w:val="bottom"/>
            <w:hideMark/>
          </w:tcPr>
          <w:p w14:paraId="5593984D" w14:textId="77777777" w:rsidR="003E0F58" w:rsidRPr="005753FE" w:rsidRDefault="003E0F58" w:rsidP="004D2249">
            <w:pPr>
              <w:jc w:val="left"/>
              <w:rPr>
                <w:rFonts w:cs="Times New Roman"/>
                <w:color w:val="000000"/>
                <w:sz w:val="20"/>
                <w:szCs w:val="20"/>
                <w:lang w:val="cs-CZ"/>
              </w:rPr>
            </w:pPr>
            <w:r w:rsidRPr="005753FE">
              <w:rPr>
                <w:rFonts w:cs="Times New Roman"/>
                <w:color w:val="000000"/>
                <w:sz w:val="20"/>
                <w:szCs w:val="20"/>
                <w:lang w:val="cs-CZ"/>
              </w:rPr>
              <w:t>ZLÍNSKÝ</w:t>
            </w:r>
          </w:p>
        </w:tc>
        <w:tc>
          <w:tcPr>
            <w:tcW w:w="2260" w:type="dxa"/>
            <w:tcBorders>
              <w:top w:val="nil"/>
              <w:left w:val="nil"/>
              <w:bottom w:val="single" w:sz="4" w:space="0" w:color="auto"/>
              <w:right w:val="single" w:sz="4" w:space="0" w:color="auto"/>
            </w:tcBorders>
            <w:shd w:val="clear" w:color="auto" w:fill="auto"/>
            <w:noWrap/>
            <w:vAlign w:val="bottom"/>
            <w:hideMark/>
          </w:tcPr>
          <w:p w14:paraId="1A46B1FE" w14:textId="77777777" w:rsidR="003E0F58" w:rsidRPr="005753FE" w:rsidRDefault="003E0F58" w:rsidP="004D2249">
            <w:pPr>
              <w:jc w:val="right"/>
              <w:rPr>
                <w:rFonts w:cs="Times New Roman"/>
                <w:color w:val="000000"/>
                <w:sz w:val="20"/>
                <w:szCs w:val="20"/>
                <w:lang w:val="cs-CZ"/>
              </w:rPr>
            </w:pPr>
            <w:r w:rsidRPr="005753FE">
              <w:rPr>
                <w:rFonts w:cs="Times New Roman"/>
                <w:color w:val="000000"/>
                <w:sz w:val="20"/>
                <w:szCs w:val="20"/>
                <w:lang w:val="cs-CZ"/>
              </w:rPr>
              <w:t>833 633,65</w:t>
            </w:r>
          </w:p>
        </w:tc>
      </w:tr>
      <w:tr w:rsidR="003E0F58" w:rsidRPr="007C705C" w14:paraId="08A338BD" w14:textId="77777777" w:rsidTr="005753FE">
        <w:trPr>
          <w:trHeight w:val="300"/>
        </w:trPr>
        <w:tc>
          <w:tcPr>
            <w:tcW w:w="2520" w:type="dxa"/>
            <w:tcBorders>
              <w:top w:val="nil"/>
              <w:left w:val="single" w:sz="4" w:space="0" w:color="auto"/>
              <w:bottom w:val="single" w:sz="4" w:space="0" w:color="auto"/>
              <w:right w:val="single" w:sz="4" w:space="0" w:color="auto"/>
            </w:tcBorders>
            <w:shd w:val="clear" w:color="auto" w:fill="auto"/>
            <w:noWrap/>
            <w:vAlign w:val="bottom"/>
            <w:hideMark/>
          </w:tcPr>
          <w:p w14:paraId="69E7E2D2" w14:textId="77777777" w:rsidR="003E0F58" w:rsidRPr="005753FE" w:rsidRDefault="003E0F58" w:rsidP="004D2249">
            <w:pPr>
              <w:jc w:val="left"/>
              <w:rPr>
                <w:rFonts w:cs="Times New Roman"/>
                <w:b/>
                <w:bCs/>
                <w:color w:val="000000"/>
                <w:sz w:val="20"/>
                <w:szCs w:val="20"/>
                <w:lang w:val="cs-CZ"/>
              </w:rPr>
            </w:pPr>
            <w:r w:rsidRPr="005753FE">
              <w:rPr>
                <w:rFonts w:cs="Times New Roman"/>
                <w:b/>
                <w:bCs/>
                <w:color w:val="000000"/>
                <w:sz w:val="20"/>
                <w:szCs w:val="20"/>
                <w:lang w:val="cs-CZ"/>
              </w:rPr>
              <w:t>celkem</w:t>
            </w:r>
          </w:p>
        </w:tc>
        <w:tc>
          <w:tcPr>
            <w:tcW w:w="2260" w:type="dxa"/>
            <w:tcBorders>
              <w:top w:val="nil"/>
              <w:left w:val="nil"/>
              <w:bottom w:val="single" w:sz="4" w:space="0" w:color="auto"/>
              <w:right w:val="single" w:sz="4" w:space="0" w:color="auto"/>
            </w:tcBorders>
            <w:shd w:val="clear" w:color="auto" w:fill="auto"/>
            <w:noWrap/>
            <w:vAlign w:val="bottom"/>
            <w:hideMark/>
          </w:tcPr>
          <w:p w14:paraId="7FF582AE" w14:textId="77777777" w:rsidR="003E0F58" w:rsidRPr="005753FE" w:rsidRDefault="003E0F58" w:rsidP="004D2249">
            <w:pPr>
              <w:jc w:val="right"/>
              <w:rPr>
                <w:rFonts w:cs="Times New Roman"/>
                <w:b/>
                <w:bCs/>
                <w:color w:val="000000"/>
                <w:sz w:val="20"/>
                <w:szCs w:val="20"/>
                <w:lang w:val="cs-CZ"/>
              </w:rPr>
            </w:pPr>
            <w:r w:rsidRPr="005753FE">
              <w:rPr>
                <w:rFonts w:cs="Times New Roman"/>
                <w:b/>
                <w:bCs/>
                <w:color w:val="000000"/>
                <w:sz w:val="20"/>
                <w:szCs w:val="20"/>
                <w:lang w:val="cs-CZ"/>
              </w:rPr>
              <w:t>9 355 187,62</w:t>
            </w:r>
          </w:p>
        </w:tc>
      </w:tr>
    </w:tbl>
    <w:p w14:paraId="1E624D27" w14:textId="3680A4A8" w:rsidR="003E0F58" w:rsidRDefault="003E0F58" w:rsidP="005753FE">
      <w:pPr>
        <w:pStyle w:val="UZEIZdroj"/>
      </w:pPr>
      <w:r w:rsidRPr="007C705C">
        <w:t>Zdroj: ÚHÚL 2014</w:t>
      </w:r>
    </w:p>
    <w:p w14:paraId="00398B11" w14:textId="653E5E80" w:rsidR="00B52450" w:rsidRDefault="00B52450" w:rsidP="005753FE">
      <w:pPr>
        <w:pStyle w:val="UZEIZdroj"/>
      </w:pPr>
    </w:p>
    <w:p w14:paraId="24BC35C2" w14:textId="77777777" w:rsidR="00B52450" w:rsidRPr="005753FE" w:rsidRDefault="00B52450" w:rsidP="005753FE">
      <w:pPr>
        <w:pStyle w:val="UZEIZdroj"/>
      </w:pPr>
    </w:p>
    <w:p w14:paraId="3C3680BF" w14:textId="1681EDCC" w:rsidR="003E0F58" w:rsidRPr="007C705C" w:rsidRDefault="005753FE" w:rsidP="005753FE">
      <w:pPr>
        <w:pStyle w:val="UZEITaB"/>
        <w:rPr>
          <w:rFonts w:eastAsia="Calibri"/>
        </w:rPr>
      </w:pPr>
      <w:bookmarkStart w:id="254" w:name="_Toc15309854"/>
      <w:bookmarkStart w:id="255" w:name="_Toc77245827"/>
      <w:r>
        <w:rPr>
          <w:rFonts w:eastAsia="Calibri"/>
        </w:rPr>
        <w:t xml:space="preserve"> </w:t>
      </w:r>
      <w:bookmarkStart w:id="256" w:name="_Toc94181585"/>
      <w:r w:rsidR="003E0F58" w:rsidRPr="007C705C">
        <w:rPr>
          <w:rFonts w:eastAsia="Calibri"/>
        </w:rPr>
        <w:t>Délka LC podle sklonu terénu, ve kterém je LC vybudovaná)</w:t>
      </w:r>
      <w:bookmarkEnd w:id="254"/>
      <w:bookmarkEnd w:id="255"/>
      <w:bookmarkEnd w:id="256"/>
    </w:p>
    <w:tbl>
      <w:tblPr>
        <w:tblW w:w="9072" w:type="dxa"/>
        <w:tblInd w:w="80" w:type="dxa"/>
        <w:tblCellMar>
          <w:left w:w="70" w:type="dxa"/>
          <w:right w:w="70" w:type="dxa"/>
        </w:tblCellMar>
        <w:tblLook w:val="04A0" w:firstRow="1" w:lastRow="0" w:firstColumn="1" w:lastColumn="0" w:noHBand="0" w:noVBand="1"/>
      </w:tblPr>
      <w:tblGrid>
        <w:gridCol w:w="780"/>
        <w:gridCol w:w="1097"/>
        <w:gridCol w:w="1097"/>
        <w:gridCol w:w="991"/>
        <w:gridCol w:w="991"/>
        <w:gridCol w:w="833"/>
        <w:gridCol w:w="764"/>
        <w:gridCol w:w="658"/>
        <w:gridCol w:w="764"/>
        <w:gridCol w:w="1097"/>
      </w:tblGrid>
      <w:tr w:rsidR="003E0F58" w:rsidRPr="005753FE" w14:paraId="3EA93D38" w14:textId="77777777" w:rsidTr="004D2249">
        <w:tc>
          <w:tcPr>
            <w:tcW w:w="0" w:type="auto"/>
            <w:tcBorders>
              <w:top w:val="single" w:sz="8" w:space="0" w:color="auto"/>
              <w:left w:val="single" w:sz="8" w:space="0" w:color="auto"/>
              <w:bottom w:val="nil"/>
              <w:right w:val="single" w:sz="8" w:space="0" w:color="auto"/>
            </w:tcBorders>
            <w:shd w:val="clear" w:color="auto" w:fill="auto"/>
            <w:noWrap/>
            <w:vAlign w:val="bottom"/>
            <w:hideMark/>
          </w:tcPr>
          <w:p w14:paraId="11F60657" w14:textId="77777777" w:rsidR="003E0F58" w:rsidRPr="005753FE" w:rsidRDefault="003E0F58" w:rsidP="004D2249">
            <w:pPr>
              <w:ind w:left="284" w:hanging="284"/>
              <w:jc w:val="left"/>
              <w:rPr>
                <w:rFonts w:cs="Times New Roman"/>
                <w:color w:val="000000"/>
                <w:sz w:val="20"/>
                <w:szCs w:val="20"/>
                <w:lang w:val="cs-CZ"/>
              </w:rPr>
            </w:pPr>
            <w:r w:rsidRPr="005753FE">
              <w:rPr>
                <w:rFonts w:cs="Times New Roman"/>
                <w:color w:val="000000"/>
                <w:sz w:val="20"/>
                <w:szCs w:val="20"/>
                <w:lang w:val="cs-CZ"/>
              </w:rPr>
              <w:t> </w:t>
            </w:r>
          </w:p>
        </w:tc>
        <w:tc>
          <w:tcPr>
            <w:tcW w:w="0" w:type="auto"/>
            <w:gridSpan w:val="8"/>
            <w:tcBorders>
              <w:top w:val="single" w:sz="8" w:space="0" w:color="auto"/>
              <w:left w:val="nil"/>
              <w:bottom w:val="nil"/>
              <w:right w:val="nil"/>
            </w:tcBorders>
            <w:shd w:val="clear" w:color="auto" w:fill="auto"/>
            <w:noWrap/>
            <w:vAlign w:val="bottom"/>
            <w:hideMark/>
          </w:tcPr>
          <w:p w14:paraId="265E011D"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Délka cest v m podle sklonu terénu v %, v kterém je vybudovaná LC</w:t>
            </w:r>
          </w:p>
        </w:tc>
        <w:tc>
          <w:tcPr>
            <w:tcW w:w="0" w:type="auto"/>
            <w:tcBorders>
              <w:top w:val="single" w:sz="8" w:space="0" w:color="auto"/>
              <w:left w:val="nil"/>
              <w:bottom w:val="nil"/>
              <w:right w:val="single" w:sz="8" w:space="0" w:color="auto"/>
            </w:tcBorders>
            <w:shd w:val="clear" w:color="auto" w:fill="auto"/>
            <w:noWrap/>
            <w:vAlign w:val="bottom"/>
            <w:hideMark/>
          </w:tcPr>
          <w:p w14:paraId="7F5D7047" w14:textId="77777777" w:rsidR="003E0F58" w:rsidRPr="005753FE" w:rsidRDefault="003E0F58" w:rsidP="004D2249">
            <w:pPr>
              <w:ind w:left="284" w:hanging="284"/>
              <w:jc w:val="left"/>
              <w:rPr>
                <w:rFonts w:cs="Times New Roman"/>
                <w:color w:val="000000"/>
                <w:sz w:val="20"/>
                <w:szCs w:val="20"/>
                <w:lang w:val="cs-CZ"/>
              </w:rPr>
            </w:pPr>
            <w:r w:rsidRPr="005753FE">
              <w:rPr>
                <w:rFonts w:cs="Times New Roman"/>
                <w:color w:val="000000"/>
                <w:sz w:val="20"/>
                <w:szCs w:val="20"/>
                <w:lang w:val="cs-CZ"/>
              </w:rPr>
              <w:t> </w:t>
            </w:r>
          </w:p>
        </w:tc>
      </w:tr>
      <w:tr w:rsidR="003E0F58" w:rsidRPr="005753FE" w14:paraId="6B15A2A2" w14:textId="77777777" w:rsidTr="004D2249">
        <w:tc>
          <w:tcPr>
            <w:tcW w:w="0" w:type="auto"/>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7D9E56B2"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PLO</w:t>
            </w:r>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3E70E433"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0-10</w:t>
            </w:r>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0BEF43FC"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11-20</w:t>
            </w:r>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750FCAA6"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21-33</w:t>
            </w:r>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79DE33AB"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34-50</w:t>
            </w:r>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5C712094"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51-70</w:t>
            </w:r>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7AFBB889"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71-80</w:t>
            </w:r>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25E359C1"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81-90</w:t>
            </w:r>
          </w:p>
        </w:tc>
        <w:tc>
          <w:tcPr>
            <w:tcW w:w="0" w:type="auto"/>
            <w:tcBorders>
              <w:top w:val="single" w:sz="8" w:space="0" w:color="auto"/>
              <w:left w:val="nil"/>
              <w:bottom w:val="single" w:sz="8" w:space="0" w:color="auto"/>
              <w:right w:val="nil"/>
            </w:tcBorders>
            <w:shd w:val="clear" w:color="auto" w:fill="auto"/>
            <w:noWrap/>
            <w:vAlign w:val="bottom"/>
            <w:hideMark/>
          </w:tcPr>
          <w:p w14:paraId="1DF70FDE"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91-100</w:t>
            </w:r>
          </w:p>
        </w:tc>
        <w:tc>
          <w:tcPr>
            <w:tcW w:w="0" w:type="auto"/>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2A286774"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celkem</w:t>
            </w:r>
          </w:p>
        </w:tc>
      </w:tr>
      <w:tr w:rsidR="003E0F58" w:rsidRPr="005753FE" w14:paraId="24886E09" w14:textId="77777777" w:rsidTr="004D2249">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380D045B"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w:t>
            </w:r>
          </w:p>
        </w:tc>
        <w:tc>
          <w:tcPr>
            <w:tcW w:w="0" w:type="auto"/>
            <w:tcBorders>
              <w:top w:val="nil"/>
              <w:left w:val="nil"/>
              <w:bottom w:val="single" w:sz="4" w:space="0" w:color="auto"/>
              <w:right w:val="single" w:sz="4" w:space="0" w:color="auto"/>
            </w:tcBorders>
            <w:shd w:val="clear" w:color="auto" w:fill="auto"/>
            <w:noWrap/>
            <w:vAlign w:val="bottom"/>
            <w:hideMark/>
          </w:tcPr>
          <w:p w14:paraId="666CF94A"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677 996</w:t>
            </w:r>
          </w:p>
        </w:tc>
        <w:tc>
          <w:tcPr>
            <w:tcW w:w="0" w:type="auto"/>
            <w:tcBorders>
              <w:top w:val="nil"/>
              <w:left w:val="nil"/>
              <w:bottom w:val="single" w:sz="4" w:space="0" w:color="auto"/>
              <w:right w:val="single" w:sz="4" w:space="0" w:color="auto"/>
            </w:tcBorders>
            <w:shd w:val="clear" w:color="auto" w:fill="auto"/>
            <w:noWrap/>
            <w:vAlign w:val="bottom"/>
            <w:hideMark/>
          </w:tcPr>
          <w:p w14:paraId="7DA46ABD"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479 792</w:t>
            </w:r>
          </w:p>
        </w:tc>
        <w:tc>
          <w:tcPr>
            <w:tcW w:w="0" w:type="auto"/>
            <w:tcBorders>
              <w:top w:val="nil"/>
              <w:left w:val="nil"/>
              <w:bottom w:val="single" w:sz="4" w:space="0" w:color="auto"/>
              <w:right w:val="single" w:sz="4" w:space="0" w:color="auto"/>
            </w:tcBorders>
            <w:shd w:val="clear" w:color="auto" w:fill="auto"/>
            <w:noWrap/>
            <w:vAlign w:val="bottom"/>
            <w:hideMark/>
          </w:tcPr>
          <w:p w14:paraId="279FD337"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306 091</w:t>
            </w:r>
          </w:p>
        </w:tc>
        <w:tc>
          <w:tcPr>
            <w:tcW w:w="0" w:type="auto"/>
            <w:tcBorders>
              <w:top w:val="nil"/>
              <w:left w:val="nil"/>
              <w:bottom w:val="single" w:sz="4" w:space="0" w:color="auto"/>
              <w:right w:val="single" w:sz="4" w:space="0" w:color="auto"/>
            </w:tcBorders>
            <w:shd w:val="clear" w:color="auto" w:fill="auto"/>
            <w:noWrap/>
            <w:vAlign w:val="bottom"/>
            <w:hideMark/>
          </w:tcPr>
          <w:p w14:paraId="3976B6E1"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134 886</w:t>
            </w:r>
          </w:p>
        </w:tc>
        <w:tc>
          <w:tcPr>
            <w:tcW w:w="0" w:type="auto"/>
            <w:tcBorders>
              <w:top w:val="nil"/>
              <w:left w:val="nil"/>
              <w:bottom w:val="single" w:sz="4" w:space="0" w:color="auto"/>
              <w:right w:val="single" w:sz="4" w:space="0" w:color="auto"/>
            </w:tcBorders>
            <w:shd w:val="clear" w:color="auto" w:fill="auto"/>
            <w:noWrap/>
            <w:vAlign w:val="bottom"/>
            <w:hideMark/>
          </w:tcPr>
          <w:p w14:paraId="1A529DAC"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17 664</w:t>
            </w:r>
          </w:p>
        </w:tc>
        <w:tc>
          <w:tcPr>
            <w:tcW w:w="0" w:type="auto"/>
            <w:tcBorders>
              <w:top w:val="nil"/>
              <w:left w:val="nil"/>
              <w:bottom w:val="single" w:sz="4" w:space="0" w:color="auto"/>
              <w:right w:val="single" w:sz="4" w:space="0" w:color="auto"/>
            </w:tcBorders>
            <w:shd w:val="clear" w:color="auto" w:fill="auto"/>
            <w:noWrap/>
            <w:vAlign w:val="bottom"/>
            <w:hideMark/>
          </w:tcPr>
          <w:p w14:paraId="6E779158"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513</w:t>
            </w:r>
          </w:p>
        </w:tc>
        <w:tc>
          <w:tcPr>
            <w:tcW w:w="0" w:type="auto"/>
            <w:tcBorders>
              <w:top w:val="nil"/>
              <w:left w:val="nil"/>
              <w:bottom w:val="single" w:sz="4" w:space="0" w:color="auto"/>
              <w:right w:val="single" w:sz="4" w:space="0" w:color="auto"/>
            </w:tcBorders>
            <w:shd w:val="clear" w:color="auto" w:fill="auto"/>
            <w:noWrap/>
            <w:vAlign w:val="bottom"/>
            <w:hideMark/>
          </w:tcPr>
          <w:p w14:paraId="7C0FD035"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47</w:t>
            </w:r>
          </w:p>
        </w:tc>
        <w:tc>
          <w:tcPr>
            <w:tcW w:w="0" w:type="auto"/>
            <w:tcBorders>
              <w:top w:val="nil"/>
              <w:left w:val="nil"/>
              <w:bottom w:val="single" w:sz="4" w:space="0" w:color="auto"/>
              <w:right w:val="nil"/>
            </w:tcBorders>
            <w:shd w:val="clear" w:color="auto" w:fill="auto"/>
            <w:noWrap/>
            <w:vAlign w:val="bottom"/>
            <w:hideMark/>
          </w:tcPr>
          <w:p w14:paraId="05B3692F"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4ED6E127"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1 616 989</w:t>
            </w:r>
          </w:p>
        </w:tc>
      </w:tr>
      <w:tr w:rsidR="003E0F58" w:rsidRPr="005753FE" w14:paraId="3E85F2EF" w14:textId="77777777" w:rsidTr="004D2249">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20F21315"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w:t>
            </w:r>
          </w:p>
        </w:tc>
        <w:tc>
          <w:tcPr>
            <w:tcW w:w="0" w:type="auto"/>
            <w:tcBorders>
              <w:top w:val="nil"/>
              <w:left w:val="nil"/>
              <w:bottom w:val="single" w:sz="4" w:space="0" w:color="auto"/>
              <w:right w:val="single" w:sz="4" w:space="0" w:color="auto"/>
            </w:tcBorders>
            <w:shd w:val="clear" w:color="auto" w:fill="auto"/>
            <w:noWrap/>
            <w:vAlign w:val="bottom"/>
            <w:hideMark/>
          </w:tcPr>
          <w:p w14:paraId="01D2CEDF"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78 909</w:t>
            </w:r>
          </w:p>
        </w:tc>
        <w:tc>
          <w:tcPr>
            <w:tcW w:w="0" w:type="auto"/>
            <w:tcBorders>
              <w:top w:val="nil"/>
              <w:left w:val="nil"/>
              <w:bottom w:val="single" w:sz="4" w:space="0" w:color="auto"/>
              <w:right w:val="single" w:sz="4" w:space="0" w:color="auto"/>
            </w:tcBorders>
            <w:shd w:val="clear" w:color="auto" w:fill="auto"/>
            <w:noWrap/>
            <w:vAlign w:val="bottom"/>
            <w:hideMark/>
          </w:tcPr>
          <w:p w14:paraId="0F56E402"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14 800</w:t>
            </w:r>
          </w:p>
        </w:tc>
        <w:tc>
          <w:tcPr>
            <w:tcW w:w="0" w:type="auto"/>
            <w:tcBorders>
              <w:top w:val="nil"/>
              <w:left w:val="nil"/>
              <w:bottom w:val="single" w:sz="4" w:space="0" w:color="auto"/>
              <w:right w:val="single" w:sz="4" w:space="0" w:color="auto"/>
            </w:tcBorders>
            <w:shd w:val="clear" w:color="auto" w:fill="auto"/>
            <w:noWrap/>
            <w:vAlign w:val="bottom"/>
            <w:hideMark/>
          </w:tcPr>
          <w:p w14:paraId="1375CD8A"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3 574</w:t>
            </w:r>
          </w:p>
        </w:tc>
        <w:tc>
          <w:tcPr>
            <w:tcW w:w="0" w:type="auto"/>
            <w:tcBorders>
              <w:top w:val="nil"/>
              <w:left w:val="nil"/>
              <w:bottom w:val="single" w:sz="4" w:space="0" w:color="auto"/>
              <w:right w:val="single" w:sz="4" w:space="0" w:color="auto"/>
            </w:tcBorders>
            <w:shd w:val="clear" w:color="auto" w:fill="auto"/>
            <w:noWrap/>
            <w:vAlign w:val="bottom"/>
            <w:hideMark/>
          </w:tcPr>
          <w:p w14:paraId="295AE314"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366</w:t>
            </w:r>
          </w:p>
        </w:tc>
        <w:tc>
          <w:tcPr>
            <w:tcW w:w="0" w:type="auto"/>
            <w:tcBorders>
              <w:top w:val="nil"/>
              <w:left w:val="nil"/>
              <w:bottom w:val="single" w:sz="4" w:space="0" w:color="auto"/>
              <w:right w:val="single" w:sz="4" w:space="0" w:color="auto"/>
            </w:tcBorders>
            <w:shd w:val="clear" w:color="auto" w:fill="auto"/>
            <w:noWrap/>
            <w:vAlign w:val="bottom"/>
            <w:hideMark/>
          </w:tcPr>
          <w:p w14:paraId="1EC635BB"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23</w:t>
            </w:r>
          </w:p>
        </w:tc>
        <w:tc>
          <w:tcPr>
            <w:tcW w:w="0" w:type="auto"/>
            <w:tcBorders>
              <w:top w:val="nil"/>
              <w:left w:val="nil"/>
              <w:bottom w:val="single" w:sz="4" w:space="0" w:color="auto"/>
              <w:right w:val="single" w:sz="4" w:space="0" w:color="auto"/>
            </w:tcBorders>
            <w:shd w:val="clear" w:color="auto" w:fill="auto"/>
            <w:noWrap/>
            <w:vAlign w:val="bottom"/>
            <w:hideMark/>
          </w:tcPr>
          <w:p w14:paraId="35081B01"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single" w:sz="4" w:space="0" w:color="auto"/>
            </w:tcBorders>
            <w:shd w:val="clear" w:color="auto" w:fill="auto"/>
            <w:noWrap/>
            <w:vAlign w:val="bottom"/>
            <w:hideMark/>
          </w:tcPr>
          <w:p w14:paraId="1300C790"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nil"/>
            </w:tcBorders>
            <w:shd w:val="clear" w:color="auto" w:fill="auto"/>
            <w:noWrap/>
            <w:vAlign w:val="bottom"/>
            <w:hideMark/>
          </w:tcPr>
          <w:p w14:paraId="1FF49CC2"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062E6FDC"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97 672</w:t>
            </w:r>
          </w:p>
        </w:tc>
      </w:tr>
      <w:tr w:rsidR="003E0F58" w:rsidRPr="005753FE" w14:paraId="230D2CAA" w14:textId="77777777" w:rsidTr="004D2249">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33C59484"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3</w:t>
            </w:r>
          </w:p>
        </w:tc>
        <w:tc>
          <w:tcPr>
            <w:tcW w:w="0" w:type="auto"/>
            <w:tcBorders>
              <w:top w:val="nil"/>
              <w:left w:val="nil"/>
              <w:bottom w:val="single" w:sz="4" w:space="0" w:color="auto"/>
              <w:right w:val="single" w:sz="4" w:space="0" w:color="auto"/>
            </w:tcBorders>
            <w:shd w:val="clear" w:color="auto" w:fill="auto"/>
            <w:noWrap/>
            <w:vAlign w:val="bottom"/>
            <w:hideMark/>
          </w:tcPr>
          <w:p w14:paraId="3DDF4FB0"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361 457</w:t>
            </w:r>
          </w:p>
        </w:tc>
        <w:tc>
          <w:tcPr>
            <w:tcW w:w="0" w:type="auto"/>
            <w:tcBorders>
              <w:top w:val="nil"/>
              <w:left w:val="nil"/>
              <w:bottom w:val="single" w:sz="4" w:space="0" w:color="auto"/>
              <w:right w:val="single" w:sz="4" w:space="0" w:color="auto"/>
            </w:tcBorders>
            <w:shd w:val="clear" w:color="auto" w:fill="auto"/>
            <w:noWrap/>
            <w:vAlign w:val="bottom"/>
            <w:hideMark/>
          </w:tcPr>
          <w:p w14:paraId="3B00F492"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169 886</w:t>
            </w:r>
          </w:p>
        </w:tc>
        <w:tc>
          <w:tcPr>
            <w:tcW w:w="0" w:type="auto"/>
            <w:tcBorders>
              <w:top w:val="nil"/>
              <w:left w:val="nil"/>
              <w:bottom w:val="single" w:sz="4" w:space="0" w:color="auto"/>
              <w:right w:val="single" w:sz="4" w:space="0" w:color="auto"/>
            </w:tcBorders>
            <w:shd w:val="clear" w:color="auto" w:fill="auto"/>
            <w:noWrap/>
            <w:vAlign w:val="bottom"/>
            <w:hideMark/>
          </w:tcPr>
          <w:p w14:paraId="2EB35284"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90 016</w:t>
            </w:r>
          </w:p>
        </w:tc>
        <w:tc>
          <w:tcPr>
            <w:tcW w:w="0" w:type="auto"/>
            <w:tcBorders>
              <w:top w:val="nil"/>
              <w:left w:val="nil"/>
              <w:bottom w:val="single" w:sz="4" w:space="0" w:color="auto"/>
              <w:right w:val="single" w:sz="4" w:space="0" w:color="auto"/>
            </w:tcBorders>
            <w:shd w:val="clear" w:color="auto" w:fill="auto"/>
            <w:noWrap/>
            <w:vAlign w:val="bottom"/>
            <w:hideMark/>
          </w:tcPr>
          <w:p w14:paraId="307164C0"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25 294</w:t>
            </w:r>
          </w:p>
        </w:tc>
        <w:tc>
          <w:tcPr>
            <w:tcW w:w="0" w:type="auto"/>
            <w:tcBorders>
              <w:top w:val="nil"/>
              <w:left w:val="nil"/>
              <w:bottom w:val="single" w:sz="4" w:space="0" w:color="auto"/>
              <w:right w:val="single" w:sz="4" w:space="0" w:color="auto"/>
            </w:tcBorders>
            <w:shd w:val="clear" w:color="auto" w:fill="auto"/>
            <w:noWrap/>
            <w:vAlign w:val="bottom"/>
            <w:hideMark/>
          </w:tcPr>
          <w:p w14:paraId="0932E894"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3 175</w:t>
            </w:r>
          </w:p>
        </w:tc>
        <w:tc>
          <w:tcPr>
            <w:tcW w:w="0" w:type="auto"/>
            <w:tcBorders>
              <w:top w:val="nil"/>
              <w:left w:val="nil"/>
              <w:bottom w:val="single" w:sz="4" w:space="0" w:color="auto"/>
              <w:right w:val="single" w:sz="4" w:space="0" w:color="auto"/>
            </w:tcBorders>
            <w:shd w:val="clear" w:color="auto" w:fill="auto"/>
            <w:noWrap/>
            <w:vAlign w:val="bottom"/>
            <w:hideMark/>
          </w:tcPr>
          <w:p w14:paraId="01112C8B"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single" w:sz="4" w:space="0" w:color="auto"/>
            </w:tcBorders>
            <w:shd w:val="clear" w:color="auto" w:fill="auto"/>
            <w:noWrap/>
            <w:vAlign w:val="bottom"/>
            <w:hideMark/>
          </w:tcPr>
          <w:p w14:paraId="0AE67B82"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nil"/>
            </w:tcBorders>
            <w:shd w:val="clear" w:color="auto" w:fill="auto"/>
            <w:noWrap/>
            <w:vAlign w:val="bottom"/>
            <w:hideMark/>
          </w:tcPr>
          <w:p w14:paraId="471CE7BE"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3AF34E3C"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649 827</w:t>
            </w:r>
          </w:p>
        </w:tc>
      </w:tr>
      <w:tr w:rsidR="003E0F58" w:rsidRPr="005753FE" w14:paraId="20E33A12" w14:textId="77777777" w:rsidTr="004D2249">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4B773991"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4</w:t>
            </w:r>
          </w:p>
        </w:tc>
        <w:tc>
          <w:tcPr>
            <w:tcW w:w="0" w:type="auto"/>
            <w:tcBorders>
              <w:top w:val="nil"/>
              <w:left w:val="nil"/>
              <w:bottom w:val="single" w:sz="4" w:space="0" w:color="auto"/>
              <w:right w:val="single" w:sz="4" w:space="0" w:color="auto"/>
            </w:tcBorders>
            <w:shd w:val="clear" w:color="auto" w:fill="auto"/>
            <w:noWrap/>
            <w:vAlign w:val="bottom"/>
            <w:hideMark/>
          </w:tcPr>
          <w:p w14:paraId="37E85847"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71 719</w:t>
            </w:r>
          </w:p>
        </w:tc>
        <w:tc>
          <w:tcPr>
            <w:tcW w:w="0" w:type="auto"/>
            <w:tcBorders>
              <w:top w:val="nil"/>
              <w:left w:val="nil"/>
              <w:bottom w:val="single" w:sz="4" w:space="0" w:color="auto"/>
              <w:right w:val="single" w:sz="4" w:space="0" w:color="auto"/>
            </w:tcBorders>
            <w:shd w:val="clear" w:color="auto" w:fill="auto"/>
            <w:noWrap/>
            <w:vAlign w:val="bottom"/>
            <w:hideMark/>
          </w:tcPr>
          <w:p w14:paraId="678F6525"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61 144</w:t>
            </w:r>
          </w:p>
        </w:tc>
        <w:tc>
          <w:tcPr>
            <w:tcW w:w="0" w:type="auto"/>
            <w:tcBorders>
              <w:top w:val="nil"/>
              <w:left w:val="nil"/>
              <w:bottom w:val="single" w:sz="4" w:space="0" w:color="auto"/>
              <w:right w:val="single" w:sz="4" w:space="0" w:color="auto"/>
            </w:tcBorders>
            <w:shd w:val="clear" w:color="auto" w:fill="auto"/>
            <w:noWrap/>
            <w:vAlign w:val="bottom"/>
            <w:hideMark/>
          </w:tcPr>
          <w:p w14:paraId="032835FB"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27 543</w:t>
            </w:r>
          </w:p>
        </w:tc>
        <w:tc>
          <w:tcPr>
            <w:tcW w:w="0" w:type="auto"/>
            <w:tcBorders>
              <w:top w:val="nil"/>
              <w:left w:val="nil"/>
              <w:bottom w:val="single" w:sz="4" w:space="0" w:color="auto"/>
              <w:right w:val="single" w:sz="4" w:space="0" w:color="auto"/>
            </w:tcBorders>
            <w:shd w:val="clear" w:color="auto" w:fill="auto"/>
            <w:noWrap/>
            <w:vAlign w:val="bottom"/>
            <w:hideMark/>
          </w:tcPr>
          <w:p w14:paraId="38AB8320"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15 617</w:t>
            </w:r>
          </w:p>
        </w:tc>
        <w:tc>
          <w:tcPr>
            <w:tcW w:w="0" w:type="auto"/>
            <w:tcBorders>
              <w:top w:val="nil"/>
              <w:left w:val="nil"/>
              <w:bottom w:val="single" w:sz="4" w:space="0" w:color="auto"/>
              <w:right w:val="single" w:sz="4" w:space="0" w:color="auto"/>
            </w:tcBorders>
            <w:shd w:val="clear" w:color="auto" w:fill="auto"/>
            <w:noWrap/>
            <w:vAlign w:val="bottom"/>
            <w:hideMark/>
          </w:tcPr>
          <w:p w14:paraId="26D22B29"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3 202</w:t>
            </w:r>
          </w:p>
        </w:tc>
        <w:tc>
          <w:tcPr>
            <w:tcW w:w="0" w:type="auto"/>
            <w:tcBorders>
              <w:top w:val="nil"/>
              <w:left w:val="nil"/>
              <w:bottom w:val="single" w:sz="4" w:space="0" w:color="auto"/>
              <w:right w:val="single" w:sz="4" w:space="0" w:color="auto"/>
            </w:tcBorders>
            <w:shd w:val="clear" w:color="auto" w:fill="auto"/>
            <w:noWrap/>
            <w:vAlign w:val="bottom"/>
            <w:hideMark/>
          </w:tcPr>
          <w:p w14:paraId="67CE87C7"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single" w:sz="4" w:space="0" w:color="auto"/>
            </w:tcBorders>
            <w:shd w:val="clear" w:color="auto" w:fill="auto"/>
            <w:noWrap/>
            <w:vAlign w:val="bottom"/>
            <w:hideMark/>
          </w:tcPr>
          <w:p w14:paraId="793BCCDC"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nil"/>
            </w:tcBorders>
            <w:shd w:val="clear" w:color="auto" w:fill="auto"/>
            <w:noWrap/>
            <w:vAlign w:val="bottom"/>
            <w:hideMark/>
          </w:tcPr>
          <w:p w14:paraId="062EFF86"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540D64DC"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179 225</w:t>
            </w:r>
          </w:p>
        </w:tc>
      </w:tr>
      <w:tr w:rsidR="003E0F58" w:rsidRPr="005753FE" w14:paraId="2BE36684" w14:textId="77777777" w:rsidTr="004D2249">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48377877"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5</w:t>
            </w:r>
          </w:p>
        </w:tc>
        <w:tc>
          <w:tcPr>
            <w:tcW w:w="0" w:type="auto"/>
            <w:tcBorders>
              <w:top w:val="nil"/>
              <w:left w:val="nil"/>
              <w:bottom w:val="single" w:sz="4" w:space="0" w:color="auto"/>
              <w:right w:val="single" w:sz="4" w:space="0" w:color="auto"/>
            </w:tcBorders>
            <w:shd w:val="clear" w:color="auto" w:fill="auto"/>
            <w:noWrap/>
            <w:vAlign w:val="bottom"/>
            <w:hideMark/>
          </w:tcPr>
          <w:p w14:paraId="1315425A"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74 708</w:t>
            </w:r>
          </w:p>
        </w:tc>
        <w:tc>
          <w:tcPr>
            <w:tcW w:w="0" w:type="auto"/>
            <w:tcBorders>
              <w:top w:val="nil"/>
              <w:left w:val="nil"/>
              <w:bottom w:val="single" w:sz="4" w:space="0" w:color="auto"/>
              <w:right w:val="single" w:sz="4" w:space="0" w:color="auto"/>
            </w:tcBorders>
            <w:shd w:val="clear" w:color="auto" w:fill="auto"/>
            <w:noWrap/>
            <w:vAlign w:val="bottom"/>
            <w:hideMark/>
          </w:tcPr>
          <w:p w14:paraId="319F375C"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131 586</w:t>
            </w:r>
          </w:p>
        </w:tc>
        <w:tc>
          <w:tcPr>
            <w:tcW w:w="0" w:type="auto"/>
            <w:tcBorders>
              <w:top w:val="nil"/>
              <w:left w:val="nil"/>
              <w:bottom w:val="single" w:sz="4" w:space="0" w:color="auto"/>
              <w:right w:val="single" w:sz="4" w:space="0" w:color="auto"/>
            </w:tcBorders>
            <w:shd w:val="clear" w:color="auto" w:fill="auto"/>
            <w:noWrap/>
            <w:vAlign w:val="bottom"/>
            <w:hideMark/>
          </w:tcPr>
          <w:p w14:paraId="441B94E5"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62 662</w:t>
            </w:r>
          </w:p>
        </w:tc>
        <w:tc>
          <w:tcPr>
            <w:tcW w:w="0" w:type="auto"/>
            <w:tcBorders>
              <w:top w:val="nil"/>
              <w:left w:val="nil"/>
              <w:bottom w:val="single" w:sz="4" w:space="0" w:color="auto"/>
              <w:right w:val="single" w:sz="4" w:space="0" w:color="auto"/>
            </w:tcBorders>
            <w:shd w:val="clear" w:color="auto" w:fill="auto"/>
            <w:noWrap/>
            <w:vAlign w:val="bottom"/>
            <w:hideMark/>
          </w:tcPr>
          <w:p w14:paraId="712BF22D"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16 140</w:t>
            </w:r>
          </w:p>
        </w:tc>
        <w:tc>
          <w:tcPr>
            <w:tcW w:w="0" w:type="auto"/>
            <w:tcBorders>
              <w:top w:val="nil"/>
              <w:left w:val="nil"/>
              <w:bottom w:val="single" w:sz="4" w:space="0" w:color="auto"/>
              <w:right w:val="single" w:sz="4" w:space="0" w:color="auto"/>
            </w:tcBorders>
            <w:shd w:val="clear" w:color="auto" w:fill="auto"/>
            <w:noWrap/>
            <w:vAlign w:val="bottom"/>
            <w:hideMark/>
          </w:tcPr>
          <w:p w14:paraId="3DF69226"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2 774</w:t>
            </w:r>
          </w:p>
        </w:tc>
        <w:tc>
          <w:tcPr>
            <w:tcW w:w="0" w:type="auto"/>
            <w:tcBorders>
              <w:top w:val="nil"/>
              <w:left w:val="nil"/>
              <w:bottom w:val="single" w:sz="4" w:space="0" w:color="auto"/>
              <w:right w:val="single" w:sz="4" w:space="0" w:color="auto"/>
            </w:tcBorders>
            <w:shd w:val="clear" w:color="auto" w:fill="auto"/>
            <w:noWrap/>
            <w:vAlign w:val="bottom"/>
            <w:hideMark/>
          </w:tcPr>
          <w:p w14:paraId="37518190"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68</w:t>
            </w:r>
          </w:p>
        </w:tc>
        <w:tc>
          <w:tcPr>
            <w:tcW w:w="0" w:type="auto"/>
            <w:tcBorders>
              <w:top w:val="nil"/>
              <w:left w:val="nil"/>
              <w:bottom w:val="single" w:sz="4" w:space="0" w:color="auto"/>
              <w:right w:val="single" w:sz="4" w:space="0" w:color="auto"/>
            </w:tcBorders>
            <w:shd w:val="clear" w:color="auto" w:fill="auto"/>
            <w:noWrap/>
            <w:vAlign w:val="bottom"/>
            <w:hideMark/>
          </w:tcPr>
          <w:p w14:paraId="4CE44F46"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nil"/>
            </w:tcBorders>
            <w:shd w:val="clear" w:color="auto" w:fill="auto"/>
            <w:noWrap/>
            <w:vAlign w:val="bottom"/>
            <w:hideMark/>
          </w:tcPr>
          <w:p w14:paraId="6DC201B9"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46C9197B"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287 939</w:t>
            </w:r>
          </w:p>
        </w:tc>
      </w:tr>
      <w:tr w:rsidR="003E0F58" w:rsidRPr="005753FE" w14:paraId="7B18DF28" w14:textId="77777777" w:rsidTr="004D2249">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4DE09FD5"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lastRenderedPageBreak/>
              <w:t>6</w:t>
            </w:r>
          </w:p>
        </w:tc>
        <w:tc>
          <w:tcPr>
            <w:tcW w:w="0" w:type="auto"/>
            <w:tcBorders>
              <w:top w:val="nil"/>
              <w:left w:val="nil"/>
              <w:bottom w:val="single" w:sz="4" w:space="0" w:color="auto"/>
              <w:right w:val="single" w:sz="4" w:space="0" w:color="auto"/>
            </w:tcBorders>
            <w:shd w:val="clear" w:color="auto" w:fill="auto"/>
            <w:noWrap/>
            <w:vAlign w:val="bottom"/>
            <w:hideMark/>
          </w:tcPr>
          <w:p w14:paraId="3D608BF7"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1 135 750</w:t>
            </w:r>
          </w:p>
        </w:tc>
        <w:tc>
          <w:tcPr>
            <w:tcW w:w="0" w:type="auto"/>
            <w:tcBorders>
              <w:top w:val="nil"/>
              <w:left w:val="nil"/>
              <w:bottom w:val="single" w:sz="4" w:space="0" w:color="auto"/>
              <w:right w:val="single" w:sz="4" w:space="0" w:color="auto"/>
            </w:tcBorders>
            <w:shd w:val="clear" w:color="auto" w:fill="auto"/>
            <w:noWrap/>
            <w:vAlign w:val="bottom"/>
            <w:hideMark/>
          </w:tcPr>
          <w:p w14:paraId="3BE6578D"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310 435</w:t>
            </w:r>
          </w:p>
        </w:tc>
        <w:tc>
          <w:tcPr>
            <w:tcW w:w="0" w:type="auto"/>
            <w:tcBorders>
              <w:top w:val="nil"/>
              <w:left w:val="nil"/>
              <w:bottom w:val="single" w:sz="4" w:space="0" w:color="auto"/>
              <w:right w:val="single" w:sz="4" w:space="0" w:color="auto"/>
            </w:tcBorders>
            <w:shd w:val="clear" w:color="auto" w:fill="auto"/>
            <w:noWrap/>
            <w:vAlign w:val="bottom"/>
            <w:hideMark/>
          </w:tcPr>
          <w:p w14:paraId="0EB98761"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129 643</w:t>
            </w:r>
          </w:p>
        </w:tc>
        <w:tc>
          <w:tcPr>
            <w:tcW w:w="0" w:type="auto"/>
            <w:tcBorders>
              <w:top w:val="nil"/>
              <w:left w:val="nil"/>
              <w:bottom w:val="single" w:sz="4" w:space="0" w:color="auto"/>
              <w:right w:val="single" w:sz="4" w:space="0" w:color="auto"/>
            </w:tcBorders>
            <w:shd w:val="clear" w:color="auto" w:fill="auto"/>
            <w:noWrap/>
            <w:vAlign w:val="bottom"/>
            <w:hideMark/>
          </w:tcPr>
          <w:p w14:paraId="7E8B4ED4"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32 058</w:t>
            </w:r>
          </w:p>
        </w:tc>
        <w:tc>
          <w:tcPr>
            <w:tcW w:w="0" w:type="auto"/>
            <w:tcBorders>
              <w:top w:val="nil"/>
              <w:left w:val="nil"/>
              <w:bottom w:val="single" w:sz="4" w:space="0" w:color="auto"/>
              <w:right w:val="single" w:sz="4" w:space="0" w:color="auto"/>
            </w:tcBorders>
            <w:shd w:val="clear" w:color="auto" w:fill="auto"/>
            <w:noWrap/>
            <w:vAlign w:val="bottom"/>
            <w:hideMark/>
          </w:tcPr>
          <w:p w14:paraId="415C1CDE"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1 661</w:t>
            </w:r>
          </w:p>
        </w:tc>
        <w:tc>
          <w:tcPr>
            <w:tcW w:w="0" w:type="auto"/>
            <w:tcBorders>
              <w:top w:val="nil"/>
              <w:left w:val="nil"/>
              <w:bottom w:val="single" w:sz="4" w:space="0" w:color="auto"/>
              <w:right w:val="single" w:sz="4" w:space="0" w:color="auto"/>
            </w:tcBorders>
            <w:shd w:val="clear" w:color="auto" w:fill="auto"/>
            <w:noWrap/>
            <w:vAlign w:val="bottom"/>
            <w:hideMark/>
          </w:tcPr>
          <w:p w14:paraId="05CC4240"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59</w:t>
            </w:r>
          </w:p>
        </w:tc>
        <w:tc>
          <w:tcPr>
            <w:tcW w:w="0" w:type="auto"/>
            <w:tcBorders>
              <w:top w:val="nil"/>
              <w:left w:val="nil"/>
              <w:bottom w:val="single" w:sz="4" w:space="0" w:color="auto"/>
              <w:right w:val="single" w:sz="4" w:space="0" w:color="auto"/>
            </w:tcBorders>
            <w:shd w:val="clear" w:color="auto" w:fill="auto"/>
            <w:noWrap/>
            <w:vAlign w:val="bottom"/>
            <w:hideMark/>
          </w:tcPr>
          <w:p w14:paraId="08163D50"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nil"/>
            </w:tcBorders>
            <w:shd w:val="clear" w:color="auto" w:fill="auto"/>
            <w:noWrap/>
            <w:vAlign w:val="bottom"/>
            <w:hideMark/>
          </w:tcPr>
          <w:p w14:paraId="583AD20B"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6398E1BC"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1 609 606</w:t>
            </w:r>
          </w:p>
        </w:tc>
      </w:tr>
      <w:tr w:rsidR="003E0F58" w:rsidRPr="005753FE" w14:paraId="5345E338" w14:textId="77777777" w:rsidTr="004D2249">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0435F706"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7</w:t>
            </w:r>
          </w:p>
        </w:tc>
        <w:tc>
          <w:tcPr>
            <w:tcW w:w="0" w:type="auto"/>
            <w:tcBorders>
              <w:top w:val="nil"/>
              <w:left w:val="nil"/>
              <w:bottom w:val="single" w:sz="4" w:space="0" w:color="auto"/>
              <w:right w:val="single" w:sz="4" w:space="0" w:color="auto"/>
            </w:tcBorders>
            <w:shd w:val="clear" w:color="auto" w:fill="auto"/>
            <w:noWrap/>
            <w:vAlign w:val="bottom"/>
            <w:hideMark/>
          </w:tcPr>
          <w:p w14:paraId="25524D77"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803 476</w:t>
            </w:r>
          </w:p>
        </w:tc>
        <w:tc>
          <w:tcPr>
            <w:tcW w:w="0" w:type="auto"/>
            <w:tcBorders>
              <w:top w:val="nil"/>
              <w:left w:val="nil"/>
              <w:bottom w:val="single" w:sz="4" w:space="0" w:color="auto"/>
              <w:right w:val="single" w:sz="4" w:space="0" w:color="auto"/>
            </w:tcBorders>
            <w:shd w:val="clear" w:color="auto" w:fill="auto"/>
            <w:noWrap/>
            <w:vAlign w:val="bottom"/>
            <w:hideMark/>
          </w:tcPr>
          <w:p w14:paraId="61728F1E"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260 148</w:t>
            </w:r>
          </w:p>
        </w:tc>
        <w:tc>
          <w:tcPr>
            <w:tcW w:w="0" w:type="auto"/>
            <w:tcBorders>
              <w:top w:val="nil"/>
              <w:left w:val="nil"/>
              <w:bottom w:val="single" w:sz="4" w:space="0" w:color="auto"/>
              <w:right w:val="single" w:sz="4" w:space="0" w:color="auto"/>
            </w:tcBorders>
            <w:shd w:val="clear" w:color="auto" w:fill="auto"/>
            <w:noWrap/>
            <w:vAlign w:val="bottom"/>
            <w:hideMark/>
          </w:tcPr>
          <w:p w14:paraId="02E95748"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45 296</w:t>
            </w:r>
          </w:p>
        </w:tc>
        <w:tc>
          <w:tcPr>
            <w:tcW w:w="0" w:type="auto"/>
            <w:tcBorders>
              <w:top w:val="nil"/>
              <w:left w:val="nil"/>
              <w:bottom w:val="single" w:sz="4" w:space="0" w:color="auto"/>
              <w:right w:val="single" w:sz="4" w:space="0" w:color="auto"/>
            </w:tcBorders>
            <w:shd w:val="clear" w:color="auto" w:fill="auto"/>
            <w:noWrap/>
            <w:vAlign w:val="bottom"/>
            <w:hideMark/>
          </w:tcPr>
          <w:p w14:paraId="4CC60F6A"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5 796</w:t>
            </w:r>
          </w:p>
        </w:tc>
        <w:tc>
          <w:tcPr>
            <w:tcW w:w="0" w:type="auto"/>
            <w:tcBorders>
              <w:top w:val="nil"/>
              <w:left w:val="nil"/>
              <w:bottom w:val="single" w:sz="4" w:space="0" w:color="auto"/>
              <w:right w:val="single" w:sz="4" w:space="0" w:color="auto"/>
            </w:tcBorders>
            <w:shd w:val="clear" w:color="auto" w:fill="auto"/>
            <w:noWrap/>
            <w:vAlign w:val="bottom"/>
            <w:hideMark/>
          </w:tcPr>
          <w:p w14:paraId="654A406E"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95</w:t>
            </w:r>
          </w:p>
        </w:tc>
        <w:tc>
          <w:tcPr>
            <w:tcW w:w="0" w:type="auto"/>
            <w:tcBorders>
              <w:top w:val="nil"/>
              <w:left w:val="nil"/>
              <w:bottom w:val="single" w:sz="4" w:space="0" w:color="auto"/>
              <w:right w:val="single" w:sz="4" w:space="0" w:color="auto"/>
            </w:tcBorders>
            <w:shd w:val="clear" w:color="auto" w:fill="auto"/>
            <w:noWrap/>
            <w:vAlign w:val="bottom"/>
            <w:hideMark/>
          </w:tcPr>
          <w:p w14:paraId="6C96B485"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single" w:sz="4" w:space="0" w:color="auto"/>
            </w:tcBorders>
            <w:shd w:val="clear" w:color="auto" w:fill="auto"/>
            <w:noWrap/>
            <w:vAlign w:val="bottom"/>
            <w:hideMark/>
          </w:tcPr>
          <w:p w14:paraId="6C98361E"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nil"/>
            </w:tcBorders>
            <w:shd w:val="clear" w:color="auto" w:fill="auto"/>
            <w:noWrap/>
            <w:vAlign w:val="bottom"/>
            <w:hideMark/>
          </w:tcPr>
          <w:p w14:paraId="26611B01"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7655C3CF"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1 114 810</w:t>
            </w:r>
          </w:p>
        </w:tc>
      </w:tr>
      <w:tr w:rsidR="003E0F58" w:rsidRPr="005753FE" w14:paraId="513DE4E1" w14:textId="77777777" w:rsidTr="004D2249">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3B2AC179"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8</w:t>
            </w:r>
          </w:p>
        </w:tc>
        <w:tc>
          <w:tcPr>
            <w:tcW w:w="0" w:type="auto"/>
            <w:tcBorders>
              <w:top w:val="nil"/>
              <w:left w:val="nil"/>
              <w:bottom w:val="single" w:sz="4" w:space="0" w:color="auto"/>
              <w:right w:val="single" w:sz="4" w:space="0" w:color="auto"/>
            </w:tcBorders>
            <w:shd w:val="clear" w:color="auto" w:fill="auto"/>
            <w:noWrap/>
            <w:vAlign w:val="bottom"/>
            <w:hideMark/>
          </w:tcPr>
          <w:p w14:paraId="724D0889"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397 377</w:t>
            </w:r>
          </w:p>
        </w:tc>
        <w:tc>
          <w:tcPr>
            <w:tcW w:w="0" w:type="auto"/>
            <w:tcBorders>
              <w:top w:val="nil"/>
              <w:left w:val="nil"/>
              <w:bottom w:val="single" w:sz="4" w:space="0" w:color="auto"/>
              <w:right w:val="single" w:sz="4" w:space="0" w:color="auto"/>
            </w:tcBorders>
            <w:shd w:val="clear" w:color="auto" w:fill="auto"/>
            <w:noWrap/>
            <w:vAlign w:val="bottom"/>
            <w:hideMark/>
          </w:tcPr>
          <w:p w14:paraId="104D57D9"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180 119</w:t>
            </w:r>
          </w:p>
        </w:tc>
        <w:tc>
          <w:tcPr>
            <w:tcW w:w="0" w:type="auto"/>
            <w:tcBorders>
              <w:top w:val="nil"/>
              <w:left w:val="nil"/>
              <w:bottom w:val="single" w:sz="4" w:space="0" w:color="auto"/>
              <w:right w:val="single" w:sz="4" w:space="0" w:color="auto"/>
            </w:tcBorders>
            <w:shd w:val="clear" w:color="auto" w:fill="auto"/>
            <w:noWrap/>
            <w:vAlign w:val="bottom"/>
            <w:hideMark/>
          </w:tcPr>
          <w:p w14:paraId="022FDEDA"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65 409</w:t>
            </w:r>
          </w:p>
        </w:tc>
        <w:tc>
          <w:tcPr>
            <w:tcW w:w="0" w:type="auto"/>
            <w:tcBorders>
              <w:top w:val="nil"/>
              <w:left w:val="nil"/>
              <w:bottom w:val="single" w:sz="4" w:space="0" w:color="auto"/>
              <w:right w:val="single" w:sz="4" w:space="0" w:color="auto"/>
            </w:tcBorders>
            <w:shd w:val="clear" w:color="auto" w:fill="auto"/>
            <w:noWrap/>
            <w:vAlign w:val="bottom"/>
            <w:hideMark/>
          </w:tcPr>
          <w:p w14:paraId="0184FB76"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19 130</w:t>
            </w:r>
          </w:p>
        </w:tc>
        <w:tc>
          <w:tcPr>
            <w:tcW w:w="0" w:type="auto"/>
            <w:tcBorders>
              <w:top w:val="nil"/>
              <w:left w:val="nil"/>
              <w:bottom w:val="single" w:sz="4" w:space="0" w:color="auto"/>
              <w:right w:val="single" w:sz="4" w:space="0" w:color="auto"/>
            </w:tcBorders>
            <w:shd w:val="clear" w:color="auto" w:fill="auto"/>
            <w:noWrap/>
            <w:vAlign w:val="bottom"/>
            <w:hideMark/>
          </w:tcPr>
          <w:p w14:paraId="65AF7C10"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3 365</w:t>
            </w:r>
          </w:p>
        </w:tc>
        <w:tc>
          <w:tcPr>
            <w:tcW w:w="0" w:type="auto"/>
            <w:tcBorders>
              <w:top w:val="nil"/>
              <w:left w:val="nil"/>
              <w:bottom w:val="single" w:sz="4" w:space="0" w:color="auto"/>
              <w:right w:val="single" w:sz="4" w:space="0" w:color="auto"/>
            </w:tcBorders>
            <w:shd w:val="clear" w:color="auto" w:fill="auto"/>
            <w:noWrap/>
            <w:vAlign w:val="bottom"/>
            <w:hideMark/>
          </w:tcPr>
          <w:p w14:paraId="18376A5E"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87</w:t>
            </w:r>
          </w:p>
        </w:tc>
        <w:tc>
          <w:tcPr>
            <w:tcW w:w="0" w:type="auto"/>
            <w:tcBorders>
              <w:top w:val="nil"/>
              <w:left w:val="nil"/>
              <w:bottom w:val="single" w:sz="4" w:space="0" w:color="auto"/>
              <w:right w:val="single" w:sz="4" w:space="0" w:color="auto"/>
            </w:tcBorders>
            <w:shd w:val="clear" w:color="auto" w:fill="auto"/>
            <w:noWrap/>
            <w:vAlign w:val="bottom"/>
            <w:hideMark/>
          </w:tcPr>
          <w:p w14:paraId="20F868D9"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nil"/>
            </w:tcBorders>
            <w:shd w:val="clear" w:color="auto" w:fill="auto"/>
            <w:noWrap/>
            <w:vAlign w:val="bottom"/>
            <w:hideMark/>
          </w:tcPr>
          <w:p w14:paraId="74DB185B"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14425EDC"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665 487</w:t>
            </w:r>
          </w:p>
        </w:tc>
      </w:tr>
      <w:tr w:rsidR="003E0F58" w:rsidRPr="005753FE" w14:paraId="484CE2A5" w14:textId="77777777" w:rsidTr="004D2249">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4E82661A"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9</w:t>
            </w:r>
          </w:p>
        </w:tc>
        <w:tc>
          <w:tcPr>
            <w:tcW w:w="0" w:type="auto"/>
            <w:tcBorders>
              <w:top w:val="nil"/>
              <w:left w:val="nil"/>
              <w:bottom w:val="single" w:sz="4" w:space="0" w:color="auto"/>
              <w:right w:val="single" w:sz="4" w:space="0" w:color="auto"/>
            </w:tcBorders>
            <w:shd w:val="clear" w:color="auto" w:fill="auto"/>
            <w:noWrap/>
            <w:vAlign w:val="bottom"/>
            <w:hideMark/>
          </w:tcPr>
          <w:p w14:paraId="7B93CF87"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423 548</w:t>
            </w:r>
          </w:p>
        </w:tc>
        <w:tc>
          <w:tcPr>
            <w:tcW w:w="0" w:type="auto"/>
            <w:tcBorders>
              <w:top w:val="nil"/>
              <w:left w:val="nil"/>
              <w:bottom w:val="single" w:sz="4" w:space="0" w:color="auto"/>
              <w:right w:val="single" w:sz="4" w:space="0" w:color="auto"/>
            </w:tcBorders>
            <w:shd w:val="clear" w:color="auto" w:fill="auto"/>
            <w:noWrap/>
            <w:vAlign w:val="bottom"/>
            <w:hideMark/>
          </w:tcPr>
          <w:p w14:paraId="708D774F"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131 770</w:t>
            </w:r>
          </w:p>
        </w:tc>
        <w:tc>
          <w:tcPr>
            <w:tcW w:w="0" w:type="auto"/>
            <w:tcBorders>
              <w:top w:val="nil"/>
              <w:left w:val="nil"/>
              <w:bottom w:val="single" w:sz="4" w:space="0" w:color="auto"/>
              <w:right w:val="single" w:sz="4" w:space="0" w:color="auto"/>
            </w:tcBorders>
            <w:shd w:val="clear" w:color="auto" w:fill="auto"/>
            <w:noWrap/>
            <w:vAlign w:val="bottom"/>
            <w:hideMark/>
          </w:tcPr>
          <w:p w14:paraId="7E2708E8"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71 562</w:t>
            </w:r>
          </w:p>
        </w:tc>
        <w:tc>
          <w:tcPr>
            <w:tcW w:w="0" w:type="auto"/>
            <w:tcBorders>
              <w:top w:val="nil"/>
              <w:left w:val="nil"/>
              <w:bottom w:val="single" w:sz="4" w:space="0" w:color="auto"/>
              <w:right w:val="single" w:sz="4" w:space="0" w:color="auto"/>
            </w:tcBorders>
            <w:shd w:val="clear" w:color="auto" w:fill="auto"/>
            <w:noWrap/>
            <w:vAlign w:val="bottom"/>
            <w:hideMark/>
          </w:tcPr>
          <w:p w14:paraId="3A8DAC2F"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16 143</w:t>
            </w:r>
          </w:p>
        </w:tc>
        <w:tc>
          <w:tcPr>
            <w:tcW w:w="0" w:type="auto"/>
            <w:tcBorders>
              <w:top w:val="nil"/>
              <w:left w:val="nil"/>
              <w:bottom w:val="single" w:sz="4" w:space="0" w:color="auto"/>
              <w:right w:val="single" w:sz="4" w:space="0" w:color="auto"/>
            </w:tcBorders>
            <w:shd w:val="clear" w:color="auto" w:fill="auto"/>
            <w:noWrap/>
            <w:vAlign w:val="bottom"/>
            <w:hideMark/>
          </w:tcPr>
          <w:p w14:paraId="6813634F"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1 271</w:t>
            </w:r>
          </w:p>
        </w:tc>
        <w:tc>
          <w:tcPr>
            <w:tcW w:w="0" w:type="auto"/>
            <w:tcBorders>
              <w:top w:val="nil"/>
              <w:left w:val="nil"/>
              <w:bottom w:val="single" w:sz="4" w:space="0" w:color="auto"/>
              <w:right w:val="single" w:sz="4" w:space="0" w:color="auto"/>
            </w:tcBorders>
            <w:shd w:val="clear" w:color="auto" w:fill="auto"/>
            <w:noWrap/>
            <w:vAlign w:val="bottom"/>
            <w:hideMark/>
          </w:tcPr>
          <w:p w14:paraId="4AD5BE8A"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10</w:t>
            </w:r>
          </w:p>
        </w:tc>
        <w:tc>
          <w:tcPr>
            <w:tcW w:w="0" w:type="auto"/>
            <w:tcBorders>
              <w:top w:val="nil"/>
              <w:left w:val="nil"/>
              <w:bottom w:val="single" w:sz="4" w:space="0" w:color="auto"/>
              <w:right w:val="single" w:sz="4" w:space="0" w:color="auto"/>
            </w:tcBorders>
            <w:shd w:val="clear" w:color="auto" w:fill="auto"/>
            <w:noWrap/>
            <w:vAlign w:val="bottom"/>
            <w:hideMark/>
          </w:tcPr>
          <w:p w14:paraId="04FBA31B"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nil"/>
            </w:tcBorders>
            <w:shd w:val="clear" w:color="auto" w:fill="auto"/>
            <w:noWrap/>
            <w:vAlign w:val="bottom"/>
            <w:hideMark/>
          </w:tcPr>
          <w:p w14:paraId="44ACF6A9"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3A7F7F8C"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644 304</w:t>
            </w:r>
          </w:p>
        </w:tc>
      </w:tr>
      <w:tr w:rsidR="003E0F58" w:rsidRPr="005753FE" w14:paraId="3F2979FA" w14:textId="77777777" w:rsidTr="004D2249">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489FA40A"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10</w:t>
            </w:r>
          </w:p>
        </w:tc>
        <w:tc>
          <w:tcPr>
            <w:tcW w:w="0" w:type="auto"/>
            <w:tcBorders>
              <w:top w:val="nil"/>
              <w:left w:val="nil"/>
              <w:bottom w:val="single" w:sz="4" w:space="0" w:color="auto"/>
              <w:right w:val="single" w:sz="4" w:space="0" w:color="auto"/>
            </w:tcBorders>
            <w:shd w:val="clear" w:color="auto" w:fill="auto"/>
            <w:noWrap/>
            <w:vAlign w:val="bottom"/>
            <w:hideMark/>
          </w:tcPr>
          <w:p w14:paraId="2F64F424"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1 859 276</w:t>
            </w:r>
          </w:p>
        </w:tc>
        <w:tc>
          <w:tcPr>
            <w:tcW w:w="0" w:type="auto"/>
            <w:tcBorders>
              <w:top w:val="nil"/>
              <w:left w:val="nil"/>
              <w:bottom w:val="single" w:sz="4" w:space="0" w:color="auto"/>
              <w:right w:val="single" w:sz="4" w:space="0" w:color="auto"/>
            </w:tcBorders>
            <w:shd w:val="clear" w:color="auto" w:fill="auto"/>
            <w:noWrap/>
            <w:vAlign w:val="bottom"/>
            <w:hideMark/>
          </w:tcPr>
          <w:p w14:paraId="4EF6E11E"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772 659</w:t>
            </w:r>
          </w:p>
        </w:tc>
        <w:tc>
          <w:tcPr>
            <w:tcW w:w="0" w:type="auto"/>
            <w:tcBorders>
              <w:top w:val="nil"/>
              <w:left w:val="nil"/>
              <w:bottom w:val="single" w:sz="4" w:space="0" w:color="auto"/>
              <w:right w:val="single" w:sz="4" w:space="0" w:color="auto"/>
            </w:tcBorders>
            <w:shd w:val="clear" w:color="auto" w:fill="auto"/>
            <w:noWrap/>
            <w:vAlign w:val="bottom"/>
            <w:hideMark/>
          </w:tcPr>
          <w:p w14:paraId="70272625"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249 241</w:t>
            </w:r>
          </w:p>
        </w:tc>
        <w:tc>
          <w:tcPr>
            <w:tcW w:w="0" w:type="auto"/>
            <w:tcBorders>
              <w:top w:val="nil"/>
              <w:left w:val="nil"/>
              <w:bottom w:val="single" w:sz="4" w:space="0" w:color="auto"/>
              <w:right w:val="single" w:sz="4" w:space="0" w:color="auto"/>
            </w:tcBorders>
            <w:shd w:val="clear" w:color="auto" w:fill="auto"/>
            <w:noWrap/>
            <w:vAlign w:val="bottom"/>
            <w:hideMark/>
          </w:tcPr>
          <w:p w14:paraId="28EF4903"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46 541</w:t>
            </w:r>
          </w:p>
        </w:tc>
        <w:tc>
          <w:tcPr>
            <w:tcW w:w="0" w:type="auto"/>
            <w:tcBorders>
              <w:top w:val="nil"/>
              <w:left w:val="nil"/>
              <w:bottom w:val="single" w:sz="4" w:space="0" w:color="auto"/>
              <w:right w:val="single" w:sz="4" w:space="0" w:color="auto"/>
            </w:tcBorders>
            <w:shd w:val="clear" w:color="auto" w:fill="auto"/>
            <w:noWrap/>
            <w:vAlign w:val="bottom"/>
            <w:hideMark/>
          </w:tcPr>
          <w:p w14:paraId="7ED0BD65"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2 768</w:t>
            </w:r>
          </w:p>
        </w:tc>
        <w:tc>
          <w:tcPr>
            <w:tcW w:w="0" w:type="auto"/>
            <w:tcBorders>
              <w:top w:val="nil"/>
              <w:left w:val="nil"/>
              <w:bottom w:val="single" w:sz="4" w:space="0" w:color="auto"/>
              <w:right w:val="single" w:sz="4" w:space="0" w:color="auto"/>
            </w:tcBorders>
            <w:shd w:val="clear" w:color="auto" w:fill="auto"/>
            <w:noWrap/>
            <w:vAlign w:val="bottom"/>
            <w:hideMark/>
          </w:tcPr>
          <w:p w14:paraId="28FECC92"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183</w:t>
            </w:r>
          </w:p>
        </w:tc>
        <w:tc>
          <w:tcPr>
            <w:tcW w:w="0" w:type="auto"/>
            <w:tcBorders>
              <w:top w:val="nil"/>
              <w:left w:val="nil"/>
              <w:bottom w:val="single" w:sz="4" w:space="0" w:color="auto"/>
              <w:right w:val="single" w:sz="4" w:space="0" w:color="auto"/>
            </w:tcBorders>
            <w:shd w:val="clear" w:color="auto" w:fill="auto"/>
            <w:noWrap/>
            <w:vAlign w:val="bottom"/>
            <w:hideMark/>
          </w:tcPr>
          <w:p w14:paraId="51FAC0B3"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nil"/>
            </w:tcBorders>
            <w:shd w:val="clear" w:color="auto" w:fill="auto"/>
            <w:noWrap/>
            <w:vAlign w:val="bottom"/>
            <w:hideMark/>
          </w:tcPr>
          <w:p w14:paraId="1BBF6DB1"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19DFF0E6"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2 930 668</w:t>
            </w:r>
          </w:p>
        </w:tc>
      </w:tr>
      <w:tr w:rsidR="003E0F58" w:rsidRPr="005753FE" w14:paraId="34993077" w14:textId="77777777" w:rsidTr="004D2249">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35393E2B"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11</w:t>
            </w:r>
          </w:p>
        </w:tc>
        <w:tc>
          <w:tcPr>
            <w:tcW w:w="0" w:type="auto"/>
            <w:tcBorders>
              <w:top w:val="nil"/>
              <w:left w:val="nil"/>
              <w:bottom w:val="single" w:sz="4" w:space="0" w:color="auto"/>
              <w:right w:val="single" w:sz="4" w:space="0" w:color="auto"/>
            </w:tcBorders>
            <w:shd w:val="clear" w:color="auto" w:fill="auto"/>
            <w:noWrap/>
            <w:vAlign w:val="bottom"/>
            <w:hideMark/>
          </w:tcPr>
          <w:p w14:paraId="7012C2FF"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534 132</w:t>
            </w:r>
          </w:p>
        </w:tc>
        <w:tc>
          <w:tcPr>
            <w:tcW w:w="0" w:type="auto"/>
            <w:tcBorders>
              <w:top w:val="nil"/>
              <w:left w:val="nil"/>
              <w:bottom w:val="single" w:sz="4" w:space="0" w:color="auto"/>
              <w:right w:val="single" w:sz="4" w:space="0" w:color="auto"/>
            </w:tcBorders>
            <w:shd w:val="clear" w:color="auto" w:fill="auto"/>
            <w:noWrap/>
            <w:vAlign w:val="bottom"/>
            <w:hideMark/>
          </w:tcPr>
          <w:p w14:paraId="1ACFA680"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386 754</w:t>
            </w:r>
          </w:p>
        </w:tc>
        <w:tc>
          <w:tcPr>
            <w:tcW w:w="0" w:type="auto"/>
            <w:tcBorders>
              <w:top w:val="nil"/>
              <w:left w:val="nil"/>
              <w:bottom w:val="single" w:sz="4" w:space="0" w:color="auto"/>
              <w:right w:val="single" w:sz="4" w:space="0" w:color="auto"/>
            </w:tcBorders>
            <w:shd w:val="clear" w:color="auto" w:fill="auto"/>
            <w:noWrap/>
            <w:vAlign w:val="bottom"/>
            <w:hideMark/>
          </w:tcPr>
          <w:p w14:paraId="2B334BB3"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81 627</w:t>
            </w:r>
          </w:p>
        </w:tc>
        <w:tc>
          <w:tcPr>
            <w:tcW w:w="0" w:type="auto"/>
            <w:tcBorders>
              <w:top w:val="nil"/>
              <w:left w:val="nil"/>
              <w:bottom w:val="single" w:sz="4" w:space="0" w:color="auto"/>
              <w:right w:val="single" w:sz="4" w:space="0" w:color="auto"/>
            </w:tcBorders>
            <w:shd w:val="clear" w:color="auto" w:fill="auto"/>
            <w:noWrap/>
            <w:vAlign w:val="bottom"/>
            <w:hideMark/>
          </w:tcPr>
          <w:p w14:paraId="69EBEBA4"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8 526</w:t>
            </w:r>
          </w:p>
        </w:tc>
        <w:tc>
          <w:tcPr>
            <w:tcW w:w="0" w:type="auto"/>
            <w:tcBorders>
              <w:top w:val="nil"/>
              <w:left w:val="nil"/>
              <w:bottom w:val="single" w:sz="4" w:space="0" w:color="auto"/>
              <w:right w:val="single" w:sz="4" w:space="0" w:color="auto"/>
            </w:tcBorders>
            <w:shd w:val="clear" w:color="auto" w:fill="auto"/>
            <w:noWrap/>
            <w:vAlign w:val="bottom"/>
            <w:hideMark/>
          </w:tcPr>
          <w:p w14:paraId="1ABBD5B6"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single" w:sz="4" w:space="0" w:color="auto"/>
            </w:tcBorders>
            <w:shd w:val="clear" w:color="auto" w:fill="auto"/>
            <w:noWrap/>
            <w:vAlign w:val="bottom"/>
            <w:hideMark/>
          </w:tcPr>
          <w:p w14:paraId="33026682"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single" w:sz="4" w:space="0" w:color="auto"/>
            </w:tcBorders>
            <w:shd w:val="clear" w:color="auto" w:fill="auto"/>
            <w:noWrap/>
            <w:vAlign w:val="bottom"/>
            <w:hideMark/>
          </w:tcPr>
          <w:p w14:paraId="7E235653"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nil"/>
            </w:tcBorders>
            <w:shd w:val="clear" w:color="auto" w:fill="auto"/>
            <w:noWrap/>
            <w:vAlign w:val="bottom"/>
            <w:hideMark/>
          </w:tcPr>
          <w:p w14:paraId="2CB3AAD6"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03AD90D0"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1 011 039</w:t>
            </w:r>
          </w:p>
        </w:tc>
      </w:tr>
      <w:tr w:rsidR="003E0F58" w:rsidRPr="005753FE" w14:paraId="7A9186D2" w14:textId="77777777" w:rsidTr="004D2249">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73E501D8"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12</w:t>
            </w:r>
          </w:p>
        </w:tc>
        <w:tc>
          <w:tcPr>
            <w:tcW w:w="0" w:type="auto"/>
            <w:tcBorders>
              <w:top w:val="nil"/>
              <w:left w:val="nil"/>
              <w:bottom w:val="single" w:sz="4" w:space="0" w:color="auto"/>
              <w:right w:val="single" w:sz="4" w:space="0" w:color="auto"/>
            </w:tcBorders>
            <w:shd w:val="clear" w:color="auto" w:fill="auto"/>
            <w:noWrap/>
            <w:vAlign w:val="bottom"/>
            <w:hideMark/>
          </w:tcPr>
          <w:p w14:paraId="3384B9A6"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595 792</w:t>
            </w:r>
          </w:p>
        </w:tc>
        <w:tc>
          <w:tcPr>
            <w:tcW w:w="0" w:type="auto"/>
            <w:tcBorders>
              <w:top w:val="nil"/>
              <w:left w:val="nil"/>
              <w:bottom w:val="single" w:sz="4" w:space="0" w:color="auto"/>
              <w:right w:val="single" w:sz="4" w:space="0" w:color="auto"/>
            </w:tcBorders>
            <w:shd w:val="clear" w:color="auto" w:fill="auto"/>
            <w:noWrap/>
            <w:vAlign w:val="bottom"/>
            <w:hideMark/>
          </w:tcPr>
          <w:p w14:paraId="05D2EAA7"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1 000 088</w:t>
            </w:r>
          </w:p>
        </w:tc>
        <w:tc>
          <w:tcPr>
            <w:tcW w:w="0" w:type="auto"/>
            <w:tcBorders>
              <w:top w:val="nil"/>
              <w:left w:val="nil"/>
              <w:bottom w:val="single" w:sz="4" w:space="0" w:color="auto"/>
              <w:right w:val="single" w:sz="4" w:space="0" w:color="auto"/>
            </w:tcBorders>
            <w:shd w:val="clear" w:color="auto" w:fill="auto"/>
            <w:noWrap/>
            <w:vAlign w:val="bottom"/>
            <w:hideMark/>
          </w:tcPr>
          <w:p w14:paraId="0780B7E0"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516 795</w:t>
            </w:r>
          </w:p>
        </w:tc>
        <w:tc>
          <w:tcPr>
            <w:tcW w:w="0" w:type="auto"/>
            <w:tcBorders>
              <w:top w:val="nil"/>
              <w:left w:val="nil"/>
              <w:bottom w:val="single" w:sz="4" w:space="0" w:color="auto"/>
              <w:right w:val="single" w:sz="4" w:space="0" w:color="auto"/>
            </w:tcBorders>
            <w:shd w:val="clear" w:color="auto" w:fill="auto"/>
            <w:noWrap/>
            <w:vAlign w:val="bottom"/>
            <w:hideMark/>
          </w:tcPr>
          <w:p w14:paraId="701AD07B"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71 351</w:t>
            </w:r>
          </w:p>
        </w:tc>
        <w:tc>
          <w:tcPr>
            <w:tcW w:w="0" w:type="auto"/>
            <w:tcBorders>
              <w:top w:val="nil"/>
              <w:left w:val="nil"/>
              <w:bottom w:val="single" w:sz="4" w:space="0" w:color="auto"/>
              <w:right w:val="single" w:sz="4" w:space="0" w:color="auto"/>
            </w:tcBorders>
            <w:shd w:val="clear" w:color="auto" w:fill="auto"/>
            <w:noWrap/>
            <w:vAlign w:val="bottom"/>
            <w:hideMark/>
          </w:tcPr>
          <w:p w14:paraId="4FBD0328"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3 996</w:t>
            </w:r>
          </w:p>
        </w:tc>
        <w:tc>
          <w:tcPr>
            <w:tcW w:w="0" w:type="auto"/>
            <w:tcBorders>
              <w:top w:val="nil"/>
              <w:left w:val="nil"/>
              <w:bottom w:val="single" w:sz="4" w:space="0" w:color="auto"/>
              <w:right w:val="single" w:sz="4" w:space="0" w:color="auto"/>
            </w:tcBorders>
            <w:shd w:val="clear" w:color="auto" w:fill="auto"/>
            <w:noWrap/>
            <w:vAlign w:val="bottom"/>
            <w:hideMark/>
          </w:tcPr>
          <w:p w14:paraId="212EF4C4"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58</w:t>
            </w:r>
          </w:p>
        </w:tc>
        <w:tc>
          <w:tcPr>
            <w:tcW w:w="0" w:type="auto"/>
            <w:tcBorders>
              <w:top w:val="nil"/>
              <w:left w:val="nil"/>
              <w:bottom w:val="single" w:sz="4" w:space="0" w:color="auto"/>
              <w:right w:val="single" w:sz="4" w:space="0" w:color="auto"/>
            </w:tcBorders>
            <w:shd w:val="clear" w:color="auto" w:fill="auto"/>
            <w:noWrap/>
            <w:vAlign w:val="bottom"/>
            <w:hideMark/>
          </w:tcPr>
          <w:p w14:paraId="2170D7E0"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nil"/>
            </w:tcBorders>
            <w:shd w:val="clear" w:color="auto" w:fill="auto"/>
            <w:noWrap/>
            <w:vAlign w:val="bottom"/>
            <w:hideMark/>
          </w:tcPr>
          <w:p w14:paraId="01166998"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53DDAF0E"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2 188 079</w:t>
            </w:r>
          </w:p>
        </w:tc>
      </w:tr>
      <w:tr w:rsidR="003E0F58" w:rsidRPr="005753FE" w14:paraId="5EE283FB" w14:textId="77777777" w:rsidTr="004D2249">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3BEE30AF"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13</w:t>
            </w:r>
          </w:p>
        </w:tc>
        <w:tc>
          <w:tcPr>
            <w:tcW w:w="0" w:type="auto"/>
            <w:tcBorders>
              <w:top w:val="nil"/>
              <w:left w:val="nil"/>
              <w:bottom w:val="single" w:sz="4" w:space="0" w:color="auto"/>
              <w:right w:val="single" w:sz="4" w:space="0" w:color="auto"/>
            </w:tcBorders>
            <w:shd w:val="clear" w:color="auto" w:fill="auto"/>
            <w:noWrap/>
            <w:vAlign w:val="bottom"/>
            <w:hideMark/>
          </w:tcPr>
          <w:p w14:paraId="3BCE6FEF"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734 441</w:t>
            </w:r>
          </w:p>
        </w:tc>
        <w:tc>
          <w:tcPr>
            <w:tcW w:w="0" w:type="auto"/>
            <w:tcBorders>
              <w:top w:val="nil"/>
              <w:left w:val="nil"/>
              <w:bottom w:val="single" w:sz="4" w:space="0" w:color="auto"/>
              <w:right w:val="single" w:sz="4" w:space="0" w:color="auto"/>
            </w:tcBorders>
            <w:shd w:val="clear" w:color="auto" w:fill="auto"/>
            <w:noWrap/>
            <w:vAlign w:val="bottom"/>
            <w:hideMark/>
          </w:tcPr>
          <w:p w14:paraId="79A8ECCD"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908 171</w:t>
            </w:r>
          </w:p>
        </w:tc>
        <w:tc>
          <w:tcPr>
            <w:tcW w:w="0" w:type="auto"/>
            <w:tcBorders>
              <w:top w:val="nil"/>
              <w:left w:val="nil"/>
              <w:bottom w:val="single" w:sz="4" w:space="0" w:color="auto"/>
              <w:right w:val="single" w:sz="4" w:space="0" w:color="auto"/>
            </w:tcBorders>
            <w:shd w:val="clear" w:color="auto" w:fill="auto"/>
            <w:noWrap/>
            <w:vAlign w:val="bottom"/>
            <w:hideMark/>
          </w:tcPr>
          <w:p w14:paraId="60917187"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425 575</w:t>
            </w:r>
          </w:p>
        </w:tc>
        <w:tc>
          <w:tcPr>
            <w:tcW w:w="0" w:type="auto"/>
            <w:tcBorders>
              <w:top w:val="nil"/>
              <w:left w:val="nil"/>
              <w:bottom w:val="single" w:sz="4" w:space="0" w:color="auto"/>
              <w:right w:val="single" w:sz="4" w:space="0" w:color="auto"/>
            </w:tcBorders>
            <w:shd w:val="clear" w:color="auto" w:fill="auto"/>
            <w:noWrap/>
            <w:vAlign w:val="bottom"/>
            <w:hideMark/>
          </w:tcPr>
          <w:p w14:paraId="46BD2807"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74 555</w:t>
            </w:r>
          </w:p>
        </w:tc>
        <w:tc>
          <w:tcPr>
            <w:tcW w:w="0" w:type="auto"/>
            <w:tcBorders>
              <w:top w:val="nil"/>
              <w:left w:val="nil"/>
              <w:bottom w:val="single" w:sz="4" w:space="0" w:color="auto"/>
              <w:right w:val="single" w:sz="4" w:space="0" w:color="auto"/>
            </w:tcBorders>
            <w:shd w:val="clear" w:color="auto" w:fill="auto"/>
            <w:noWrap/>
            <w:vAlign w:val="bottom"/>
            <w:hideMark/>
          </w:tcPr>
          <w:p w14:paraId="61B5622B"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1 692</w:t>
            </w:r>
          </w:p>
        </w:tc>
        <w:tc>
          <w:tcPr>
            <w:tcW w:w="0" w:type="auto"/>
            <w:tcBorders>
              <w:top w:val="nil"/>
              <w:left w:val="nil"/>
              <w:bottom w:val="single" w:sz="4" w:space="0" w:color="auto"/>
              <w:right w:val="single" w:sz="4" w:space="0" w:color="auto"/>
            </w:tcBorders>
            <w:shd w:val="clear" w:color="auto" w:fill="auto"/>
            <w:noWrap/>
            <w:vAlign w:val="bottom"/>
            <w:hideMark/>
          </w:tcPr>
          <w:p w14:paraId="0683EC5B"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single" w:sz="4" w:space="0" w:color="auto"/>
            </w:tcBorders>
            <w:shd w:val="clear" w:color="auto" w:fill="auto"/>
            <w:noWrap/>
            <w:vAlign w:val="bottom"/>
            <w:hideMark/>
          </w:tcPr>
          <w:p w14:paraId="0E0F25A5"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nil"/>
            </w:tcBorders>
            <w:shd w:val="clear" w:color="auto" w:fill="auto"/>
            <w:noWrap/>
            <w:vAlign w:val="bottom"/>
            <w:hideMark/>
          </w:tcPr>
          <w:p w14:paraId="7623E276"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59B3B98F"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2 144 433</w:t>
            </w:r>
          </w:p>
        </w:tc>
      </w:tr>
      <w:tr w:rsidR="003E0F58" w:rsidRPr="005753FE" w14:paraId="5F7E22E5" w14:textId="77777777" w:rsidTr="004D2249">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32EE16A4"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14</w:t>
            </w:r>
          </w:p>
        </w:tc>
        <w:tc>
          <w:tcPr>
            <w:tcW w:w="0" w:type="auto"/>
            <w:tcBorders>
              <w:top w:val="nil"/>
              <w:left w:val="nil"/>
              <w:bottom w:val="single" w:sz="4" w:space="0" w:color="auto"/>
              <w:right w:val="single" w:sz="4" w:space="0" w:color="auto"/>
            </w:tcBorders>
            <w:shd w:val="clear" w:color="auto" w:fill="auto"/>
            <w:noWrap/>
            <w:vAlign w:val="bottom"/>
            <w:hideMark/>
          </w:tcPr>
          <w:p w14:paraId="72E75EFA"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105 111</w:t>
            </w:r>
          </w:p>
        </w:tc>
        <w:tc>
          <w:tcPr>
            <w:tcW w:w="0" w:type="auto"/>
            <w:tcBorders>
              <w:top w:val="nil"/>
              <w:left w:val="nil"/>
              <w:bottom w:val="single" w:sz="4" w:space="0" w:color="auto"/>
              <w:right w:val="single" w:sz="4" w:space="0" w:color="auto"/>
            </w:tcBorders>
            <w:shd w:val="clear" w:color="auto" w:fill="auto"/>
            <w:noWrap/>
            <w:vAlign w:val="bottom"/>
            <w:hideMark/>
          </w:tcPr>
          <w:p w14:paraId="31338F03"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144 159</w:t>
            </w:r>
          </w:p>
        </w:tc>
        <w:tc>
          <w:tcPr>
            <w:tcW w:w="0" w:type="auto"/>
            <w:tcBorders>
              <w:top w:val="nil"/>
              <w:left w:val="nil"/>
              <w:bottom w:val="single" w:sz="4" w:space="0" w:color="auto"/>
              <w:right w:val="single" w:sz="4" w:space="0" w:color="auto"/>
            </w:tcBorders>
            <w:shd w:val="clear" w:color="auto" w:fill="auto"/>
            <w:noWrap/>
            <w:vAlign w:val="bottom"/>
            <w:hideMark/>
          </w:tcPr>
          <w:p w14:paraId="2202390A"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35 222</w:t>
            </w:r>
          </w:p>
        </w:tc>
        <w:tc>
          <w:tcPr>
            <w:tcW w:w="0" w:type="auto"/>
            <w:tcBorders>
              <w:top w:val="nil"/>
              <w:left w:val="nil"/>
              <w:bottom w:val="single" w:sz="4" w:space="0" w:color="auto"/>
              <w:right w:val="single" w:sz="4" w:space="0" w:color="auto"/>
            </w:tcBorders>
            <w:shd w:val="clear" w:color="auto" w:fill="auto"/>
            <w:noWrap/>
            <w:vAlign w:val="bottom"/>
            <w:hideMark/>
          </w:tcPr>
          <w:p w14:paraId="4A52EB08"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3 387</w:t>
            </w:r>
          </w:p>
        </w:tc>
        <w:tc>
          <w:tcPr>
            <w:tcW w:w="0" w:type="auto"/>
            <w:tcBorders>
              <w:top w:val="nil"/>
              <w:left w:val="nil"/>
              <w:bottom w:val="single" w:sz="4" w:space="0" w:color="auto"/>
              <w:right w:val="single" w:sz="4" w:space="0" w:color="auto"/>
            </w:tcBorders>
            <w:shd w:val="clear" w:color="auto" w:fill="auto"/>
            <w:noWrap/>
            <w:vAlign w:val="bottom"/>
            <w:hideMark/>
          </w:tcPr>
          <w:p w14:paraId="6A0F66CC"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163</w:t>
            </w:r>
          </w:p>
        </w:tc>
        <w:tc>
          <w:tcPr>
            <w:tcW w:w="0" w:type="auto"/>
            <w:tcBorders>
              <w:top w:val="nil"/>
              <w:left w:val="nil"/>
              <w:bottom w:val="single" w:sz="4" w:space="0" w:color="auto"/>
              <w:right w:val="single" w:sz="4" w:space="0" w:color="auto"/>
            </w:tcBorders>
            <w:shd w:val="clear" w:color="auto" w:fill="auto"/>
            <w:noWrap/>
            <w:vAlign w:val="bottom"/>
            <w:hideMark/>
          </w:tcPr>
          <w:p w14:paraId="6BE79897"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single" w:sz="4" w:space="0" w:color="auto"/>
            </w:tcBorders>
            <w:shd w:val="clear" w:color="auto" w:fill="auto"/>
            <w:noWrap/>
            <w:vAlign w:val="bottom"/>
            <w:hideMark/>
          </w:tcPr>
          <w:p w14:paraId="2ED5DC0E"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nil"/>
            </w:tcBorders>
            <w:shd w:val="clear" w:color="auto" w:fill="auto"/>
            <w:noWrap/>
            <w:vAlign w:val="bottom"/>
            <w:hideMark/>
          </w:tcPr>
          <w:p w14:paraId="5D67E105"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75307825"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288 042</w:t>
            </w:r>
          </w:p>
        </w:tc>
      </w:tr>
      <w:tr w:rsidR="003E0F58" w:rsidRPr="005753FE" w14:paraId="0DBCABD9" w14:textId="77777777" w:rsidTr="004D2249">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050D83FC"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15</w:t>
            </w:r>
          </w:p>
        </w:tc>
        <w:tc>
          <w:tcPr>
            <w:tcW w:w="0" w:type="auto"/>
            <w:tcBorders>
              <w:top w:val="nil"/>
              <w:left w:val="nil"/>
              <w:bottom w:val="single" w:sz="4" w:space="0" w:color="auto"/>
              <w:right w:val="single" w:sz="4" w:space="0" w:color="auto"/>
            </w:tcBorders>
            <w:shd w:val="clear" w:color="auto" w:fill="auto"/>
            <w:noWrap/>
            <w:vAlign w:val="bottom"/>
            <w:hideMark/>
          </w:tcPr>
          <w:p w14:paraId="728D1763"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1 406 958</w:t>
            </w:r>
          </w:p>
        </w:tc>
        <w:tc>
          <w:tcPr>
            <w:tcW w:w="0" w:type="auto"/>
            <w:tcBorders>
              <w:top w:val="nil"/>
              <w:left w:val="nil"/>
              <w:bottom w:val="single" w:sz="4" w:space="0" w:color="auto"/>
              <w:right w:val="single" w:sz="4" w:space="0" w:color="auto"/>
            </w:tcBorders>
            <w:shd w:val="clear" w:color="auto" w:fill="auto"/>
            <w:noWrap/>
            <w:vAlign w:val="bottom"/>
            <w:hideMark/>
          </w:tcPr>
          <w:p w14:paraId="29C71DB0"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30 373</w:t>
            </w:r>
          </w:p>
        </w:tc>
        <w:tc>
          <w:tcPr>
            <w:tcW w:w="0" w:type="auto"/>
            <w:tcBorders>
              <w:top w:val="nil"/>
              <w:left w:val="nil"/>
              <w:bottom w:val="single" w:sz="4" w:space="0" w:color="auto"/>
              <w:right w:val="single" w:sz="4" w:space="0" w:color="auto"/>
            </w:tcBorders>
            <w:shd w:val="clear" w:color="auto" w:fill="auto"/>
            <w:noWrap/>
            <w:vAlign w:val="bottom"/>
            <w:hideMark/>
          </w:tcPr>
          <w:p w14:paraId="56CAB1FE"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1 375</w:t>
            </w:r>
          </w:p>
        </w:tc>
        <w:tc>
          <w:tcPr>
            <w:tcW w:w="0" w:type="auto"/>
            <w:tcBorders>
              <w:top w:val="nil"/>
              <w:left w:val="nil"/>
              <w:bottom w:val="single" w:sz="4" w:space="0" w:color="auto"/>
              <w:right w:val="single" w:sz="4" w:space="0" w:color="auto"/>
            </w:tcBorders>
            <w:shd w:val="clear" w:color="auto" w:fill="auto"/>
            <w:noWrap/>
            <w:vAlign w:val="bottom"/>
            <w:hideMark/>
          </w:tcPr>
          <w:p w14:paraId="391B3AEF"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single" w:sz="4" w:space="0" w:color="auto"/>
            </w:tcBorders>
            <w:shd w:val="clear" w:color="auto" w:fill="auto"/>
            <w:noWrap/>
            <w:vAlign w:val="bottom"/>
            <w:hideMark/>
          </w:tcPr>
          <w:p w14:paraId="64B0BE9C"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single" w:sz="4" w:space="0" w:color="auto"/>
            </w:tcBorders>
            <w:shd w:val="clear" w:color="auto" w:fill="auto"/>
            <w:noWrap/>
            <w:vAlign w:val="bottom"/>
            <w:hideMark/>
          </w:tcPr>
          <w:p w14:paraId="6B8D5411"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single" w:sz="4" w:space="0" w:color="auto"/>
            </w:tcBorders>
            <w:shd w:val="clear" w:color="auto" w:fill="auto"/>
            <w:noWrap/>
            <w:vAlign w:val="bottom"/>
            <w:hideMark/>
          </w:tcPr>
          <w:p w14:paraId="27DEF182"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nil"/>
            </w:tcBorders>
            <w:shd w:val="clear" w:color="auto" w:fill="auto"/>
            <w:noWrap/>
            <w:vAlign w:val="bottom"/>
            <w:hideMark/>
          </w:tcPr>
          <w:p w14:paraId="2EE3E045"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771F7AF3"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1 438 706</w:t>
            </w:r>
          </w:p>
        </w:tc>
      </w:tr>
      <w:tr w:rsidR="003E0F58" w:rsidRPr="005753FE" w14:paraId="608CD6B3" w14:textId="77777777" w:rsidTr="004D2249">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1A196925"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16</w:t>
            </w:r>
          </w:p>
        </w:tc>
        <w:tc>
          <w:tcPr>
            <w:tcW w:w="0" w:type="auto"/>
            <w:tcBorders>
              <w:top w:val="nil"/>
              <w:left w:val="nil"/>
              <w:bottom w:val="single" w:sz="4" w:space="0" w:color="auto"/>
              <w:right w:val="single" w:sz="4" w:space="0" w:color="auto"/>
            </w:tcBorders>
            <w:shd w:val="clear" w:color="auto" w:fill="auto"/>
            <w:noWrap/>
            <w:vAlign w:val="bottom"/>
            <w:hideMark/>
          </w:tcPr>
          <w:p w14:paraId="5BE36497"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2 590 672</w:t>
            </w:r>
          </w:p>
        </w:tc>
        <w:tc>
          <w:tcPr>
            <w:tcW w:w="0" w:type="auto"/>
            <w:tcBorders>
              <w:top w:val="nil"/>
              <w:left w:val="nil"/>
              <w:bottom w:val="single" w:sz="4" w:space="0" w:color="auto"/>
              <w:right w:val="single" w:sz="4" w:space="0" w:color="auto"/>
            </w:tcBorders>
            <w:shd w:val="clear" w:color="auto" w:fill="auto"/>
            <w:noWrap/>
            <w:vAlign w:val="bottom"/>
            <w:hideMark/>
          </w:tcPr>
          <w:p w14:paraId="3D96DEE1"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722 747</w:t>
            </w:r>
          </w:p>
        </w:tc>
        <w:tc>
          <w:tcPr>
            <w:tcW w:w="0" w:type="auto"/>
            <w:tcBorders>
              <w:top w:val="nil"/>
              <w:left w:val="nil"/>
              <w:bottom w:val="single" w:sz="4" w:space="0" w:color="auto"/>
              <w:right w:val="single" w:sz="4" w:space="0" w:color="auto"/>
            </w:tcBorders>
            <w:shd w:val="clear" w:color="auto" w:fill="auto"/>
            <w:noWrap/>
            <w:vAlign w:val="bottom"/>
            <w:hideMark/>
          </w:tcPr>
          <w:p w14:paraId="5FF13866"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121 453</w:t>
            </w:r>
          </w:p>
        </w:tc>
        <w:tc>
          <w:tcPr>
            <w:tcW w:w="0" w:type="auto"/>
            <w:tcBorders>
              <w:top w:val="nil"/>
              <w:left w:val="nil"/>
              <w:bottom w:val="single" w:sz="4" w:space="0" w:color="auto"/>
              <w:right w:val="single" w:sz="4" w:space="0" w:color="auto"/>
            </w:tcBorders>
            <w:shd w:val="clear" w:color="auto" w:fill="auto"/>
            <w:noWrap/>
            <w:vAlign w:val="bottom"/>
            <w:hideMark/>
          </w:tcPr>
          <w:p w14:paraId="440D9904"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23 052</w:t>
            </w:r>
          </w:p>
        </w:tc>
        <w:tc>
          <w:tcPr>
            <w:tcW w:w="0" w:type="auto"/>
            <w:tcBorders>
              <w:top w:val="nil"/>
              <w:left w:val="nil"/>
              <w:bottom w:val="single" w:sz="4" w:space="0" w:color="auto"/>
              <w:right w:val="single" w:sz="4" w:space="0" w:color="auto"/>
            </w:tcBorders>
            <w:shd w:val="clear" w:color="auto" w:fill="auto"/>
            <w:noWrap/>
            <w:vAlign w:val="bottom"/>
            <w:hideMark/>
          </w:tcPr>
          <w:p w14:paraId="58B400E0"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2 162</w:t>
            </w:r>
          </w:p>
        </w:tc>
        <w:tc>
          <w:tcPr>
            <w:tcW w:w="0" w:type="auto"/>
            <w:tcBorders>
              <w:top w:val="nil"/>
              <w:left w:val="nil"/>
              <w:bottom w:val="single" w:sz="4" w:space="0" w:color="auto"/>
              <w:right w:val="single" w:sz="4" w:space="0" w:color="auto"/>
            </w:tcBorders>
            <w:shd w:val="clear" w:color="auto" w:fill="auto"/>
            <w:noWrap/>
            <w:vAlign w:val="bottom"/>
            <w:hideMark/>
          </w:tcPr>
          <w:p w14:paraId="0C9263BA"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single" w:sz="4" w:space="0" w:color="auto"/>
            </w:tcBorders>
            <w:shd w:val="clear" w:color="auto" w:fill="auto"/>
            <w:noWrap/>
            <w:vAlign w:val="bottom"/>
            <w:hideMark/>
          </w:tcPr>
          <w:p w14:paraId="67087B95"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nil"/>
            </w:tcBorders>
            <w:shd w:val="clear" w:color="auto" w:fill="auto"/>
            <w:noWrap/>
            <w:vAlign w:val="bottom"/>
            <w:hideMark/>
          </w:tcPr>
          <w:p w14:paraId="4B79F8FE"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2151F766"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3 460 086</w:t>
            </w:r>
          </w:p>
        </w:tc>
      </w:tr>
      <w:tr w:rsidR="003E0F58" w:rsidRPr="005753FE" w14:paraId="4318443D" w14:textId="77777777" w:rsidTr="004D2249">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16157848"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17</w:t>
            </w:r>
          </w:p>
        </w:tc>
        <w:tc>
          <w:tcPr>
            <w:tcW w:w="0" w:type="auto"/>
            <w:tcBorders>
              <w:top w:val="nil"/>
              <w:left w:val="nil"/>
              <w:bottom w:val="single" w:sz="4" w:space="0" w:color="auto"/>
              <w:right w:val="single" w:sz="4" w:space="0" w:color="auto"/>
            </w:tcBorders>
            <w:shd w:val="clear" w:color="auto" w:fill="auto"/>
            <w:noWrap/>
            <w:vAlign w:val="bottom"/>
            <w:hideMark/>
          </w:tcPr>
          <w:p w14:paraId="50B4212C"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1 438 034</w:t>
            </w:r>
          </w:p>
        </w:tc>
        <w:tc>
          <w:tcPr>
            <w:tcW w:w="0" w:type="auto"/>
            <w:tcBorders>
              <w:top w:val="nil"/>
              <w:left w:val="nil"/>
              <w:bottom w:val="single" w:sz="4" w:space="0" w:color="auto"/>
              <w:right w:val="single" w:sz="4" w:space="0" w:color="auto"/>
            </w:tcBorders>
            <w:shd w:val="clear" w:color="auto" w:fill="auto"/>
            <w:noWrap/>
            <w:vAlign w:val="bottom"/>
            <w:hideMark/>
          </w:tcPr>
          <w:p w14:paraId="2969659C"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61 986</w:t>
            </w:r>
          </w:p>
        </w:tc>
        <w:tc>
          <w:tcPr>
            <w:tcW w:w="0" w:type="auto"/>
            <w:tcBorders>
              <w:top w:val="nil"/>
              <w:left w:val="nil"/>
              <w:bottom w:val="single" w:sz="4" w:space="0" w:color="auto"/>
              <w:right w:val="single" w:sz="4" w:space="0" w:color="auto"/>
            </w:tcBorders>
            <w:shd w:val="clear" w:color="auto" w:fill="auto"/>
            <w:noWrap/>
            <w:vAlign w:val="bottom"/>
            <w:hideMark/>
          </w:tcPr>
          <w:p w14:paraId="4B6BD63B"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16 358</w:t>
            </w:r>
          </w:p>
        </w:tc>
        <w:tc>
          <w:tcPr>
            <w:tcW w:w="0" w:type="auto"/>
            <w:tcBorders>
              <w:top w:val="nil"/>
              <w:left w:val="nil"/>
              <w:bottom w:val="single" w:sz="4" w:space="0" w:color="auto"/>
              <w:right w:val="single" w:sz="4" w:space="0" w:color="auto"/>
            </w:tcBorders>
            <w:shd w:val="clear" w:color="auto" w:fill="auto"/>
            <w:noWrap/>
            <w:vAlign w:val="bottom"/>
            <w:hideMark/>
          </w:tcPr>
          <w:p w14:paraId="030676FF"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2 384</w:t>
            </w:r>
          </w:p>
        </w:tc>
        <w:tc>
          <w:tcPr>
            <w:tcW w:w="0" w:type="auto"/>
            <w:tcBorders>
              <w:top w:val="nil"/>
              <w:left w:val="nil"/>
              <w:bottom w:val="single" w:sz="4" w:space="0" w:color="auto"/>
              <w:right w:val="single" w:sz="4" w:space="0" w:color="auto"/>
            </w:tcBorders>
            <w:shd w:val="clear" w:color="auto" w:fill="auto"/>
            <w:noWrap/>
            <w:vAlign w:val="bottom"/>
            <w:hideMark/>
          </w:tcPr>
          <w:p w14:paraId="2A0FB4C8"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272</w:t>
            </w:r>
          </w:p>
        </w:tc>
        <w:tc>
          <w:tcPr>
            <w:tcW w:w="0" w:type="auto"/>
            <w:tcBorders>
              <w:top w:val="nil"/>
              <w:left w:val="nil"/>
              <w:bottom w:val="single" w:sz="4" w:space="0" w:color="auto"/>
              <w:right w:val="single" w:sz="4" w:space="0" w:color="auto"/>
            </w:tcBorders>
            <w:shd w:val="clear" w:color="auto" w:fill="auto"/>
            <w:noWrap/>
            <w:vAlign w:val="bottom"/>
            <w:hideMark/>
          </w:tcPr>
          <w:p w14:paraId="37973394"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single" w:sz="4" w:space="0" w:color="auto"/>
            </w:tcBorders>
            <w:shd w:val="clear" w:color="auto" w:fill="auto"/>
            <w:noWrap/>
            <w:vAlign w:val="bottom"/>
            <w:hideMark/>
          </w:tcPr>
          <w:p w14:paraId="3EA273DB"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nil"/>
            </w:tcBorders>
            <w:shd w:val="clear" w:color="auto" w:fill="auto"/>
            <w:noWrap/>
            <w:vAlign w:val="bottom"/>
            <w:hideMark/>
          </w:tcPr>
          <w:p w14:paraId="79437026"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2B32489C"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1 519 034</w:t>
            </w:r>
          </w:p>
        </w:tc>
      </w:tr>
      <w:tr w:rsidR="003E0F58" w:rsidRPr="005753FE" w14:paraId="1E95451C" w14:textId="77777777" w:rsidTr="004D2249">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14FEC183"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18</w:t>
            </w:r>
          </w:p>
        </w:tc>
        <w:tc>
          <w:tcPr>
            <w:tcW w:w="0" w:type="auto"/>
            <w:tcBorders>
              <w:top w:val="nil"/>
              <w:left w:val="nil"/>
              <w:bottom w:val="single" w:sz="4" w:space="0" w:color="auto"/>
              <w:right w:val="single" w:sz="4" w:space="0" w:color="auto"/>
            </w:tcBorders>
            <w:shd w:val="clear" w:color="auto" w:fill="auto"/>
            <w:noWrap/>
            <w:vAlign w:val="bottom"/>
            <w:hideMark/>
          </w:tcPr>
          <w:p w14:paraId="0C5280E8"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644 517</w:t>
            </w:r>
          </w:p>
        </w:tc>
        <w:tc>
          <w:tcPr>
            <w:tcW w:w="0" w:type="auto"/>
            <w:tcBorders>
              <w:top w:val="nil"/>
              <w:left w:val="nil"/>
              <w:bottom w:val="single" w:sz="4" w:space="0" w:color="auto"/>
              <w:right w:val="single" w:sz="4" w:space="0" w:color="auto"/>
            </w:tcBorders>
            <w:shd w:val="clear" w:color="auto" w:fill="auto"/>
            <w:noWrap/>
            <w:vAlign w:val="bottom"/>
            <w:hideMark/>
          </w:tcPr>
          <w:p w14:paraId="5427EE3D"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196 317</w:t>
            </w:r>
          </w:p>
        </w:tc>
        <w:tc>
          <w:tcPr>
            <w:tcW w:w="0" w:type="auto"/>
            <w:tcBorders>
              <w:top w:val="nil"/>
              <w:left w:val="nil"/>
              <w:bottom w:val="single" w:sz="4" w:space="0" w:color="auto"/>
              <w:right w:val="single" w:sz="4" w:space="0" w:color="auto"/>
            </w:tcBorders>
            <w:shd w:val="clear" w:color="auto" w:fill="auto"/>
            <w:noWrap/>
            <w:vAlign w:val="bottom"/>
            <w:hideMark/>
          </w:tcPr>
          <w:p w14:paraId="1AEB8F93"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83 439</w:t>
            </w:r>
          </w:p>
        </w:tc>
        <w:tc>
          <w:tcPr>
            <w:tcW w:w="0" w:type="auto"/>
            <w:tcBorders>
              <w:top w:val="nil"/>
              <w:left w:val="nil"/>
              <w:bottom w:val="single" w:sz="4" w:space="0" w:color="auto"/>
              <w:right w:val="single" w:sz="4" w:space="0" w:color="auto"/>
            </w:tcBorders>
            <w:shd w:val="clear" w:color="auto" w:fill="auto"/>
            <w:noWrap/>
            <w:vAlign w:val="bottom"/>
            <w:hideMark/>
          </w:tcPr>
          <w:p w14:paraId="59EFC614"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19 901</w:t>
            </w:r>
          </w:p>
        </w:tc>
        <w:tc>
          <w:tcPr>
            <w:tcW w:w="0" w:type="auto"/>
            <w:tcBorders>
              <w:top w:val="nil"/>
              <w:left w:val="nil"/>
              <w:bottom w:val="single" w:sz="4" w:space="0" w:color="auto"/>
              <w:right w:val="single" w:sz="4" w:space="0" w:color="auto"/>
            </w:tcBorders>
            <w:shd w:val="clear" w:color="auto" w:fill="auto"/>
            <w:noWrap/>
            <w:vAlign w:val="bottom"/>
            <w:hideMark/>
          </w:tcPr>
          <w:p w14:paraId="5E8ED8A3"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1 211</w:t>
            </w:r>
          </w:p>
        </w:tc>
        <w:tc>
          <w:tcPr>
            <w:tcW w:w="0" w:type="auto"/>
            <w:tcBorders>
              <w:top w:val="nil"/>
              <w:left w:val="nil"/>
              <w:bottom w:val="single" w:sz="4" w:space="0" w:color="auto"/>
              <w:right w:val="single" w:sz="4" w:space="0" w:color="auto"/>
            </w:tcBorders>
            <w:shd w:val="clear" w:color="auto" w:fill="auto"/>
            <w:noWrap/>
            <w:vAlign w:val="bottom"/>
            <w:hideMark/>
          </w:tcPr>
          <w:p w14:paraId="2919CA38"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17</w:t>
            </w:r>
          </w:p>
        </w:tc>
        <w:tc>
          <w:tcPr>
            <w:tcW w:w="0" w:type="auto"/>
            <w:tcBorders>
              <w:top w:val="nil"/>
              <w:left w:val="nil"/>
              <w:bottom w:val="single" w:sz="4" w:space="0" w:color="auto"/>
              <w:right w:val="single" w:sz="4" w:space="0" w:color="auto"/>
            </w:tcBorders>
            <w:shd w:val="clear" w:color="auto" w:fill="auto"/>
            <w:noWrap/>
            <w:vAlign w:val="bottom"/>
            <w:hideMark/>
          </w:tcPr>
          <w:p w14:paraId="5D6F9A7D"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28</w:t>
            </w:r>
          </w:p>
        </w:tc>
        <w:tc>
          <w:tcPr>
            <w:tcW w:w="0" w:type="auto"/>
            <w:tcBorders>
              <w:top w:val="nil"/>
              <w:left w:val="nil"/>
              <w:bottom w:val="single" w:sz="4" w:space="0" w:color="auto"/>
              <w:right w:val="nil"/>
            </w:tcBorders>
            <w:shd w:val="clear" w:color="auto" w:fill="auto"/>
            <w:noWrap/>
            <w:vAlign w:val="bottom"/>
            <w:hideMark/>
          </w:tcPr>
          <w:p w14:paraId="1D868694"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13</w:t>
            </w:r>
          </w:p>
        </w:tc>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4CE59516"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945 443</w:t>
            </w:r>
          </w:p>
        </w:tc>
      </w:tr>
      <w:tr w:rsidR="003E0F58" w:rsidRPr="005753FE" w14:paraId="7460D10A" w14:textId="77777777" w:rsidTr="004D2249">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5F890E06"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19</w:t>
            </w:r>
          </w:p>
        </w:tc>
        <w:tc>
          <w:tcPr>
            <w:tcW w:w="0" w:type="auto"/>
            <w:tcBorders>
              <w:top w:val="nil"/>
              <w:left w:val="nil"/>
              <w:bottom w:val="single" w:sz="4" w:space="0" w:color="auto"/>
              <w:right w:val="single" w:sz="4" w:space="0" w:color="auto"/>
            </w:tcBorders>
            <w:shd w:val="clear" w:color="auto" w:fill="auto"/>
            <w:noWrap/>
            <w:vAlign w:val="bottom"/>
            <w:hideMark/>
          </w:tcPr>
          <w:p w14:paraId="27EBE7A1"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204 219</w:t>
            </w:r>
          </w:p>
        </w:tc>
        <w:tc>
          <w:tcPr>
            <w:tcW w:w="0" w:type="auto"/>
            <w:tcBorders>
              <w:top w:val="nil"/>
              <w:left w:val="nil"/>
              <w:bottom w:val="single" w:sz="4" w:space="0" w:color="auto"/>
              <w:right w:val="single" w:sz="4" w:space="0" w:color="auto"/>
            </w:tcBorders>
            <w:shd w:val="clear" w:color="auto" w:fill="auto"/>
            <w:noWrap/>
            <w:vAlign w:val="bottom"/>
            <w:hideMark/>
          </w:tcPr>
          <w:p w14:paraId="2021D119"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174 264</w:t>
            </w:r>
          </w:p>
        </w:tc>
        <w:tc>
          <w:tcPr>
            <w:tcW w:w="0" w:type="auto"/>
            <w:tcBorders>
              <w:top w:val="nil"/>
              <w:left w:val="nil"/>
              <w:bottom w:val="single" w:sz="4" w:space="0" w:color="auto"/>
              <w:right w:val="single" w:sz="4" w:space="0" w:color="auto"/>
            </w:tcBorders>
            <w:shd w:val="clear" w:color="auto" w:fill="auto"/>
            <w:noWrap/>
            <w:vAlign w:val="bottom"/>
            <w:hideMark/>
          </w:tcPr>
          <w:p w14:paraId="4C5F7C1B"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71 118</w:t>
            </w:r>
          </w:p>
        </w:tc>
        <w:tc>
          <w:tcPr>
            <w:tcW w:w="0" w:type="auto"/>
            <w:tcBorders>
              <w:top w:val="nil"/>
              <w:left w:val="nil"/>
              <w:bottom w:val="single" w:sz="4" w:space="0" w:color="auto"/>
              <w:right w:val="single" w:sz="4" w:space="0" w:color="auto"/>
            </w:tcBorders>
            <w:shd w:val="clear" w:color="auto" w:fill="auto"/>
            <w:noWrap/>
            <w:vAlign w:val="bottom"/>
            <w:hideMark/>
          </w:tcPr>
          <w:p w14:paraId="0628F15A"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14 752</w:t>
            </w:r>
          </w:p>
        </w:tc>
        <w:tc>
          <w:tcPr>
            <w:tcW w:w="0" w:type="auto"/>
            <w:tcBorders>
              <w:top w:val="nil"/>
              <w:left w:val="nil"/>
              <w:bottom w:val="single" w:sz="4" w:space="0" w:color="auto"/>
              <w:right w:val="single" w:sz="4" w:space="0" w:color="auto"/>
            </w:tcBorders>
            <w:shd w:val="clear" w:color="auto" w:fill="auto"/>
            <w:noWrap/>
            <w:vAlign w:val="bottom"/>
            <w:hideMark/>
          </w:tcPr>
          <w:p w14:paraId="6BBFBF7E"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1 979</w:t>
            </w:r>
          </w:p>
        </w:tc>
        <w:tc>
          <w:tcPr>
            <w:tcW w:w="0" w:type="auto"/>
            <w:tcBorders>
              <w:top w:val="nil"/>
              <w:left w:val="nil"/>
              <w:bottom w:val="single" w:sz="4" w:space="0" w:color="auto"/>
              <w:right w:val="single" w:sz="4" w:space="0" w:color="auto"/>
            </w:tcBorders>
            <w:shd w:val="clear" w:color="auto" w:fill="auto"/>
            <w:noWrap/>
            <w:vAlign w:val="bottom"/>
            <w:hideMark/>
          </w:tcPr>
          <w:p w14:paraId="36222EA6"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195</w:t>
            </w:r>
          </w:p>
        </w:tc>
        <w:tc>
          <w:tcPr>
            <w:tcW w:w="0" w:type="auto"/>
            <w:tcBorders>
              <w:top w:val="nil"/>
              <w:left w:val="nil"/>
              <w:bottom w:val="single" w:sz="4" w:space="0" w:color="auto"/>
              <w:right w:val="single" w:sz="4" w:space="0" w:color="auto"/>
            </w:tcBorders>
            <w:shd w:val="clear" w:color="auto" w:fill="auto"/>
            <w:noWrap/>
            <w:vAlign w:val="bottom"/>
            <w:hideMark/>
          </w:tcPr>
          <w:p w14:paraId="5864631B"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89</w:t>
            </w:r>
          </w:p>
        </w:tc>
        <w:tc>
          <w:tcPr>
            <w:tcW w:w="0" w:type="auto"/>
            <w:tcBorders>
              <w:top w:val="nil"/>
              <w:left w:val="nil"/>
              <w:bottom w:val="single" w:sz="4" w:space="0" w:color="auto"/>
              <w:right w:val="nil"/>
            </w:tcBorders>
            <w:shd w:val="clear" w:color="auto" w:fill="auto"/>
            <w:noWrap/>
            <w:vAlign w:val="bottom"/>
            <w:hideMark/>
          </w:tcPr>
          <w:p w14:paraId="1E3AE39E"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28</w:t>
            </w:r>
          </w:p>
        </w:tc>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543AF1F3"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466 645</w:t>
            </w:r>
          </w:p>
        </w:tc>
      </w:tr>
      <w:tr w:rsidR="003E0F58" w:rsidRPr="005753FE" w14:paraId="03BDA849" w14:textId="77777777" w:rsidTr="004D2249">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41405DB3"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20</w:t>
            </w:r>
          </w:p>
        </w:tc>
        <w:tc>
          <w:tcPr>
            <w:tcW w:w="0" w:type="auto"/>
            <w:tcBorders>
              <w:top w:val="nil"/>
              <w:left w:val="nil"/>
              <w:bottom w:val="single" w:sz="4" w:space="0" w:color="auto"/>
              <w:right w:val="single" w:sz="4" w:space="0" w:color="auto"/>
            </w:tcBorders>
            <w:shd w:val="clear" w:color="auto" w:fill="auto"/>
            <w:noWrap/>
            <w:vAlign w:val="bottom"/>
            <w:hideMark/>
          </w:tcPr>
          <w:p w14:paraId="5D57799C"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175 181</w:t>
            </w:r>
          </w:p>
        </w:tc>
        <w:tc>
          <w:tcPr>
            <w:tcW w:w="0" w:type="auto"/>
            <w:tcBorders>
              <w:top w:val="nil"/>
              <w:left w:val="nil"/>
              <w:bottom w:val="single" w:sz="4" w:space="0" w:color="auto"/>
              <w:right w:val="single" w:sz="4" w:space="0" w:color="auto"/>
            </w:tcBorders>
            <w:shd w:val="clear" w:color="auto" w:fill="auto"/>
            <w:noWrap/>
            <w:vAlign w:val="bottom"/>
            <w:hideMark/>
          </w:tcPr>
          <w:p w14:paraId="7FE150DA"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44 903</w:t>
            </w:r>
          </w:p>
        </w:tc>
        <w:tc>
          <w:tcPr>
            <w:tcW w:w="0" w:type="auto"/>
            <w:tcBorders>
              <w:top w:val="nil"/>
              <w:left w:val="nil"/>
              <w:bottom w:val="single" w:sz="4" w:space="0" w:color="auto"/>
              <w:right w:val="single" w:sz="4" w:space="0" w:color="auto"/>
            </w:tcBorders>
            <w:shd w:val="clear" w:color="auto" w:fill="auto"/>
            <w:noWrap/>
            <w:vAlign w:val="bottom"/>
            <w:hideMark/>
          </w:tcPr>
          <w:p w14:paraId="01E7ACB7"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5 812</w:t>
            </w:r>
          </w:p>
        </w:tc>
        <w:tc>
          <w:tcPr>
            <w:tcW w:w="0" w:type="auto"/>
            <w:tcBorders>
              <w:top w:val="nil"/>
              <w:left w:val="nil"/>
              <w:bottom w:val="single" w:sz="4" w:space="0" w:color="auto"/>
              <w:right w:val="single" w:sz="4" w:space="0" w:color="auto"/>
            </w:tcBorders>
            <w:shd w:val="clear" w:color="auto" w:fill="auto"/>
            <w:noWrap/>
            <w:vAlign w:val="bottom"/>
            <w:hideMark/>
          </w:tcPr>
          <w:p w14:paraId="2FD9A327"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376</w:t>
            </w:r>
          </w:p>
        </w:tc>
        <w:tc>
          <w:tcPr>
            <w:tcW w:w="0" w:type="auto"/>
            <w:tcBorders>
              <w:top w:val="nil"/>
              <w:left w:val="nil"/>
              <w:bottom w:val="single" w:sz="4" w:space="0" w:color="auto"/>
              <w:right w:val="single" w:sz="4" w:space="0" w:color="auto"/>
            </w:tcBorders>
            <w:shd w:val="clear" w:color="auto" w:fill="auto"/>
            <w:noWrap/>
            <w:vAlign w:val="bottom"/>
            <w:hideMark/>
          </w:tcPr>
          <w:p w14:paraId="4B54CB43"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single" w:sz="4" w:space="0" w:color="auto"/>
            </w:tcBorders>
            <w:shd w:val="clear" w:color="auto" w:fill="auto"/>
            <w:noWrap/>
            <w:vAlign w:val="bottom"/>
            <w:hideMark/>
          </w:tcPr>
          <w:p w14:paraId="0F06ADBF"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single" w:sz="4" w:space="0" w:color="auto"/>
            </w:tcBorders>
            <w:shd w:val="clear" w:color="auto" w:fill="auto"/>
            <w:noWrap/>
            <w:vAlign w:val="bottom"/>
            <w:hideMark/>
          </w:tcPr>
          <w:p w14:paraId="0E443B27"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nil"/>
            </w:tcBorders>
            <w:shd w:val="clear" w:color="auto" w:fill="auto"/>
            <w:noWrap/>
            <w:vAlign w:val="bottom"/>
            <w:hideMark/>
          </w:tcPr>
          <w:p w14:paraId="6A9DF492"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48BC8817"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226 272</w:t>
            </w:r>
          </w:p>
        </w:tc>
      </w:tr>
      <w:tr w:rsidR="003E0F58" w:rsidRPr="005753FE" w14:paraId="4C293322" w14:textId="77777777" w:rsidTr="004D2249">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1DEDA867"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21</w:t>
            </w:r>
          </w:p>
        </w:tc>
        <w:tc>
          <w:tcPr>
            <w:tcW w:w="0" w:type="auto"/>
            <w:tcBorders>
              <w:top w:val="nil"/>
              <w:left w:val="nil"/>
              <w:bottom w:val="single" w:sz="4" w:space="0" w:color="auto"/>
              <w:right w:val="single" w:sz="4" w:space="0" w:color="auto"/>
            </w:tcBorders>
            <w:shd w:val="clear" w:color="auto" w:fill="auto"/>
            <w:noWrap/>
            <w:vAlign w:val="bottom"/>
            <w:hideMark/>
          </w:tcPr>
          <w:p w14:paraId="41622D84"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170 022</w:t>
            </w:r>
          </w:p>
        </w:tc>
        <w:tc>
          <w:tcPr>
            <w:tcW w:w="0" w:type="auto"/>
            <w:tcBorders>
              <w:top w:val="nil"/>
              <w:left w:val="nil"/>
              <w:bottom w:val="single" w:sz="4" w:space="0" w:color="auto"/>
              <w:right w:val="single" w:sz="4" w:space="0" w:color="auto"/>
            </w:tcBorders>
            <w:shd w:val="clear" w:color="auto" w:fill="auto"/>
            <w:noWrap/>
            <w:vAlign w:val="bottom"/>
            <w:hideMark/>
          </w:tcPr>
          <w:p w14:paraId="6E790056"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235 767</w:t>
            </w:r>
          </w:p>
        </w:tc>
        <w:tc>
          <w:tcPr>
            <w:tcW w:w="0" w:type="auto"/>
            <w:tcBorders>
              <w:top w:val="nil"/>
              <w:left w:val="nil"/>
              <w:bottom w:val="single" w:sz="4" w:space="0" w:color="auto"/>
              <w:right w:val="single" w:sz="4" w:space="0" w:color="auto"/>
            </w:tcBorders>
            <w:shd w:val="clear" w:color="auto" w:fill="auto"/>
            <w:noWrap/>
            <w:vAlign w:val="bottom"/>
            <w:hideMark/>
          </w:tcPr>
          <w:p w14:paraId="330EC5D9"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128 787</w:t>
            </w:r>
          </w:p>
        </w:tc>
        <w:tc>
          <w:tcPr>
            <w:tcW w:w="0" w:type="auto"/>
            <w:tcBorders>
              <w:top w:val="nil"/>
              <w:left w:val="nil"/>
              <w:bottom w:val="single" w:sz="4" w:space="0" w:color="auto"/>
              <w:right w:val="single" w:sz="4" w:space="0" w:color="auto"/>
            </w:tcBorders>
            <w:shd w:val="clear" w:color="auto" w:fill="auto"/>
            <w:noWrap/>
            <w:vAlign w:val="bottom"/>
            <w:hideMark/>
          </w:tcPr>
          <w:p w14:paraId="58C8F12B"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46 281</w:t>
            </w:r>
          </w:p>
        </w:tc>
        <w:tc>
          <w:tcPr>
            <w:tcW w:w="0" w:type="auto"/>
            <w:tcBorders>
              <w:top w:val="nil"/>
              <w:left w:val="nil"/>
              <w:bottom w:val="single" w:sz="4" w:space="0" w:color="auto"/>
              <w:right w:val="single" w:sz="4" w:space="0" w:color="auto"/>
            </w:tcBorders>
            <w:shd w:val="clear" w:color="auto" w:fill="auto"/>
            <w:noWrap/>
            <w:vAlign w:val="bottom"/>
            <w:hideMark/>
          </w:tcPr>
          <w:p w14:paraId="2FD8E892"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3 122</w:t>
            </w:r>
          </w:p>
        </w:tc>
        <w:tc>
          <w:tcPr>
            <w:tcW w:w="0" w:type="auto"/>
            <w:tcBorders>
              <w:top w:val="nil"/>
              <w:left w:val="nil"/>
              <w:bottom w:val="single" w:sz="4" w:space="0" w:color="auto"/>
              <w:right w:val="single" w:sz="4" w:space="0" w:color="auto"/>
            </w:tcBorders>
            <w:shd w:val="clear" w:color="auto" w:fill="auto"/>
            <w:noWrap/>
            <w:vAlign w:val="bottom"/>
            <w:hideMark/>
          </w:tcPr>
          <w:p w14:paraId="2F5EFCBC"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single" w:sz="4" w:space="0" w:color="auto"/>
            </w:tcBorders>
            <w:shd w:val="clear" w:color="auto" w:fill="auto"/>
            <w:noWrap/>
            <w:vAlign w:val="bottom"/>
            <w:hideMark/>
          </w:tcPr>
          <w:p w14:paraId="6A128E03"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nil"/>
            </w:tcBorders>
            <w:shd w:val="clear" w:color="auto" w:fill="auto"/>
            <w:noWrap/>
            <w:vAlign w:val="bottom"/>
            <w:hideMark/>
          </w:tcPr>
          <w:p w14:paraId="64DF017F"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5A49615E"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583 978</w:t>
            </w:r>
          </w:p>
        </w:tc>
      </w:tr>
      <w:tr w:rsidR="003E0F58" w:rsidRPr="005753FE" w14:paraId="5038E74A" w14:textId="77777777" w:rsidTr="004D2249">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639B6CFA"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22</w:t>
            </w:r>
          </w:p>
        </w:tc>
        <w:tc>
          <w:tcPr>
            <w:tcW w:w="0" w:type="auto"/>
            <w:tcBorders>
              <w:top w:val="nil"/>
              <w:left w:val="nil"/>
              <w:bottom w:val="single" w:sz="4" w:space="0" w:color="auto"/>
              <w:right w:val="single" w:sz="4" w:space="0" w:color="auto"/>
            </w:tcBorders>
            <w:shd w:val="clear" w:color="auto" w:fill="auto"/>
            <w:noWrap/>
            <w:vAlign w:val="bottom"/>
            <w:hideMark/>
          </w:tcPr>
          <w:p w14:paraId="5CB0938D"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37 551</w:t>
            </w:r>
          </w:p>
        </w:tc>
        <w:tc>
          <w:tcPr>
            <w:tcW w:w="0" w:type="auto"/>
            <w:tcBorders>
              <w:top w:val="nil"/>
              <w:left w:val="nil"/>
              <w:bottom w:val="single" w:sz="4" w:space="0" w:color="auto"/>
              <w:right w:val="single" w:sz="4" w:space="0" w:color="auto"/>
            </w:tcBorders>
            <w:shd w:val="clear" w:color="auto" w:fill="auto"/>
            <w:noWrap/>
            <w:vAlign w:val="bottom"/>
            <w:hideMark/>
          </w:tcPr>
          <w:p w14:paraId="7D19752A"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127 842</w:t>
            </w:r>
          </w:p>
        </w:tc>
        <w:tc>
          <w:tcPr>
            <w:tcW w:w="0" w:type="auto"/>
            <w:tcBorders>
              <w:top w:val="nil"/>
              <w:left w:val="nil"/>
              <w:bottom w:val="single" w:sz="4" w:space="0" w:color="auto"/>
              <w:right w:val="single" w:sz="4" w:space="0" w:color="auto"/>
            </w:tcBorders>
            <w:shd w:val="clear" w:color="auto" w:fill="auto"/>
            <w:noWrap/>
            <w:vAlign w:val="bottom"/>
            <w:hideMark/>
          </w:tcPr>
          <w:p w14:paraId="54B0D081"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222 501</w:t>
            </w:r>
          </w:p>
        </w:tc>
        <w:tc>
          <w:tcPr>
            <w:tcW w:w="0" w:type="auto"/>
            <w:tcBorders>
              <w:top w:val="nil"/>
              <w:left w:val="nil"/>
              <w:bottom w:val="single" w:sz="4" w:space="0" w:color="auto"/>
              <w:right w:val="single" w:sz="4" w:space="0" w:color="auto"/>
            </w:tcBorders>
            <w:shd w:val="clear" w:color="auto" w:fill="auto"/>
            <w:noWrap/>
            <w:vAlign w:val="bottom"/>
            <w:hideMark/>
          </w:tcPr>
          <w:p w14:paraId="1E3BD5A2"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125 487</w:t>
            </w:r>
          </w:p>
        </w:tc>
        <w:tc>
          <w:tcPr>
            <w:tcW w:w="0" w:type="auto"/>
            <w:tcBorders>
              <w:top w:val="nil"/>
              <w:left w:val="nil"/>
              <w:bottom w:val="single" w:sz="4" w:space="0" w:color="auto"/>
              <w:right w:val="single" w:sz="4" w:space="0" w:color="auto"/>
            </w:tcBorders>
            <w:shd w:val="clear" w:color="auto" w:fill="auto"/>
            <w:noWrap/>
            <w:vAlign w:val="bottom"/>
            <w:hideMark/>
          </w:tcPr>
          <w:p w14:paraId="787F697C"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13 013</w:t>
            </w:r>
          </w:p>
        </w:tc>
        <w:tc>
          <w:tcPr>
            <w:tcW w:w="0" w:type="auto"/>
            <w:tcBorders>
              <w:top w:val="nil"/>
              <w:left w:val="nil"/>
              <w:bottom w:val="single" w:sz="4" w:space="0" w:color="auto"/>
              <w:right w:val="single" w:sz="4" w:space="0" w:color="auto"/>
            </w:tcBorders>
            <w:shd w:val="clear" w:color="auto" w:fill="auto"/>
            <w:noWrap/>
            <w:vAlign w:val="bottom"/>
            <w:hideMark/>
          </w:tcPr>
          <w:p w14:paraId="4AFEBEBF"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145</w:t>
            </w:r>
          </w:p>
        </w:tc>
        <w:tc>
          <w:tcPr>
            <w:tcW w:w="0" w:type="auto"/>
            <w:tcBorders>
              <w:top w:val="nil"/>
              <w:left w:val="nil"/>
              <w:bottom w:val="single" w:sz="4" w:space="0" w:color="auto"/>
              <w:right w:val="single" w:sz="4" w:space="0" w:color="auto"/>
            </w:tcBorders>
            <w:shd w:val="clear" w:color="auto" w:fill="auto"/>
            <w:noWrap/>
            <w:vAlign w:val="bottom"/>
            <w:hideMark/>
          </w:tcPr>
          <w:p w14:paraId="29E8733D"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nil"/>
            </w:tcBorders>
            <w:shd w:val="clear" w:color="auto" w:fill="auto"/>
            <w:noWrap/>
            <w:vAlign w:val="bottom"/>
            <w:hideMark/>
          </w:tcPr>
          <w:p w14:paraId="5599BA6F"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059214E9"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526 538</w:t>
            </w:r>
          </w:p>
        </w:tc>
      </w:tr>
      <w:tr w:rsidR="003E0F58" w:rsidRPr="005753FE" w14:paraId="6AE1B875" w14:textId="77777777" w:rsidTr="004D2249">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320DE803"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23</w:t>
            </w:r>
          </w:p>
        </w:tc>
        <w:tc>
          <w:tcPr>
            <w:tcW w:w="0" w:type="auto"/>
            <w:tcBorders>
              <w:top w:val="nil"/>
              <w:left w:val="nil"/>
              <w:bottom w:val="single" w:sz="4" w:space="0" w:color="auto"/>
              <w:right w:val="single" w:sz="4" w:space="0" w:color="auto"/>
            </w:tcBorders>
            <w:shd w:val="clear" w:color="auto" w:fill="auto"/>
            <w:noWrap/>
            <w:vAlign w:val="bottom"/>
            <w:hideMark/>
          </w:tcPr>
          <w:p w14:paraId="5A8A84AB"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286 970</w:t>
            </w:r>
          </w:p>
        </w:tc>
        <w:tc>
          <w:tcPr>
            <w:tcW w:w="0" w:type="auto"/>
            <w:tcBorders>
              <w:top w:val="nil"/>
              <w:left w:val="nil"/>
              <w:bottom w:val="single" w:sz="4" w:space="0" w:color="auto"/>
              <w:right w:val="single" w:sz="4" w:space="0" w:color="auto"/>
            </w:tcBorders>
            <w:shd w:val="clear" w:color="auto" w:fill="auto"/>
            <w:noWrap/>
            <w:vAlign w:val="bottom"/>
            <w:hideMark/>
          </w:tcPr>
          <w:p w14:paraId="0F107C33"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174 656</w:t>
            </w:r>
          </w:p>
        </w:tc>
        <w:tc>
          <w:tcPr>
            <w:tcW w:w="0" w:type="auto"/>
            <w:tcBorders>
              <w:top w:val="nil"/>
              <w:left w:val="nil"/>
              <w:bottom w:val="single" w:sz="4" w:space="0" w:color="auto"/>
              <w:right w:val="single" w:sz="4" w:space="0" w:color="auto"/>
            </w:tcBorders>
            <w:shd w:val="clear" w:color="auto" w:fill="auto"/>
            <w:noWrap/>
            <w:vAlign w:val="bottom"/>
            <w:hideMark/>
          </w:tcPr>
          <w:p w14:paraId="06796F79"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77 812</w:t>
            </w:r>
          </w:p>
        </w:tc>
        <w:tc>
          <w:tcPr>
            <w:tcW w:w="0" w:type="auto"/>
            <w:tcBorders>
              <w:top w:val="nil"/>
              <w:left w:val="nil"/>
              <w:bottom w:val="single" w:sz="4" w:space="0" w:color="auto"/>
              <w:right w:val="single" w:sz="4" w:space="0" w:color="auto"/>
            </w:tcBorders>
            <w:shd w:val="clear" w:color="auto" w:fill="auto"/>
            <w:noWrap/>
            <w:vAlign w:val="bottom"/>
            <w:hideMark/>
          </w:tcPr>
          <w:p w14:paraId="7BB6183F"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18 588</w:t>
            </w:r>
          </w:p>
        </w:tc>
        <w:tc>
          <w:tcPr>
            <w:tcW w:w="0" w:type="auto"/>
            <w:tcBorders>
              <w:top w:val="nil"/>
              <w:left w:val="nil"/>
              <w:bottom w:val="single" w:sz="4" w:space="0" w:color="auto"/>
              <w:right w:val="single" w:sz="4" w:space="0" w:color="auto"/>
            </w:tcBorders>
            <w:shd w:val="clear" w:color="auto" w:fill="auto"/>
            <w:noWrap/>
            <w:vAlign w:val="bottom"/>
            <w:hideMark/>
          </w:tcPr>
          <w:p w14:paraId="13CD17EF"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643</w:t>
            </w:r>
          </w:p>
        </w:tc>
        <w:tc>
          <w:tcPr>
            <w:tcW w:w="0" w:type="auto"/>
            <w:tcBorders>
              <w:top w:val="nil"/>
              <w:left w:val="nil"/>
              <w:bottom w:val="single" w:sz="4" w:space="0" w:color="auto"/>
              <w:right w:val="single" w:sz="4" w:space="0" w:color="auto"/>
            </w:tcBorders>
            <w:shd w:val="clear" w:color="auto" w:fill="auto"/>
            <w:noWrap/>
            <w:vAlign w:val="bottom"/>
            <w:hideMark/>
          </w:tcPr>
          <w:p w14:paraId="3E1BE6CB"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single" w:sz="4" w:space="0" w:color="auto"/>
            </w:tcBorders>
            <w:shd w:val="clear" w:color="auto" w:fill="auto"/>
            <w:noWrap/>
            <w:vAlign w:val="bottom"/>
            <w:hideMark/>
          </w:tcPr>
          <w:p w14:paraId="4F71D1B6"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nil"/>
            </w:tcBorders>
            <w:shd w:val="clear" w:color="auto" w:fill="auto"/>
            <w:noWrap/>
            <w:vAlign w:val="bottom"/>
            <w:hideMark/>
          </w:tcPr>
          <w:p w14:paraId="5C871665"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45731461"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558 670</w:t>
            </w:r>
          </w:p>
        </w:tc>
      </w:tr>
      <w:tr w:rsidR="003E0F58" w:rsidRPr="005753FE" w14:paraId="43D56599" w14:textId="77777777" w:rsidTr="004D2249">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706E5DEE"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24</w:t>
            </w:r>
          </w:p>
        </w:tc>
        <w:tc>
          <w:tcPr>
            <w:tcW w:w="0" w:type="auto"/>
            <w:tcBorders>
              <w:top w:val="nil"/>
              <w:left w:val="nil"/>
              <w:bottom w:val="single" w:sz="4" w:space="0" w:color="auto"/>
              <w:right w:val="single" w:sz="4" w:space="0" w:color="auto"/>
            </w:tcBorders>
            <w:shd w:val="clear" w:color="auto" w:fill="auto"/>
            <w:noWrap/>
            <w:vAlign w:val="bottom"/>
            <w:hideMark/>
          </w:tcPr>
          <w:p w14:paraId="5516765C"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60 119</w:t>
            </w:r>
          </w:p>
        </w:tc>
        <w:tc>
          <w:tcPr>
            <w:tcW w:w="0" w:type="auto"/>
            <w:tcBorders>
              <w:top w:val="nil"/>
              <w:left w:val="nil"/>
              <w:bottom w:val="single" w:sz="4" w:space="0" w:color="auto"/>
              <w:right w:val="single" w:sz="4" w:space="0" w:color="auto"/>
            </w:tcBorders>
            <w:shd w:val="clear" w:color="auto" w:fill="auto"/>
            <w:noWrap/>
            <w:vAlign w:val="bottom"/>
            <w:hideMark/>
          </w:tcPr>
          <w:p w14:paraId="59C78DD9"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84 168</w:t>
            </w:r>
          </w:p>
        </w:tc>
        <w:tc>
          <w:tcPr>
            <w:tcW w:w="0" w:type="auto"/>
            <w:tcBorders>
              <w:top w:val="nil"/>
              <w:left w:val="nil"/>
              <w:bottom w:val="single" w:sz="4" w:space="0" w:color="auto"/>
              <w:right w:val="single" w:sz="4" w:space="0" w:color="auto"/>
            </w:tcBorders>
            <w:shd w:val="clear" w:color="auto" w:fill="auto"/>
            <w:noWrap/>
            <w:vAlign w:val="bottom"/>
            <w:hideMark/>
          </w:tcPr>
          <w:p w14:paraId="5799A349"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66 440</w:t>
            </w:r>
          </w:p>
        </w:tc>
        <w:tc>
          <w:tcPr>
            <w:tcW w:w="0" w:type="auto"/>
            <w:tcBorders>
              <w:top w:val="nil"/>
              <w:left w:val="nil"/>
              <w:bottom w:val="single" w:sz="4" w:space="0" w:color="auto"/>
              <w:right w:val="single" w:sz="4" w:space="0" w:color="auto"/>
            </w:tcBorders>
            <w:shd w:val="clear" w:color="auto" w:fill="auto"/>
            <w:noWrap/>
            <w:vAlign w:val="bottom"/>
            <w:hideMark/>
          </w:tcPr>
          <w:p w14:paraId="3C19FF1C"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22 660</w:t>
            </w:r>
          </w:p>
        </w:tc>
        <w:tc>
          <w:tcPr>
            <w:tcW w:w="0" w:type="auto"/>
            <w:tcBorders>
              <w:top w:val="nil"/>
              <w:left w:val="nil"/>
              <w:bottom w:val="single" w:sz="4" w:space="0" w:color="auto"/>
              <w:right w:val="single" w:sz="4" w:space="0" w:color="auto"/>
            </w:tcBorders>
            <w:shd w:val="clear" w:color="auto" w:fill="auto"/>
            <w:noWrap/>
            <w:vAlign w:val="bottom"/>
            <w:hideMark/>
          </w:tcPr>
          <w:p w14:paraId="4C5CBBF9"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2 110</w:t>
            </w:r>
          </w:p>
        </w:tc>
        <w:tc>
          <w:tcPr>
            <w:tcW w:w="0" w:type="auto"/>
            <w:tcBorders>
              <w:top w:val="nil"/>
              <w:left w:val="nil"/>
              <w:bottom w:val="single" w:sz="4" w:space="0" w:color="auto"/>
              <w:right w:val="single" w:sz="4" w:space="0" w:color="auto"/>
            </w:tcBorders>
            <w:shd w:val="clear" w:color="auto" w:fill="auto"/>
            <w:noWrap/>
            <w:vAlign w:val="bottom"/>
            <w:hideMark/>
          </w:tcPr>
          <w:p w14:paraId="1CA42164"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single" w:sz="4" w:space="0" w:color="auto"/>
            </w:tcBorders>
            <w:shd w:val="clear" w:color="auto" w:fill="auto"/>
            <w:noWrap/>
            <w:vAlign w:val="bottom"/>
            <w:hideMark/>
          </w:tcPr>
          <w:p w14:paraId="5FA1BC50"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nil"/>
            </w:tcBorders>
            <w:shd w:val="clear" w:color="auto" w:fill="auto"/>
            <w:noWrap/>
            <w:vAlign w:val="bottom"/>
            <w:hideMark/>
          </w:tcPr>
          <w:p w14:paraId="5AC231BC"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66FAEFFB"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235 497</w:t>
            </w:r>
          </w:p>
        </w:tc>
      </w:tr>
      <w:tr w:rsidR="003E0F58" w:rsidRPr="005753FE" w14:paraId="0B460FB2" w14:textId="77777777" w:rsidTr="004D2249">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6CA76A42"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25</w:t>
            </w:r>
          </w:p>
        </w:tc>
        <w:tc>
          <w:tcPr>
            <w:tcW w:w="0" w:type="auto"/>
            <w:tcBorders>
              <w:top w:val="nil"/>
              <w:left w:val="nil"/>
              <w:bottom w:val="single" w:sz="4" w:space="0" w:color="auto"/>
              <w:right w:val="single" w:sz="4" w:space="0" w:color="auto"/>
            </w:tcBorders>
            <w:shd w:val="clear" w:color="auto" w:fill="auto"/>
            <w:noWrap/>
            <w:vAlign w:val="bottom"/>
            <w:hideMark/>
          </w:tcPr>
          <w:p w14:paraId="6DA45159"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88 178</w:t>
            </w:r>
          </w:p>
        </w:tc>
        <w:tc>
          <w:tcPr>
            <w:tcW w:w="0" w:type="auto"/>
            <w:tcBorders>
              <w:top w:val="nil"/>
              <w:left w:val="nil"/>
              <w:bottom w:val="single" w:sz="4" w:space="0" w:color="auto"/>
              <w:right w:val="single" w:sz="4" w:space="0" w:color="auto"/>
            </w:tcBorders>
            <w:shd w:val="clear" w:color="auto" w:fill="auto"/>
            <w:noWrap/>
            <w:vAlign w:val="bottom"/>
            <w:hideMark/>
          </w:tcPr>
          <w:p w14:paraId="53D1A869"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172 543</w:t>
            </w:r>
          </w:p>
        </w:tc>
        <w:tc>
          <w:tcPr>
            <w:tcW w:w="0" w:type="auto"/>
            <w:tcBorders>
              <w:top w:val="nil"/>
              <w:left w:val="nil"/>
              <w:bottom w:val="single" w:sz="4" w:space="0" w:color="auto"/>
              <w:right w:val="single" w:sz="4" w:space="0" w:color="auto"/>
            </w:tcBorders>
            <w:shd w:val="clear" w:color="auto" w:fill="auto"/>
            <w:noWrap/>
            <w:vAlign w:val="bottom"/>
            <w:hideMark/>
          </w:tcPr>
          <w:p w14:paraId="2D369F55"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156 220</w:t>
            </w:r>
          </w:p>
        </w:tc>
        <w:tc>
          <w:tcPr>
            <w:tcW w:w="0" w:type="auto"/>
            <w:tcBorders>
              <w:top w:val="nil"/>
              <w:left w:val="nil"/>
              <w:bottom w:val="single" w:sz="4" w:space="0" w:color="auto"/>
              <w:right w:val="single" w:sz="4" w:space="0" w:color="auto"/>
            </w:tcBorders>
            <w:shd w:val="clear" w:color="auto" w:fill="auto"/>
            <w:noWrap/>
            <w:vAlign w:val="bottom"/>
            <w:hideMark/>
          </w:tcPr>
          <w:p w14:paraId="238B5BE5"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29 828</w:t>
            </w:r>
          </w:p>
        </w:tc>
        <w:tc>
          <w:tcPr>
            <w:tcW w:w="0" w:type="auto"/>
            <w:tcBorders>
              <w:top w:val="nil"/>
              <w:left w:val="nil"/>
              <w:bottom w:val="single" w:sz="4" w:space="0" w:color="auto"/>
              <w:right w:val="single" w:sz="4" w:space="0" w:color="auto"/>
            </w:tcBorders>
            <w:shd w:val="clear" w:color="auto" w:fill="auto"/>
            <w:noWrap/>
            <w:vAlign w:val="bottom"/>
            <w:hideMark/>
          </w:tcPr>
          <w:p w14:paraId="345115C4"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435</w:t>
            </w:r>
          </w:p>
        </w:tc>
        <w:tc>
          <w:tcPr>
            <w:tcW w:w="0" w:type="auto"/>
            <w:tcBorders>
              <w:top w:val="nil"/>
              <w:left w:val="nil"/>
              <w:bottom w:val="single" w:sz="4" w:space="0" w:color="auto"/>
              <w:right w:val="single" w:sz="4" w:space="0" w:color="auto"/>
            </w:tcBorders>
            <w:shd w:val="clear" w:color="auto" w:fill="auto"/>
            <w:noWrap/>
            <w:vAlign w:val="bottom"/>
            <w:hideMark/>
          </w:tcPr>
          <w:p w14:paraId="25BCD52C"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single" w:sz="4" w:space="0" w:color="auto"/>
            </w:tcBorders>
            <w:shd w:val="clear" w:color="auto" w:fill="auto"/>
            <w:noWrap/>
            <w:vAlign w:val="bottom"/>
            <w:hideMark/>
          </w:tcPr>
          <w:p w14:paraId="584AD213"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nil"/>
            </w:tcBorders>
            <w:shd w:val="clear" w:color="auto" w:fill="auto"/>
            <w:noWrap/>
            <w:vAlign w:val="bottom"/>
            <w:hideMark/>
          </w:tcPr>
          <w:p w14:paraId="4969FB9E"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01E6B8A4"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447 204</w:t>
            </w:r>
          </w:p>
        </w:tc>
      </w:tr>
      <w:tr w:rsidR="003E0F58" w:rsidRPr="005753FE" w14:paraId="2DF9D587" w14:textId="77777777" w:rsidTr="004D2249">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19D4E846"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26</w:t>
            </w:r>
          </w:p>
        </w:tc>
        <w:tc>
          <w:tcPr>
            <w:tcW w:w="0" w:type="auto"/>
            <w:tcBorders>
              <w:top w:val="nil"/>
              <w:left w:val="nil"/>
              <w:bottom w:val="single" w:sz="4" w:space="0" w:color="auto"/>
              <w:right w:val="single" w:sz="4" w:space="0" w:color="auto"/>
            </w:tcBorders>
            <w:shd w:val="clear" w:color="auto" w:fill="auto"/>
            <w:noWrap/>
            <w:vAlign w:val="bottom"/>
            <w:hideMark/>
          </w:tcPr>
          <w:p w14:paraId="17DF9047"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154 711</w:t>
            </w:r>
          </w:p>
        </w:tc>
        <w:tc>
          <w:tcPr>
            <w:tcW w:w="0" w:type="auto"/>
            <w:tcBorders>
              <w:top w:val="nil"/>
              <w:left w:val="nil"/>
              <w:bottom w:val="single" w:sz="4" w:space="0" w:color="auto"/>
              <w:right w:val="single" w:sz="4" w:space="0" w:color="auto"/>
            </w:tcBorders>
            <w:shd w:val="clear" w:color="auto" w:fill="auto"/>
            <w:noWrap/>
            <w:vAlign w:val="bottom"/>
            <w:hideMark/>
          </w:tcPr>
          <w:p w14:paraId="76AEA9A0"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98 607</w:t>
            </w:r>
          </w:p>
        </w:tc>
        <w:tc>
          <w:tcPr>
            <w:tcW w:w="0" w:type="auto"/>
            <w:tcBorders>
              <w:top w:val="nil"/>
              <w:left w:val="nil"/>
              <w:bottom w:val="single" w:sz="4" w:space="0" w:color="auto"/>
              <w:right w:val="single" w:sz="4" w:space="0" w:color="auto"/>
            </w:tcBorders>
            <w:shd w:val="clear" w:color="auto" w:fill="auto"/>
            <w:noWrap/>
            <w:vAlign w:val="bottom"/>
            <w:hideMark/>
          </w:tcPr>
          <w:p w14:paraId="25AE5FAB"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55 145</w:t>
            </w:r>
          </w:p>
        </w:tc>
        <w:tc>
          <w:tcPr>
            <w:tcW w:w="0" w:type="auto"/>
            <w:tcBorders>
              <w:top w:val="nil"/>
              <w:left w:val="nil"/>
              <w:bottom w:val="single" w:sz="4" w:space="0" w:color="auto"/>
              <w:right w:val="single" w:sz="4" w:space="0" w:color="auto"/>
            </w:tcBorders>
            <w:shd w:val="clear" w:color="auto" w:fill="auto"/>
            <w:noWrap/>
            <w:vAlign w:val="bottom"/>
            <w:hideMark/>
          </w:tcPr>
          <w:p w14:paraId="2D98DAA5"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20 216</w:t>
            </w:r>
          </w:p>
        </w:tc>
        <w:tc>
          <w:tcPr>
            <w:tcW w:w="0" w:type="auto"/>
            <w:tcBorders>
              <w:top w:val="nil"/>
              <w:left w:val="nil"/>
              <w:bottom w:val="single" w:sz="4" w:space="0" w:color="auto"/>
              <w:right w:val="single" w:sz="4" w:space="0" w:color="auto"/>
            </w:tcBorders>
            <w:shd w:val="clear" w:color="auto" w:fill="auto"/>
            <w:noWrap/>
            <w:vAlign w:val="bottom"/>
            <w:hideMark/>
          </w:tcPr>
          <w:p w14:paraId="5C08B645"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1 230</w:t>
            </w:r>
          </w:p>
        </w:tc>
        <w:tc>
          <w:tcPr>
            <w:tcW w:w="0" w:type="auto"/>
            <w:tcBorders>
              <w:top w:val="nil"/>
              <w:left w:val="nil"/>
              <w:bottom w:val="single" w:sz="4" w:space="0" w:color="auto"/>
              <w:right w:val="single" w:sz="4" w:space="0" w:color="auto"/>
            </w:tcBorders>
            <w:shd w:val="clear" w:color="auto" w:fill="auto"/>
            <w:noWrap/>
            <w:vAlign w:val="bottom"/>
            <w:hideMark/>
          </w:tcPr>
          <w:p w14:paraId="55455619"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single" w:sz="4" w:space="0" w:color="auto"/>
            </w:tcBorders>
            <w:shd w:val="clear" w:color="auto" w:fill="auto"/>
            <w:noWrap/>
            <w:vAlign w:val="bottom"/>
            <w:hideMark/>
          </w:tcPr>
          <w:p w14:paraId="6004DF89"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nil"/>
            </w:tcBorders>
            <w:shd w:val="clear" w:color="auto" w:fill="auto"/>
            <w:noWrap/>
            <w:vAlign w:val="bottom"/>
            <w:hideMark/>
          </w:tcPr>
          <w:p w14:paraId="36007E89"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4C031999"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329 909</w:t>
            </w:r>
          </w:p>
        </w:tc>
      </w:tr>
      <w:tr w:rsidR="003E0F58" w:rsidRPr="005753FE" w14:paraId="78B97A13" w14:textId="77777777" w:rsidTr="004D2249">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648178CD"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27</w:t>
            </w:r>
          </w:p>
        </w:tc>
        <w:tc>
          <w:tcPr>
            <w:tcW w:w="0" w:type="auto"/>
            <w:tcBorders>
              <w:top w:val="nil"/>
              <w:left w:val="nil"/>
              <w:bottom w:val="single" w:sz="4" w:space="0" w:color="auto"/>
              <w:right w:val="single" w:sz="4" w:space="0" w:color="auto"/>
            </w:tcBorders>
            <w:shd w:val="clear" w:color="auto" w:fill="auto"/>
            <w:noWrap/>
            <w:vAlign w:val="bottom"/>
            <w:hideMark/>
          </w:tcPr>
          <w:p w14:paraId="56044BBB"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85 452</w:t>
            </w:r>
          </w:p>
        </w:tc>
        <w:tc>
          <w:tcPr>
            <w:tcW w:w="0" w:type="auto"/>
            <w:tcBorders>
              <w:top w:val="nil"/>
              <w:left w:val="nil"/>
              <w:bottom w:val="single" w:sz="4" w:space="0" w:color="auto"/>
              <w:right w:val="single" w:sz="4" w:space="0" w:color="auto"/>
            </w:tcBorders>
            <w:shd w:val="clear" w:color="auto" w:fill="auto"/>
            <w:noWrap/>
            <w:vAlign w:val="bottom"/>
            <w:hideMark/>
          </w:tcPr>
          <w:p w14:paraId="7DDA170D"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247 555</w:t>
            </w:r>
          </w:p>
        </w:tc>
        <w:tc>
          <w:tcPr>
            <w:tcW w:w="0" w:type="auto"/>
            <w:tcBorders>
              <w:top w:val="nil"/>
              <w:left w:val="nil"/>
              <w:bottom w:val="single" w:sz="4" w:space="0" w:color="auto"/>
              <w:right w:val="single" w:sz="4" w:space="0" w:color="auto"/>
            </w:tcBorders>
            <w:shd w:val="clear" w:color="auto" w:fill="auto"/>
            <w:noWrap/>
            <w:vAlign w:val="bottom"/>
            <w:hideMark/>
          </w:tcPr>
          <w:p w14:paraId="32B350EC"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392 960</w:t>
            </w:r>
          </w:p>
        </w:tc>
        <w:tc>
          <w:tcPr>
            <w:tcW w:w="0" w:type="auto"/>
            <w:tcBorders>
              <w:top w:val="nil"/>
              <w:left w:val="nil"/>
              <w:bottom w:val="single" w:sz="4" w:space="0" w:color="auto"/>
              <w:right w:val="single" w:sz="4" w:space="0" w:color="auto"/>
            </w:tcBorders>
            <w:shd w:val="clear" w:color="auto" w:fill="auto"/>
            <w:noWrap/>
            <w:vAlign w:val="bottom"/>
            <w:hideMark/>
          </w:tcPr>
          <w:p w14:paraId="243449AC"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279 373</w:t>
            </w:r>
          </w:p>
        </w:tc>
        <w:tc>
          <w:tcPr>
            <w:tcW w:w="0" w:type="auto"/>
            <w:tcBorders>
              <w:top w:val="nil"/>
              <w:left w:val="nil"/>
              <w:bottom w:val="single" w:sz="4" w:space="0" w:color="auto"/>
              <w:right w:val="single" w:sz="4" w:space="0" w:color="auto"/>
            </w:tcBorders>
            <w:shd w:val="clear" w:color="auto" w:fill="auto"/>
            <w:noWrap/>
            <w:vAlign w:val="bottom"/>
            <w:hideMark/>
          </w:tcPr>
          <w:p w14:paraId="04FB2075"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60 822</w:t>
            </w:r>
          </w:p>
        </w:tc>
        <w:tc>
          <w:tcPr>
            <w:tcW w:w="0" w:type="auto"/>
            <w:tcBorders>
              <w:top w:val="nil"/>
              <w:left w:val="nil"/>
              <w:bottom w:val="single" w:sz="4" w:space="0" w:color="auto"/>
              <w:right w:val="single" w:sz="4" w:space="0" w:color="auto"/>
            </w:tcBorders>
            <w:shd w:val="clear" w:color="auto" w:fill="auto"/>
            <w:noWrap/>
            <w:vAlign w:val="bottom"/>
            <w:hideMark/>
          </w:tcPr>
          <w:p w14:paraId="3118DB3B"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2 659</w:t>
            </w:r>
          </w:p>
        </w:tc>
        <w:tc>
          <w:tcPr>
            <w:tcW w:w="0" w:type="auto"/>
            <w:tcBorders>
              <w:top w:val="nil"/>
              <w:left w:val="nil"/>
              <w:bottom w:val="single" w:sz="4" w:space="0" w:color="auto"/>
              <w:right w:val="single" w:sz="4" w:space="0" w:color="auto"/>
            </w:tcBorders>
            <w:shd w:val="clear" w:color="auto" w:fill="auto"/>
            <w:noWrap/>
            <w:vAlign w:val="bottom"/>
            <w:hideMark/>
          </w:tcPr>
          <w:p w14:paraId="219F3F27"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239</w:t>
            </w:r>
          </w:p>
        </w:tc>
        <w:tc>
          <w:tcPr>
            <w:tcW w:w="0" w:type="auto"/>
            <w:tcBorders>
              <w:top w:val="nil"/>
              <w:left w:val="nil"/>
              <w:bottom w:val="single" w:sz="4" w:space="0" w:color="auto"/>
              <w:right w:val="nil"/>
            </w:tcBorders>
            <w:shd w:val="clear" w:color="auto" w:fill="auto"/>
            <w:noWrap/>
            <w:vAlign w:val="bottom"/>
            <w:hideMark/>
          </w:tcPr>
          <w:p w14:paraId="7546710A"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2A6B7D7A"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1 069 060</w:t>
            </w:r>
          </w:p>
        </w:tc>
      </w:tr>
      <w:tr w:rsidR="003E0F58" w:rsidRPr="005753FE" w14:paraId="622E7DB0" w14:textId="77777777" w:rsidTr="004D2249">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7E8D130D"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28</w:t>
            </w:r>
          </w:p>
        </w:tc>
        <w:tc>
          <w:tcPr>
            <w:tcW w:w="0" w:type="auto"/>
            <w:tcBorders>
              <w:top w:val="nil"/>
              <w:left w:val="nil"/>
              <w:bottom w:val="single" w:sz="4" w:space="0" w:color="auto"/>
              <w:right w:val="single" w:sz="4" w:space="0" w:color="auto"/>
            </w:tcBorders>
            <w:shd w:val="clear" w:color="auto" w:fill="auto"/>
            <w:noWrap/>
            <w:vAlign w:val="bottom"/>
            <w:hideMark/>
          </w:tcPr>
          <w:p w14:paraId="0520C626"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229 402</w:t>
            </w:r>
          </w:p>
        </w:tc>
        <w:tc>
          <w:tcPr>
            <w:tcW w:w="0" w:type="auto"/>
            <w:tcBorders>
              <w:top w:val="nil"/>
              <w:left w:val="nil"/>
              <w:bottom w:val="single" w:sz="4" w:space="0" w:color="auto"/>
              <w:right w:val="single" w:sz="4" w:space="0" w:color="auto"/>
            </w:tcBorders>
            <w:shd w:val="clear" w:color="auto" w:fill="auto"/>
            <w:noWrap/>
            <w:vAlign w:val="bottom"/>
            <w:hideMark/>
          </w:tcPr>
          <w:p w14:paraId="555E4CFC"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557 148</w:t>
            </w:r>
          </w:p>
        </w:tc>
        <w:tc>
          <w:tcPr>
            <w:tcW w:w="0" w:type="auto"/>
            <w:tcBorders>
              <w:top w:val="nil"/>
              <w:left w:val="nil"/>
              <w:bottom w:val="single" w:sz="4" w:space="0" w:color="auto"/>
              <w:right w:val="single" w:sz="4" w:space="0" w:color="auto"/>
            </w:tcBorders>
            <w:shd w:val="clear" w:color="auto" w:fill="auto"/>
            <w:noWrap/>
            <w:vAlign w:val="bottom"/>
            <w:hideMark/>
          </w:tcPr>
          <w:p w14:paraId="1DBC4DB2"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619 170</w:t>
            </w:r>
          </w:p>
        </w:tc>
        <w:tc>
          <w:tcPr>
            <w:tcW w:w="0" w:type="auto"/>
            <w:tcBorders>
              <w:top w:val="nil"/>
              <w:left w:val="nil"/>
              <w:bottom w:val="single" w:sz="4" w:space="0" w:color="auto"/>
              <w:right w:val="single" w:sz="4" w:space="0" w:color="auto"/>
            </w:tcBorders>
            <w:shd w:val="clear" w:color="auto" w:fill="auto"/>
            <w:noWrap/>
            <w:vAlign w:val="bottom"/>
            <w:hideMark/>
          </w:tcPr>
          <w:p w14:paraId="5BFD5997"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227 862</w:t>
            </w:r>
          </w:p>
        </w:tc>
        <w:tc>
          <w:tcPr>
            <w:tcW w:w="0" w:type="auto"/>
            <w:tcBorders>
              <w:top w:val="nil"/>
              <w:left w:val="nil"/>
              <w:bottom w:val="single" w:sz="4" w:space="0" w:color="auto"/>
              <w:right w:val="single" w:sz="4" w:space="0" w:color="auto"/>
            </w:tcBorders>
            <w:shd w:val="clear" w:color="auto" w:fill="auto"/>
            <w:noWrap/>
            <w:vAlign w:val="bottom"/>
            <w:hideMark/>
          </w:tcPr>
          <w:p w14:paraId="2162CAFA"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15 893</w:t>
            </w:r>
          </w:p>
        </w:tc>
        <w:tc>
          <w:tcPr>
            <w:tcW w:w="0" w:type="auto"/>
            <w:tcBorders>
              <w:top w:val="nil"/>
              <w:left w:val="nil"/>
              <w:bottom w:val="single" w:sz="4" w:space="0" w:color="auto"/>
              <w:right w:val="single" w:sz="4" w:space="0" w:color="auto"/>
            </w:tcBorders>
            <w:shd w:val="clear" w:color="auto" w:fill="auto"/>
            <w:noWrap/>
            <w:vAlign w:val="bottom"/>
            <w:hideMark/>
          </w:tcPr>
          <w:p w14:paraId="6611997B"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94</w:t>
            </w:r>
          </w:p>
        </w:tc>
        <w:tc>
          <w:tcPr>
            <w:tcW w:w="0" w:type="auto"/>
            <w:tcBorders>
              <w:top w:val="nil"/>
              <w:left w:val="nil"/>
              <w:bottom w:val="single" w:sz="4" w:space="0" w:color="auto"/>
              <w:right w:val="single" w:sz="4" w:space="0" w:color="auto"/>
            </w:tcBorders>
            <w:shd w:val="clear" w:color="auto" w:fill="auto"/>
            <w:noWrap/>
            <w:vAlign w:val="bottom"/>
            <w:hideMark/>
          </w:tcPr>
          <w:p w14:paraId="4C39FA85"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nil"/>
            </w:tcBorders>
            <w:shd w:val="clear" w:color="auto" w:fill="auto"/>
            <w:noWrap/>
            <w:vAlign w:val="bottom"/>
            <w:hideMark/>
          </w:tcPr>
          <w:p w14:paraId="674C9D4D"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013B7CC7"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1 649 569</w:t>
            </w:r>
          </w:p>
        </w:tc>
      </w:tr>
      <w:tr w:rsidR="003E0F58" w:rsidRPr="005753FE" w14:paraId="165DF476" w14:textId="77777777" w:rsidTr="004D2249">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2C98A6E6"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29</w:t>
            </w:r>
          </w:p>
        </w:tc>
        <w:tc>
          <w:tcPr>
            <w:tcW w:w="0" w:type="auto"/>
            <w:tcBorders>
              <w:top w:val="nil"/>
              <w:left w:val="nil"/>
              <w:bottom w:val="single" w:sz="4" w:space="0" w:color="auto"/>
              <w:right w:val="single" w:sz="4" w:space="0" w:color="auto"/>
            </w:tcBorders>
            <w:shd w:val="clear" w:color="auto" w:fill="auto"/>
            <w:noWrap/>
            <w:vAlign w:val="bottom"/>
            <w:hideMark/>
          </w:tcPr>
          <w:p w14:paraId="7747A250"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752 427</w:t>
            </w:r>
          </w:p>
        </w:tc>
        <w:tc>
          <w:tcPr>
            <w:tcW w:w="0" w:type="auto"/>
            <w:tcBorders>
              <w:top w:val="nil"/>
              <w:left w:val="nil"/>
              <w:bottom w:val="single" w:sz="4" w:space="0" w:color="auto"/>
              <w:right w:val="single" w:sz="4" w:space="0" w:color="auto"/>
            </w:tcBorders>
            <w:shd w:val="clear" w:color="auto" w:fill="auto"/>
            <w:noWrap/>
            <w:vAlign w:val="bottom"/>
            <w:hideMark/>
          </w:tcPr>
          <w:p w14:paraId="122AD253"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523 645</w:t>
            </w:r>
          </w:p>
        </w:tc>
        <w:tc>
          <w:tcPr>
            <w:tcW w:w="0" w:type="auto"/>
            <w:tcBorders>
              <w:top w:val="nil"/>
              <w:left w:val="nil"/>
              <w:bottom w:val="single" w:sz="4" w:space="0" w:color="auto"/>
              <w:right w:val="single" w:sz="4" w:space="0" w:color="auto"/>
            </w:tcBorders>
            <w:shd w:val="clear" w:color="auto" w:fill="auto"/>
            <w:noWrap/>
            <w:vAlign w:val="bottom"/>
            <w:hideMark/>
          </w:tcPr>
          <w:p w14:paraId="0FD365FD"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302 185</w:t>
            </w:r>
          </w:p>
        </w:tc>
        <w:tc>
          <w:tcPr>
            <w:tcW w:w="0" w:type="auto"/>
            <w:tcBorders>
              <w:top w:val="nil"/>
              <w:left w:val="nil"/>
              <w:bottom w:val="single" w:sz="4" w:space="0" w:color="auto"/>
              <w:right w:val="single" w:sz="4" w:space="0" w:color="auto"/>
            </w:tcBorders>
            <w:shd w:val="clear" w:color="auto" w:fill="auto"/>
            <w:noWrap/>
            <w:vAlign w:val="bottom"/>
            <w:hideMark/>
          </w:tcPr>
          <w:p w14:paraId="3BFC585A"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153 301</w:t>
            </w:r>
          </w:p>
        </w:tc>
        <w:tc>
          <w:tcPr>
            <w:tcW w:w="0" w:type="auto"/>
            <w:tcBorders>
              <w:top w:val="nil"/>
              <w:left w:val="nil"/>
              <w:bottom w:val="single" w:sz="4" w:space="0" w:color="auto"/>
              <w:right w:val="single" w:sz="4" w:space="0" w:color="auto"/>
            </w:tcBorders>
            <w:shd w:val="clear" w:color="auto" w:fill="auto"/>
            <w:noWrap/>
            <w:vAlign w:val="bottom"/>
            <w:hideMark/>
          </w:tcPr>
          <w:p w14:paraId="5AD64C6F"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24 644</w:t>
            </w:r>
          </w:p>
        </w:tc>
        <w:tc>
          <w:tcPr>
            <w:tcW w:w="0" w:type="auto"/>
            <w:tcBorders>
              <w:top w:val="nil"/>
              <w:left w:val="nil"/>
              <w:bottom w:val="single" w:sz="4" w:space="0" w:color="auto"/>
              <w:right w:val="single" w:sz="4" w:space="0" w:color="auto"/>
            </w:tcBorders>
            <w:shd w:val="clear" w:color="auto" w:fill="auto"/>
            <w:noWrap/>
            <w:vAlign w:val="bottom"/>
            <w:hideMark/>
          </w:tcPr>
          <w:p w14:paraId="6A3F330F"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1 075</w:t>
            </w:r>
          </w:p>
        </w:tc>
        <w:tc>
          <w:tcPr>
            <w:tcW w:w="0" w:type="auto"/>
            <w:tcBorders>
              <w:top w:val="nil"/>
              <w:left w:val="nil"/>
              <w:bottom w:val="single" w:sz="4" w:space="0" w:color="auto"/>
              <w:right w:val="single" w:sz="4" w:space="0" w:color="auto"/>
            </w:tcBorders>
            <w:shd w:val="clear" w:color="auto" w:fill="auto"/>
            <w:noWrap/>
            <w:vAlign w:val="bottom"/>
            <w:hideMark/>
          </w:tcPr>
          <w:p w14:paraId="1596C681"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202</w:t>
            </w:r>
          </w:p>
        </w:tc>
        <w:tc>
          <w:tcPr>
            <w:tcW w:w="0" w:type="auto"/>
            <w:tcBorders>
              <w:top w:val="nil"/>
              <w:left w:val="nil"/>
              <w:bottom w:val="single" w:sz="4" w:space="0" w:color="auto"/>
              <w:right w:val="nil"/>
            </w:tcBorders>
            <w:shd w:val="clear" w:color="auto" w:fill="auto"/>
            <w:noWrap/>
            <w:vAlign w:val="bottom"/>
            <w:hideMark/>
          </w:tcPr>
          <w:p w14:paraId="544A0699"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36EBFD37"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1 757 478</w:t>
            </w:r>
          </w:p>
        </w:tc>
      </w:tr>
      <w:tr w:rsidR="003E0F58" w:rsidRPr="005753FE" w14:paraId="03586B5B" w14:textId="77777777" w:rsidTr="004D2249">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2D77FF4D"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30</w:t>
            </w:r>
          </w:p>
        </w:tc>
        <w:tc>
          <w:tcPr>
            <w:tcW w:w="0" w:type="auto"/>
            <w:tcBorders>
              <w:top w:val="nil"/>
              <w:left w:val="nil"/>
              <w:bottom w:val="single" w:sz="4" w:space="0" w:color="auto"/>
              <w:right w:val="single" w:sz="4" w:space="0" w:color="auto"/>
            </w:tcBorders>
            <w:shd w:val="clear" w:color="auto" w:fill="auto"/>
            <w:noWrap/>
            <w:vAlign w:val="bottom"/>
            <w:hideMark/>
          </w:tcPr>
          <w:p w14:paraId="6F89FBCB"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655 568</w:t>
            </w:r>
          </w:p>
        </w:tc>
        <w:tc>
          <w:tcPr>
            <w:tcW w:w="0" w:type="auto"/>
            <w:tcBorders>
              <w:top w:val="nil"/>
              <w:left w:val="nil"/>
              <w:bottom w:val="single" w:sz="4" w:space="0" w:color="auto"/>
              <w:right w:val="single" w:sz="4" w:space="0" w:color="auto"/>
            </w:tcBorders>
            <w:shd w:val="clear" w:color="auto" w:fill="auto"/>
            <w:noWrap/>
            <w:vAlign w:val="bottom"/>
            <w:hideMark/>
          </w:tcPr>
          <w:p w14:paraId="1B8D9E3F"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378 862</w:t>
            </w:r>
          </w:p>
        </w:tc>
        <w:tc>
          <w:tcPr>
            <w:tcW w:w="0" w:type="auto"/>
            <w:tcBorders>
              <w:top w:val="nil"/>
              <w:left w:val="nil"/>
              <w:bottom w:val="single" w:sz="4" w:space="0" w:color="auto"/>
              <w:right w:val="single" w:sz="4" w:space="0" w:color="auto"/>
            </w:tcBorders>
            <w:shd w:val="clear" w:color="auto" w:fill="auto"/>
            <w:noWrap/>
            <w:vAlign w:val="bottom"/>
            <w:hideMark/>
          </w:tcPr>
          <w:p w14:paraId="22FCA856"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190 774</w:t>
            </w:r>
          </w:p>
        </w:tc>
        <w:tc>
          <w:tcPr>
            <w:tcW w:w="0" w:type="auto"/>
            <w:tcBorders>
              <w:top w:val="nil"/>
              <w:left w:val="nil"/>
              <w:bottom w:val="single" w:sz="4" w:space="0" w:color="auto"/>
              <w:right w:val="single" w:sz="4" w:space="0" w:color="auto"/>
            </w:tcBorders>
            <w:shd w:val="clear" w:color="auto" w:fill="auto"/>
            <w:noWrap/>
            <w:vAlign w:val="bottom"/>
            <w:hideMark/>
          </w:tcPr>
          <w:p w14:paraId="51D2AFBA"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59 428</w:t>
            </w:r>
          </w:p>
        </w:tc>
        <w:tc>
          <w:tcPr>
            <w:tcW w:w="0" w:type="auto"/>
            <w:tcBorders>
              <w:top w:val="nil"/>
              <w:left w:val="nil"/>
              <w:bottom w:val="single" w:sz="4" w:space="0" w:color="auto"/>
              <w:right w:val="single" w:sz="4" w:space="0" w:color="auto"/>
            </w:tcBorders>
            <w:shd w:val="clear" w:color="auto" w:fill="auto"/>
            <w:noWrap/>
            <w:vAlign w:val="bottom"/>
            <w:hideMark/>
          </w:tcPr>
          <w:p w14:paraId="1AAC4D29"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9 181</w:t>
            </w:r>
          </w:p>
        </w:tc>
        <w:tc>
          <w:tcPr>
            <w:tcW w:w="0" w:type="auto"/>
            <w:tcBorders>
              <w:top w:val="nil"/>
              <w:left w:val="nil"/>
              <w:bottom w:val="single" w:sz="4" w:space="0" w:color="auto"/>
              <w:right w:val="single" w:sz="4" w:space="0" w:color="auto"/>
            </w:tcBorders>
            <w:shd w:val="clear" w:color="auto" w:fill="auto"/>
            <w:noWrap/>
            <w:vAlign w:val="bottom"/>
            <w:hideMark/>
          </w:tcPr>
          <w:p w14:paraId="5F18E886"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134</w:t>
            </w:r>
          </w:p>
        </w:tc>
        <w:tc>
          <w:tcPr>
            <w:tcW w:w="0" w:type="auto"/>
            <w:tcBorders>
              <w:top w:val="nil"/>
              <w:left w:val="nil"/>
              <w:bottom w:val="single" w:sz="4" w:space="0" w:color="auto"/>
              <w:right w:val="single" w:sz="4" w:space="0" w:color="auto"/>
            </w:tcBorders>
            <w:shd w:val="clear" w:color="auto" w:fill="auto"/>
            <w:noWrap/>
            <w:vAlign w:val="bottom"/>
            <w:hideMark/>
          </w:tcPr>
          <w:p w14:paraId="599D3338"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nil"/>
            </w:tcBorders>
            <w:shd w:val="clear" w:color="auto" w:fill="auto"/>
            <w:noWrap/>
            <w:vAlign w:val="bottom"/>
            <w:hideMark/>
          </w:tcPr>
          <w:p w14:paraId="7EC2E3AD"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15A5591D"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1 293 946</w:t>
            </w:r>
          </w:p>
        </w:tc>
      </w:tr>
      <w:tr w:rsidR="003E0F58" w:rsidRPr="005753FE" w14:paraId="55936D91" w14:textId="77777777" w:rsidTr="004D2249">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721B2FE9"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31</w:t>
            </w:r>
          </w:p>
        </w:tc>
        <w:tc>
          <w:tcPr>
            <w:tcW w:w="0" w:type="auto"/>
            <w:tcBorders>
              <w:top w:val="nil"/>
              <w:left w:val="nil"/>
              <w:bottom w:val="single" w:sz="4" w:space="0" w:color="auto"/>
              <w:right w:val="single" w:sz="4" w:space="0" w:color="auto"/>
            </w:tcBorders>
            <w:shd w:val="clear" w:color="auto" w:fill="auto"/>
            <w:noWrap/>
            <w:vAlign w:val="bottom"/>
            <w:hideMark/>
          </w:tcPr>
          <w:p w14:paraId="180A0425"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447 300</w:t>
            </w:r>
          </w:p>
        </w:tc>
        <w:tc>
          <w:tcPr>
            <w:tcW w:w="0" w:type="auto"/>
            <w:tcBorders>
              <w:top w:val="nil"/>
              <w:left w:val="nil"/>
              <w:bottom w:val="single" w:sz="4" w:space="0" w:color="auto"/>
              <w:right w:val="single" w:sz="4" w:space="0" w:color="auto"/>
            </w:tcBorders>
            <w:shd w:val="clear" w:color="auto" w:fill="auto"/>
            <w:noWrap/>
            <w:vAlign w:val="bottom"/>
            <w:hideMark/>
          </w:tcPr>
          <w:p w14:paraId="534DB4B7"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273 437</w:t>
            </w:r>
          </w:p>
        </w:tc>
        <w:tc>
          <w:tcPr>
            <w:tcW w:w="0" w:type="auto"/>
            <w:tcBorders>
              <w:top w:val="nil"/>
              <w:left w:val="nil"/>
              <w:bottom w:val="single" w:sz="4" w:space="0" w:color="auto"/>
              <w:right w:val="single" w:sz="4" w:space="0" w:color="auto"/>
            </w:tcBorders>
            <w:shd w:val="clear" w:color="auto" w:fill="auto"/>
            <w:noWrap/>
            <w:vAlign w:val="bottom"/>
            <w:hideMark/>
          </w:tcPr>
          <w:p w14:paraId="671AAFF0"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193 174</w:t>
            </w:r>
          </w:p>
        </w:tc>
        <w:tc>
          <w:tcPr>
            <w:tcW w:w="0" w:type="auto"/>
            <w:tcBorders>
              <w:top w:val="nil"/>
              <w:left w:val="nil"/>
              <w:bottom w:val="single" w:sz="4" w:space="0" w:color="auto"/>
              <w:right w:val="single" w:sz="4" w:space="0" w:color="auto"/>
            </w:tcBorders>
            <w:shd w:val="clear" w:color="auto" w:fill="auto"/>
            <w:noWrap/>
            <w:vAlign w:val="bottom"/>
            <w:hideMark/>
          </w:tcPr>
          <w:p w14:paraId="05DC73C4"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91 309</w:t>
            </w:r>
          </w:p>
        </w:tc>
        <w:tc>
          <w:tcPr>
            <w:tcW w:w="0" w:type="auto"/>
            <w:tcBorders>
              <w:top w:val="nil"/>
              <w:left w:val="nil"/>
              <w:bottom w:val="single" w:sz="4" w:space="0" w:color="auto"/>
              <w:right w:val="single" w:sz="4" w:space="0" w:color="auto"/>
            </w:tcBorders>
            <w:shd w:val="clear" w:color="auto" w:fill="auto"/>
            <w:noWrap/>
            <w:vAlign w:val="bottom"/>
            <w:hideMark/>
          </w:tcPr>
          <w:p w14:paraId="7551D70E"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17 292</w:t>
            </w:r>
          </w:p>
        </w:tc>
        <w:tc>
          <w:tcPr>
            <w:tcW w:w="0" w:type="auto"/>
            <w:tcBorders>
              <w:top w:val="nil"/>
              <w:left w:val="nil"/>
              <w:bottom w:val="single" w:sz="4" w:space="0" w:color="auto"/>
              <w:right w:val="single" w:sz="4" w:space="0" w:color="auto"/>
            </w:tcBorders>
            <w:shd w:val="clear" w:color="auto" w:fill="auto"/>
            <w:noWrap/>
            <w:vAlign w:val="bottom"/>
            <w:hideMark/>
          </w:tcPr>
          <w:p w14:paraId="5FB41E68"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799</w:t>
            </w:r>
          </w:p>
        </w:tc>
        <w:tc>
          <w:tcPr>
            <w:tcW w:w="0" w:type="auto"/>
            <w:tcBorders>
              <w:top w:val="nil"/>
              <w:left w:val="nil"/>
              <w:bottom w:val="single" w:sz="4" w:space="0" w:color="auto"/>
              <w:right w:val="single" w:sz="4" w:space="0" w:color="auto"/>
            </w:tcBorders>
            <w:shd w:val="clear" w:color="auto" w:fill="auto"/>
            <w:noWrap/>
            <w:vAlign w:val="bottom"/>
            <w:hideMark/>
          </w:tcPr>
          <w:p w14:paraId="1BFF7265"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243</w:t>
            </w:r>
          </w:p>
        </w:tc>
        <w:tc>
          <w:tcPr>
            <w:tcW w:w="0" w:type="auto"/>
            <w:tcBorders>
              <w:top w:val="nil"/>
              <w:left w:val="nil"/>
              <w:bottom w:val="single" w:sz="4" w:space="0" w:color="auto"/>
              <w:right w:val="nil"/>
            </w:tcBorders>
            <w:shd w:val="clear" w:color="auto" w:fill="auto"/>
            <w:noWrap/>
            <w:vAlign w:val="bottom"/>
            <w:hideMark/>
          </w:tcPr>
          <w:p w14:paraId="31D454C6"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39C4FFBB"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1 023 555</w:t>
            </w:r>
          </w:p>
        </w:tc>
      </w:tr>
      <w:tr w:rsidR="003E0F58" w:rsidRPr="005753FE" w14:paraId="12B9B496" w14:textId="77777777" w:rsidTr="004D2249">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13DF3C34"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32</w:t>
            </w:r>
          </w:p>
        </w:tc>
        <w:tc>
          <w:tcPr>
            <w:tcW w:w="0" w:type="auto"/>
            <w:tcBorders>
              <w:top w:val="nil"/>
              <w:left w:val="nil"/>
              <w:bottom w:val="single" w:sz="4" w:space="0" w:color="auto"/>
              <w:right w:val="single" w:sz="4" w:space="0" w:color="auto"/>
            </w:tcBorders>
            <w:shd w:val="clear" w:color="auto" w:fill="auto"/>
            <w:noWrap/>
            <w:vAlign w:val="bottom"/>
            <w:hideMark/>
          </w:tcPr>
          <w:p w14:paraId="76155946"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79 194</w:t>
            </w:r>
          </w:p>
        </w:tc>
        <w:tc>
          <w:tcPr>
            <w:tcW w:w="0" w:type="auto"/>
            <w:tcBorders>
              <w:top w:val="nil"/>
              <w:left w:val="nil"/>
              <w:bottom w:val="single" w:sz="4" w:space="0" w:color="auto"/>
              <w:right w:val="single" w:sz="4" w:space="0" w:color="auto"/>
            </w:tcBorders>
            <w:shd w:val="clear" w:color="auto" w:fill="auto"/>
            <w:noWrap/>
            <w:vAlign w:val="bottom"/>
            <w:hideMark/>
          </w:tcPr>
          <w:p w14:paraId="2C0ED016"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9 937</w:t>
            </w:r>
          </w:p>
        </w:tc>
        <w:tc>
          <w:tcPr>
            <w:tcW w:w="0" w:type="auto"/>
            <w:tcBorders>
              <w:top w:val="nil"/>
              <w:left w:val="nil"/>
              <w:bottom w:val="single" w:sz="4" w:space="0" w:color="auto"/>
              <w:right w:val="single" w:sz="4" w:space="0" w:color="auto"/>
            </w:tcBorders>
            <w:shd w:val="clear" w:color="auto" w:fill="auto"/>
            <w:noWrap/>
            <w:vAlign w:val="bottom"/>
            <w:hideMark/>
          </w:tcPr>
          <w:p w14:paraId="4F51A6FF"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617</w:t>
            </w:r>
          </w:p>
        </w:tc>
        <w:tc>
          <w:tcPr>
            <w:tcW w:w="0" w:type="auto"/>
            <w:tcBorders>
              <w:top w:val="nil"/>
              <w:left w:val="nil"/>
              <w:bottom w:val="single" w:sz="4" w:space="0" w:color="auto"/>
              <w:right w:val="single" w:sz="4" w:space="0" w:color="auto"/>
            </w:tcBorders>
            <w:shd w:val="clear" w:color="auto" w:fill="auto"/>
            <w:noWrap/>
            <w:vAlign w:val="bottom"/>
            <w:hideMark/>
          </w:tcPr>
          <w:p w14:paraId="0A8057A9"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single" w:sz="4" w:space="0" w:color="auto"/>
            </w:tcBorders>
            <w:shd w:val="clear" w:color="auto" w:fill="auto"/>
            <w:noWrap/>
            <w:vAlign w:val="bottom"/>
            <w:hideMark/>
          </w:tcPr>
          <w:p w14:paraId="78AFABC2"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single" w:sz="4" w:space="0" w:color="auto"/>
            </w:tcBorders>
            <w:shd w:val="clear" w:color="auto" w:fill="auto"/>
            <w:noWrap/>
            <w:vAlign w:val="bottom"/>
            <w:hideMark/>
          </w:tcPr>
          <w:p w14:paraId="065D289E"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single" w:sz="4" w:space="0" w:color="auto"/>
            </w:tcBorders>
            <w:shd w:val="clear" w:color="auto" w:fill="auto"/>
            <w:noWrap/>
            <w:vAlign w:val="bottom"/>
            <w:hideMark/>
          </w:tcPr>
          <w:p w14:paraId="3EEBE1AE"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nil"/>
            </w:tcBorders>
            <w:shd w:val="clear" w:color="auto" w:fill="auto"/>
            <w:noWrap/>
            <w:vAlign w:val="bottom"/>
            <w:hideMark/>
          </w:tcPr>
          <w:p w14:paraId="7A3DB775"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2CB40F3F"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89 747</w:t>
            </w:r>
          </w:p>
        </w:tc>
      </w:tr>
      <w:tr w:rsidR="003E0F58" w:rsidRPr="005753FE" w14:paraId="35C6C9C8" w14:textId="77777777" w:rsidTr="004D2249">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7951AA04"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33</w:t>
            </w:r>
          </w:p>
        </w:tc>
        <w:tc>
          <w:tcPr>
            <w:tcW w:w="0" w:type="auto"/>
            <w:tcBorders>
              <w:top w:val="nil"/>
              <w:left w:val="nil"/>
              <w:bottom w:val="single" w:sz="4" w:space="0" w:color="auto"/>
              <w:right w:val="single" w:sz="4" w:space="0" w:color="auto"/>
            </w:tcBorders>
            <w:shd w:val="clear" w:color="auto" w:fill="auto"/>
            <w:noWrap/>
            <w:vAlign w:val="bottom"/>
            <w:hideMark/>
          </w:tcPr>
          <w:p w14:paraId="4CF45F40"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914 568</w:t>
            </w:r>
          </w:p>
        </w:tc>
        <w:tc>
          <w:tcPr>
            <w:tcW w:w="0" w:type="auto"/>
            <w:tcBorders>
              <w:top w:val="nil"/>
              <w:left w:val="nil"/>
              <w:bottom w:val="single" w:sz="4" w:space="0" w:color="auto"/>
              <w:right w:val="single" w:sz="4" w:space="0" w:color="auto"/>
            </w:tcBorders>
            <w:shd w:val="clear" w:color="auto" w:fill="auto"/>
            <w:noWrap/>
            <w:vAlign w:val="bottom"/>
            <w:hideMark/>
          </w:tcPr>
          <w:p w14:paraId="55F70792"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342 060</w:t>
            </w:r>
          </w:p>
        </w:tc>
        <w:tc>
          <w:tcPr>
            <w:tcW w:w="0" w:type="auto"/>
            <w:tcBorders>
              <w:top w:val="nil"/>
              <w:left w:val="nil"/>
              <w:bottom w:val="single" w:sz="4" w:space="0" w:color="auto"/>
              <w:right w:val="single" w:sz="4" w:space="0" w:color="auto"/>
            </w:tcBorders>
            <w:shd w:val="clear" w:color="auto" w:fill="auto"/>
            <w:noWrap/>
            <w:vAlign w:val="bottom"/>
            <w:hideMark/>
          </w:tcPr>
          <w:p w14:paraId="00EA4668"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180 725</w:t>
            </w:r>
          </w:p>
        </w:tc>
        <w:tc>
          <w:tcPr>
            <w:tcW w:w="0" w:type="auto"/>
            <w:tcBorders>
              <w:top w:val="nil"/>
              <w:left w:val="nil"/>
              <w:bottom w:val="single" w:sz="4" w:space="0" w:color="auto"/>
              <w:right w:val="single" w:sz="4" w:space="0" w:color="auto"/>
            </w:tcBorders>
            <w:shd w:val="clear" w:color="auto" w:fill="auto"/>
            <w:noWrap/>
            <w:vAlign w:val="bottom"/>
            <w:hideMark/>
          </w:tcPr>
          <w:p w14:paraId="369BB981"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59 036</w:t>
            </w:r>
          </w:p>
        </w:tc>
        <w:tc>
          <w:tcPr>
            <w:tcW w:w="0" w:type="auto"/>
            <w:tcBorders>
              <w:top w:val="nil"/>
              <w:left w:val="nil"/>
              <w:bottom w:val="single" w:sz="4" w:space="0" w:color="auto"/>
              <w:right w:val="single" w:sz="4" w:space="0" w:color="auto"/>
            </w:tcBorders>
            <w:shd w:val="clear" w:color="auto" w:fill="auto"/>
            <w:noWrap/>
            <w:vAlign w:val="bottom"/>
            <w:hideMark/>
          </w:tcPr>
          <w:p w14:paraId="0F286CC6"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4 489</w:t>
            </w:r>
          </w:p>
        </w:tc>
        <w:tc>
          <w:tcPr>
            <w:tcW w:w="0" w:type="auto"/>
            <w:tcBorders>
              <w:top w:val="nil"/>
              <w:left w:val="nil"/>
              <w:bottom w:val="single" w:sz="4" w:space="0" w:color="auto"/>
              <w:right w:val="single" w:sz="4" w:space="0" w:color="auto"/>
            </w:tcBorders>
            <w:shd w:val="clear" w:color="auto" w:fill="auto"/>
            <w:noWrap/>
            <w:vAlign w:val="bottom"/>
            <w:hideMark/>
          </w:tcPr>
          <w:p w14:paraId="1CE19DE1"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56</w:t>
            </w:r>
          </w:p>
        </w:tc>
        <w:tc>
          <w:tcPr>
            <w:tcW w:w="0" w:type="auto"/>
            <w:tcBorders>
              <w:top w:val="nil"/>
              <w:left w:val="nil"/>
              <w:bottom w:val="single" w:sz="4" w:space="0" w:color="auto"/>
              <w:right w:val="single" w:sz="4" w:space="0" w:color="auto"/>
            </w:tcBorders>
            <w:shd w:val="clear" w:color="auto" w:fill="auto"/>
            <w:noWrap/>
            <w:vAlign w:val="bottom"/>
            <w:hideMark/>
          </w:tcPr>
          <w:p w14:paraId="16729230"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85</w:t>
            </w:r>
          </w:p>
        </w:tc>
        <w:tc>
          <w:tcPr>
            <w:tcW w:w="0" w:type="auto"/>
            <w:tcBorders>
              <w:top w:val="nil"/>
              <w:left w:val="nil"/>
              <w:bottom w:val="single" w:sz="4" w:space="0" w:color="auto"/>
              <w:right w:val="nil"/>
            </w:tcBorders>
            <w:shd w:val="clear" w:color="auto" w:fill="auto"/>
            <w:noWrap/>
            <w:vAlign w:val="bottom"/>
            <w:hideMark/>
          </w:tcPr>
          <w:p w14:paraId="445EFFEC"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0B8CDB54"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1 501 019</w:t>
            </w:r>
          </w:p>
        </w:tc>
      </w:tr>
      <w:tr w:rsidR="003E0F58" w:rsidRPr="005753FE" w14:paraId="0AACEEA9" w14:textId="77777777" w:rsidTr="004D2249">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2637D433"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34</w:t>
            </w:r>
          </w:p>
        </w:tc>
        <w:tc>
          <w:tcPr>
            <w:tcW w:w="0" w:type="auto"/>
            <w:tcBorders>
              <w:top w:val="nil"/>
              <w:left w:val="nil"/>
              <w:bottom w:val="single" w:sz="4" w:space="0" w:color="auto"/>
              <w:right w:val="single" w:sz="4" w:space="0" w:color="auto"/>
            </w:tcBorders>
            <w:shd w:val="clear" w:color="auto" w:fill="auto"/>
            <w:noWrap/>
            <w:vAlign w:val="bottom"/>
            <w:hideMark/>
          </w:tcPr>
          <w:p w14:paraId="46D47A80"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224 422</w:t>
            </w:r>
          </w:p>
        </w:tc>
        <w:tc>
          <w:tcPr>
            <w:tcW w:w="0" w:type="auto"/>
            <w:tcBorders>
              <w:top w:val="nil"/>
              <w:left w:val="nil"/>
              <w:bottom w:val="single" w:sz="4" w:space="0" w:color="auto"/>
              <w:right w:val="single" w:sz="4" w:space="0" w:color="auto"/>
            </w:tcBorders>
            <w:shd w:val="clear" w:color="auto" w:fill="auto"/>
            <w:noWrap/>
            <w:vAlign w:val="bottom"/>
            <w:hideMark/>
          </w:tcPr>
          <w:p w14:paraId="606C4F66"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4 485</w:t>
            </w:r>
          </w:p>
        </w:tc>
        <w:tc>
          <w:tcPr>
            <w:tcW w:w="0" w:type="auto"/>
            <w:tcBorders>
              <w:top w:val="nil"/>
              <w:left w:val="nil"/>
              <w:bottom w:val="single" w:sz="4" w:space="0" w:color="auto"/>
              <w:right w:val="single" w:sz="4" w:space="0" w:color="auto"/>
            </w:tcBorders>
            <w:shd w:val="clear" w:color="auto" w:fill="auto"/>
            <w:noWrap/>
            <w:vAlign w:val="bottom"/>
            <w:hideMark/>
          </w:tcPr>
          <w:p w14:paraId="362EE029"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1 940</w:t>
            </w:r>
          </w:p>
        </w:tc>
        <w:tc>
          <w:tcPr>
            <w:tcW w:w="0" w:type="auto"/>
            <w:tcBorders>
              <w:top w:val="nil"/>
              <w:left w:val="nil"/>
              <w:bottom w:val="single" w:sz="4" w:space="0" w:color="auto"/>
              <w:right w:val="single" w:sz="4" w:space="0" w:color="auto"/>
            </w:tcBorders>
            <w:shd w:val="clear" w:color="auto" w:fill="auto"/>
            <w:noWrap/>
            <w:vAlign w:val="bottom"/>
            <w:hideMark/>
          </w:tcPr>
          <w:p w14:paraId="3F5A5225"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90</w:t>
            </w:r>
          </w:p>
        </w:tc>
        <w:tc>
          <w:tcPr>
            <w:tcW w:w="0" w:type="auto"/>
            <w:tcBorders>
              <w:top w:val="nil"/>
              <w:left w:val="nil"/>
              <w:bottom w:val="single" w:sz="4" w:space="0" w:color="auto"/>
              <w:right w:val="single" w:sz="4" w:space="0" w:color="auto"/>
            </w:tcBorders>
            <w:shd w:val="clear" w:color="auto" w:fill="auto"/>
            <w:noWrap/>
            <w:vAlign w:val="bottom"/>
            <w:hideMark/>
          </w:tcPr>
          <w:p w14:paraId="070E39B3"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single" w:sz="4" w:space="0" w:color="auto"/>
            </w:tcBorders>
            <w:shd w:val="clear" w:color="auto" w:fill="auto"/>
            <w:noWrap/>
            <w:vAlign w:val="bottom"/>
            <w:hideMark/>
          </w:tcPr>
          <w:p w14:paraId="47C83CDA"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single" w:sz="4" w:space="0" w:color="auto"/>
            </w:tcBorders>
            <w:shd w:val="clear" w:color="auto" w:fill="auto"/>
            <w:noWrap/>
            <w:vAlign w:val="bottom"/>
            <w:hideMark/>
          </w:tcPr>
          <w:p w14:paraId="67D35335"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nil"/>
            </w:tcBorders>
            <w:shd w:val="clear" w:color="auto" w:fill="auto"/>
            <w:noWrap/>
            <w:vAlign w:val="bottom"/>
            <w:hideMark/>
          </w:tcPr>
          <w:p w14:paraId="312BF431"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7E43D0C4"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230 936</w:t>
            </w:r>
          </w:p>
        </w:tc>
      </w:tr>
      <w:tr w:rsidR="003E0F58" w:rsidRPr="005753FE" w14:paraId="03276DA3" w14:textId="77777777" w:rsidTr="004D2249">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274C7BD3"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35</w:t>
            </w:r>
          </w:p>
        </w:tc>
        <w:tc>
          <w:tcPr>
            <w:tcW w:w="0" w:type="auto"/>
            <w:tcBorders>
              <w:top w:val="nil"/>
              <w:left w:val="nil"/>
              <w:bottom w:val="single" w:sz="4" w:space="0" w:color="auto"/>
              <w:right w:val="single" w:sz="4" w:space="0" w:color="auto"/>
            </w:tcBorders>
            <w:shd w:val="clear" w:color="auto" w:fill="auto"/>
            <w:noWrap/>
            <w:vAlign w:val="bottom"/>
            <w:hideMark/>
          </w:tcPr>
          <w:p w14:paraId="3C370A7F"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626 490</w:t>
            </w:r>
          </w:p>
        </w:tc>
        <w:tc>
          <w:tcPr>
            <w:tcW w:w="0" w:type="auto"/>
            <w:tcBorders>
              <w:top w:val="nil"/>
              <w:left w:val="nil"/>
              <w:bottom w:val="single" w:sz="4" w:space="0" w:color="auto"/>
              <w:right w:val="single" w:sz="4" w:space="0" w:color="auto"/>
            </w:tcBorders>
            <w:shd w:val="clear" w:color="auto" w:fill="auto"/>
            <w:noWrap/>
            <w:vAlign w:val="bottom"/>
            <w:hideMark/>
          </w:tcPr>
          <w:p w14:paraId="269A707F"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30 454</w:t>
            </w:r>
          </w:p>
        </w:tc>
        <w:tc>
          <w:tcPr>
            <w:tcW w:w="0" w:type="auto"/>
            <w:tcBorders>
              <w:top w:val="nil"/>
              <w:left w:val="nil"/>
              <w:bottom w:val="single" w:sz="4" w:space="0" w:color="auto"/>
              <w:right w:val="single" w:sz="4" w:space="0" w:color="auto"/>
            </w:tcBorders>
            <w:shd w:val="clear" w:color="auto" w:fill="auto"/>
            <w:noWrap/>
            <w:vAlign w:val="bottom"/>
            <w:hideMark/>
          </w:tcPr>
          <w:p w14:paraId="0DDA811F"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8 166</w:t>
            </w:r>
          </w:p>
        </w:tc>
        <w:tc>
          <w:tcPr>
            <w:tcW w:w="0" w:type="auto"/>
            <w:tcBorders>
              <w:top w:val="nil"/>
              <w:left w:val="nil"/>
              <w:bottom w:val="single" w:sz="4" w:space="0" w:color="auto"/>
              <w:right w:val="single" w:sz="4" w:space="0" w:color="auto"/>
            </w:tcBorders>
            <w:shd w:val="clear" w:color="auto" w:fill="auto"/>
            <w:noWrap/>
            <w:vAlign w:val="bottom"/>
            <w:hideMark/>
          </w:tcPr>
          <w:p w14:paraId="12983298"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1 366</w:t>
            </w:r>
          </w:p>
        </w:tc>
        <w:tc>
          <w:tcPr>
            <w:tcW w:w="0" w:type="auto"/>
            <w:tcBorders>
              <w:top w:val="nil"/>
              <w:left w:val="nil"/>
              <w:bottom w:val="single" w:sz="4" w:space="0" w:color="auto"/>
              <w:right w:val="single" w:sz="4" w:space="0" w:color="auto"/>
            </w:tcBorders>
            <w:shd w:val="clear" w:color="auto" w:fill="auto"/>
            <w:noWrap/>
            <w:vAlign w:val="bottom"/>
            <w:hideMark/>
          </w:tcPr>
          <w:p w14:paraId="73D9AAC3"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91</w:t>
            </w:r>
          </w:p>
        </w:tc>
        <w:tc>
          <w:tcPr>
            <w:tcW w:w="0" w:type="auto"/>
            <w:tcBorders>
              <w:top w:val="nil"/>
              <w:left w:val="nil"/>
              <w:bottom w:val="single" w:sz="4" w:space="0" w:color="auto"/>
              <w:right w:val="single" w:sz="4" w:space="0" w:color="auto"/>
            </w:tcBorders>
            <w:shd w:val="clear" w:color="auto" w:fill="auto"/>
            <w:noWrap/>
            <w:vAlign w:val="bottom"/>
            <w:hideMark/>
          </w:tcPr>
          <w:p w14:paraId="0078E7DD"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single" w:sz="4" w:space="0" w:color="auto"/>
            </w:tcBorders>
            <w:shd w:val="clear" w:color="auto" w:fill="auto"/>
            <w:noWrap/>
            <w:vAlign w:val="bottom"/>
            <w:hideMark/>
          </w:tcPr>
          <w:p w14:paraId="3963C7DA"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nil"/>
            </w:tcBorders>
            <w:shd w:val="clear" w:color="auto" w:fill="auto"/>
            <w:noWrap/>
            <w:vAlign w:val="bottom"/>
            <w:hideMark/>
          </w:tcPr>
          <w:p w14:paraId="43F6C35F"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6CB1FC42"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666 567</w:t>
            </w:r>
          </w:p>
        </w:tc>
      </w:tr>
      <w:tr w:rsidR="003E0F58" w:rsidRPr="005753FE" w14:paraId="47A83427" w14:textId="77777777" w:rsidTr="004D2249">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1AA5AADB"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36</w:t>
            </w:r>
          </w:p>
        </w:tc>
        <w:tc>
          <w:tcPr>
            <w:tcW w:w="0" w:type="auto"/>
            <w:tcBorders>
              <w:top w:val="nil"/>
              <w:left w:val="nil"/>
              <w:bottom w:val="single" w:sz="4" w:space="0" w:color="auto"/>
              <w:right w:val="single" w:sz="4" w:space="0" w:color="auto"/>
            </w:tcBorders>
            <w:shd w:val="clear" w:color="auto" w:fill="auto"/>
            <w:noWrap/>
            <w:vAlign w:val="bottom"/>
            <w:hideMark/>
          </w:tcPr>
          <w:p w14:paraId="60986694"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168 145</w:t>
            </w:r>
          </w:p>
        </w:tc>
        <w:tc>
          <w:tcPr>
            <w:tcW w:w="0" w:type="auto"/>
            <w:tcBorders>
              <w:top w:val="nil"/>
              <w:left w:val="nil"/>
              <w:bottom w:val="single" w:sz="4" w:space="0" w:color="auto"/>
              <w:right w:val="single" w:sz="4" w:space="0" w:color="auto"/>
            </w:tcBorders>
            <w:shd w:val="clear" w:color="auto" w:fill="auto"/>
            <w:noWrap/>
            <w:vAlign w:val="bottom"/>
            <w:hideMark/>
          </w:tcPr>
          <w:p w14:paraId="51A4367F"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173 135</w:t>
            </w:r>
          </w:p>
        </w:tc>
        <w:tc>
          <w:tcPr>
            <w:tcW w:w="0" w:type="auto"/>
            <w:tcBorders>
              <w:top w:val="nil"/>
              <w:left w:val="nil"/>
              <w:bottom w:val="single" w:sz="4" w:space="0" w:color="auto"/>
              <w:right w:val="single" w:sz="4" w:space="0" w:color="auto"/>
            </w:tcBorders>
            <w:shd w:val="clear" w:color="auto" w:fill="auto"/>
            <w:noWrap/>
            <w:vAlign w:val="bottom"/>
            <w:hideMark/>
          </w:tcPr>
          <w:p w14:paraId="23CB9435"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73 579</w:t>
            </w:r>
          </w:p>
        </w:tc>
        <w:tc>
          <w:tcPr>
            <w:tcW w:w="0" w:type="auto"/>
            <w:tcBorders>
              <w:top w:val="nil"/>
              <w:left w:val="nil"/>
              <w:bottom w:val="single" w:sz="4" w:space="0" w:color="auto"/>
              <w:right w:val="single" w:sz="4" w:space="0" w:color="auto"/>
            </w:tcBorders>
            <w:shd w:val="clear" w:color="auto" w:fill="auto"/>
            <w:noWrap/>
            <w:vAlign w:val="bottom"/>
            <w:hideMark/>
          </w:tcPr>
          <w:p w14:paraId="54018893"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6 811</w:t>
            </w:r>
          </w:p>
        </w:tc>
        <w:tc>
          <w:tcPr>
            <w:tcW w:w="0" w:type="auto"/>
            <w:tcBorders>
              <w:top w:val="nil"/>
              <w:left w:val="nil"/>
              <w:bottom w:val="single" w:sz="4" w:space="0" w:color="auto"/>
              <w:right w:val="single" w:sz="4" w:space="0" w:color="auto"/>
            </w:tcBorders>
            <w:shd w:val="clear" w:color="auto" w:fill="auto"/>
            <w:noWrap/>
            <w:vAlign w:val="bottom"/>
            <w:hideMark/>
          </w:tcPr>
          <w:p w14:paraId="59E148A4"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159</w:t>
            </w:r>
          </w:p>
        </w:tc>
        <w:tc>
          <w:tcPr>
            <w:tcW w:w="0" w:type="auto"/>
            <w:tcBorders>
              <w:top w:val="nil"/>
              <w:left w:val="nil"/>
              <w:bottom w:val="single" w:sz="4" w:space="0" w:color="auto"/>
              <w:right w:val="single" w:sz="4" w:space="0" w:color="auto"/>
            </w:tcBorders>
            <w:shd w:val="clear" w:color="auto" w:fill="auto"/>
            <w:noWrap/>
            <w:vAlign w:val="bottom"/>
            <w:hideMark/>
          </w:tcPr>
          <w:p w14:paraId="32ACA23B"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single" w:sz="4" w:space="0" w:color="auto"/>
            </w:tcBorders>
            <w:shd w:val="clear" w:color="auto" w:fill="auto"/>
            <w:noWrap/>
            <w:vAlign w:val="bottom"/>
            <w:hideMark/>
          </w:tcPr>
          <w:p w14:paraId="23D8856E"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nil"/>
            </w:tcBorders>
            <w:shd w:val="clear" w:color="auto" w:fill="auto"/>
            <w:noWrap/>
            <w:vAlign w:val="bottom"/>
            <w:hideMark/>
          </w:tcPr>
          <w:p w14:paraId="44839830"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0772515E"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421 828</w:t>
            </w:r>
          </w:p>
        </w:tc>
      </w:tr>
      <w:tr w:rsidR="003E0F58" w:rsidRPr="005753FE" w14:paraId="612E89ED" w14:textId="77777777" w:rsidTr="004D2249">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1AE58E11"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37</w:t>
            </w:r>
          </w:p>
        </w:tc>
        <w:tc>
          <w:tcPr>
            <w:tcW w:w="0" w:type="auto"/>
            <w:tcBorders>
              <w:top w:val="nil"/>
              <w:left w:val="nil"/>
              <w:bottom w:val="single" w:sz="4" w:space="0" w:color="auto"/>
              <w:right w:val="single" w:sz="4" w:space="0" w:color="auto"/>
            </w:tcBorders>
            <w:shd w:val="clear" w:color="auto" w:fill="auto"/>
            <w:noWrap/>
            <w:vAlign w:val="bottom"/>
            <w:hideMark/>
          </w:tcPr>
          <w:p w14:paraId="7387EA1B"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53 588</w:t>
            </w:r>
          </w:p>
        </w:tc>
        <w:tc>
          <w:tcPr>
            <w:tcW w:w="0" w:type="auto"/>
            <w:tcBorders>
              <w:top w:val="nil"/>
              <w:left w:val="nil"/>
              <w:bottom w:val="single" w:sz="4" w:space="0" w:color="auto"/>
              <w:right w:val="single" w:sz="4" w:space="0" w:color="auto"/>
            </w:tcBorders>
            <w:shd w:val="clear" w:color="auto" w:fill="auto"/>
            <w:noWrap/>
            <w:vAlign w:val="bottom"/>
            <w:hideMark/>
          </w:tcPr>
          <w:p w14:paraId="402CF609"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18 683</w:t>
            </w:r>
          </w:p>
        </w:tc>
        <w:tc>
          <w:tcPr>
            <w:tcW w:w="0" w:type="auto"/>
            <w:tcBorders>
              <w:top w:val="nil"/>
              <w:left w:val="nil"/>
              <w:bottom w:val="single" w:sz="4" w:space="0" w:color="auto"/>
              <w:right w:val="single" w:sz="4" w:space="0" w:color="auto"/>
            </w:tcBorders>
            <w:shd w:val="clear" w:color="auto" w:fill="auto"/>
            <w:noWrap/>
            <w:vAlign w:val="bottom"/>
            <w:hideMark/>
          </w:tcPr>
          <w:p w14:paraId="17E78439"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5 326</w:t>
            </w:r>
          </w:p>
        </w:tc>
        <w:tc>
          <w:tcPr>
            <w:tcW w:w="0" w:type="auto"/>
            <w:tcBorders>
              <w:top w:val="nil"/>
              <w:left w:val="nil"/>
              <w:bottom w:val="single" w:sz="4" w:space="0" w:color="auto"/>
              <w:right w:val="single" w:sz="4" w:space="0" w:color="auto"/>
            </w:tcBorders>
            <w:shd w:val="clear" w:color="auto" w:fill="auto"/>
            <w:noWrap/>
            <w:vAlign w:val="bottom"/>
            <w:hideMark/>
          </w:tcPr>
          <w:p w14:paraId="27C84717"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5 680</w:t>
            </w:r>
          </w:p>
        </w:tc>
        <w:tc>
          <w:tcPr>
            <w:tcW w:w="0" w:type="auto"/>
            <w:tcBorders>
              <w:top w:val="nil"/>
              <w:left w:val="nil"/>
              <w:bottom w:val="single" w:sz="4" w:space="0" w:color="auto"/>
              <w:right w:val="single" w:sz="4" w:space="0" w:color="auto"/>
            </w:tcBorders>
            <w:shd w:val="clear" w:color="auto" w:fill="auto"/>
            <w:noWrap/>
            <w:vAlign w:val="bottom"/>
            <w:hideMark/>
          </w:tcPr>
          <w:p w14:paraId="495C02AA"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1 608</w:t>
            </w:r>
          </w:p>
        </w:tc>
        <w:tc>
          <w:tcPr>
            <w:tcW w:w="0" w:type="auto"/>
            <w:tcBorders>
              <w:top w:val="nil"/>
              <w:left w:val="nil"/>
              <w:bottom w:val="single" w:sz="4" w:space="0" w:color="auto"/>
              <w:right w:val="single" w:sz="4" w:space="0" w:color="auto"/>
            </w:tcBorders>
            <w:shd w:val="clear" w:color="auto" w:fill="auto"/>
            <w:noWrap/>
            <w:vAlign w:val="bottom"/>
            <w:hideMark/>
          </w:tcPr>
          <w:p w14:paraId="69DF0E45"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26</w:t>
            </w:r>
          </w:p>
        </w:tc>
        <w:tc>
          <w:tcPr>
            <w:tcW w:w="0" w:type="auto"/>
            <w:tcBorders>
              <w:top w:val="nil"/>
              <w:left w:val="nil"/>
              <w:bottom w:val="single" w:sz="4" w:space="0" w:color="auto"/>
              <w:right w:val="single" w:sz="4" w:space="0" w:color="auto"/>
            </w:tcBorders>
            <w:shd w:val="clear" w:color="auto" w:fill="auto"/>
            <w:noWrap/>
            <w:vAlign w:val="bottom"/>
            <w:hideMark/>
          </w:tcPr>
          <w:p w14:paraId="2D335717"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nil"/>
            </w:tcBorders>
            <w:shd w:val="clear" w:color="auto" w:fill="auto"/>
            <w:noWrap/>
            <w:vAlign w:val="bottom"/>
            <w:hideMark/>
          </w:tcPr>
          <w:p w14:paraId="25A0E805"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28F1D96A"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84 911</w:t>
            </w:r>
          </w:p>
        </w:tc>
      </w:tr>
      <w:tr w:rsidR="003E0F58" w:rsidRPr="005753FE" w14:paraId="405E5C8B" w14:textId="77777777" w:rsidTr="004D2249">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516E41CE"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38</w:t>
            </w:r>
          </w:p>
        </w:tc>
        <w:tc>
          <w:tcPr>
            <w:tcW w:w="0" w:type="auto"/>
            <w:tcBorders>
              <w:top w:val="nil"/>
              <w:left w:val="nil"/>
              <w:bottom w:val="single" w:sz="4" w:space="0" w:color="auto"/>
              <w:right w:val="single" w:sz="4" w:space="0" w:color="auto"/>
            </w:tcBorders>
            <w:shd w:val="clear" w:color="auto" w:fill="auto"/>
            <w:noWrap/>
            <w:vAlign w:val="bottom"/>
            <w:hideMark/>
          </w:tcPr>
          <w:p w14:paraId="0DDF6D95"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138 264</w:t>
            </w:r>
          </w:p>
        </w:tc>
        <w:tc>
          <w:tcPr>
            <w:tcW w:w="0" w:type="auto"/>
            <w:tcBorders>
              <w:top w:val="nil"/>
              <w:left w:val="nil"/>
              <w:bottom w:val="single" w:sz="4" w:space="0" w:color="auto"/>
              <w:right w:val="single" w:sz="4" w:space="0" w:color="auto"/>
            </w:tcBorders>
            <w:shd w:val="clear" w:color="auto" w:fill="auto"/>
            <w:noWrap/>
            <w:vAlign w:val="bottom"/>
            <w:hideMark/>
          </w:tcPr>
          <w:p w14:paraId="4F7B9644"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232 591</w:t>
            </w:r>
          </w:p>
        </w:tc>
        <w:tc>
          <w:tcPr>
            <w:tcW w:w="0" w:type="auto"/>
            <w:tcBorders>
              <w:top w:val="nil"/>
              <w:left w:val="nil"/>
              <w:bottom w:val="single" w:sz="4" w:space="0" w:color="auto"/>
              <w:right w:val="single" w:sz="4" w:space="0" w:color="auto"/>
            </w:tcBorders>
            <w:shd w:val="clear" w:color="auto" w:fill="auto"/>
            <w:noWrap/>
            <w:vAlign w:val="bottom"/>
            <w:hideMark/>
          </w:tcPr>
          <w:p w14:paraId="53407DD4"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193 807</w:t>
            </w:r>
          </w:p>
        </w:tc>
        <w:tc>
          <w:tcPr>
            <w:tcW w:w="0" w:type="auto"/>
            <w:tcBorders>
              <w:top w:val="nil"/>
              <w:left w:val="nil"/>
              <w:bottom w:val="single" w:sz="4" w:space="0" w:color="auto"/>
              <w:right w:val="single" w:sz="4" w:space="0" w:color="auto"/>
            </w:tcBorders>
            <w:shd w:val="clear" w:color="auto" w:fill="auto"/>
            <w:noWrap/>
            <w:vAlign w:val="bottom"/>
            <w:hideMark/>
          </w:tcPr>
          <w:p w14:paraId="6C2800A9"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44 993</w:t>
            </w:r>
          </w:p>
        </w:tc>
        <w:tc>
          <w:tcPr>
            <w:tcW w:w="0" w:type="auto"/>
            <w:tcBorders>
              <w:top w:val="nil"/>
              <w:left w:val="nil"/>
              <w:bottom w:val="single" w:sz="4" w:space="0" w:color="auto"/>
              <w:right w:val="single" w:sz="4" w:space="0" w:color="auto"/>
            </w:tcBorders>
            <w:shd w:val="clear" w:color="auto" w:fill="auto"/>
            <w:noWrap/>
            <w:vAlign w:val="bottom"/>
            <w:hideMark/>
          </w:tcPr>
          <w:p w14:paraId="55AE3AA5"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4 072</w:t>
            </w:r>
          </w:p>
        </w:tc>
        <w:tc>
          <w:tcPr>
            <w:tcW w:w="0" w:type="auto"/>
            <w:tcBorders>
              <w:top w:val="nil"/>
              <w:left w:val="nil"/>
              <w:bottom w:val="single" w:sz="4" w:space="0" w:color="auto"/>
              <w:right w:val="single" w:sz="4" w:space="0" w:color="auto"/>
            </w:tcBorders>
            <w:shd w:val="clear" w:color="auto" w:fill="auto"/>
            <w:noWrap/>
            <w:vAlign w:val="bottom"/>
            <w:hideMark/>
          </w:tcPr>
          <w:p w14:paraId="180CB179"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91</w:t>
            </w:r>
          </w:p>
        </w:tc>
        <w:tc>
          <w:tcPr>
            <w:tcW w:w="0" w:type="auto"/>
            <w:tcBorders>
              <w:top w:val="nil"/>
              <w:left w:val="nil"/>
              <w:bottom w:val="single" w:sz="4" w:space="0" w:color="auto"/>
              <w:right w:val="single" w:sz="4" w:space="0" w:color="auto"/>
            </w:tcBorders>
            <w:shd w:val="clear" w:color="auto" w:fill="auto"/>
            <w:noWrap/>
            <w:vAlign w:val="bottom"/>
            <w:hideMark/>
          </w:tcPr>
          <w:p w14:paraId="3A012727"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nil"/>
            </w:tcBorders>
            <w:shd w:val="clear" w:color="auto" w:fill="auto"/>
            <w:noWrap/>
            <w:vAlign w:val="bottom"/>
            <w:hideMark/>
          </w:tcPr>
          <w:p w14:paraId="5947E5D9"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36499824"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613 819</w:t>
            </w:r>
          </w:p>
        </w:tc>
      </w:tr>
      <w:tr w:rsidR="003E0F58" w:rsidRPr="005753FE" w14:paraId="6A081D57" w14:textId="77777777" w:rsidTr="004D2249">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7F111490"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39</w:t>
            </w:r>
          </w:p>
        </w:tc>
        <w:tc>
          <w:tcPr>
            <w:tcW w:w="0" w:type="auto"/>
            <w:tcBorders>
              <w:top w:val="nil"/>
              <w:left w:val="nil"/>
              <w:bottom w:val="single" w:sz="4" w:space="0" w:color="auto"/>
              <w:right w:val="single" w:sz="4" w:space="0" w:color="auto"/>
            </w:tcBorders>
            <w:shd w:val="clear" w:color="auto" w:fill="auto"/>
            <w:noWrap/>
            <w:vAlign w:val="bottom"/>
            <w:hideMark/>
          </w:tcPr>
          <w:p w14:paraId="4D4ED0DF"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170 000</w:t>
            </w:r>
          </w:p>
        </w:tc>
        <w:tc>
          <w:tcPr>
            <w:tcW w:w="0" w:type="auto"/>
            <w:tcBorders>
              <w:top w:val="nil"/>
              <w:left w:val="nil"/>
              <w:bottom w:val="single" w:sz="4" w:space="0" w:color="auto"/>
              <w:right w:val="single" w:sz="4" w:space="0" w:color="auto"/>
            </w:tcBorders>
            <w:shd w:val="clear" w:color="auto" w:fill="auto"/>
            <w:noWrap/>
            <w:vAlign w:val="bottom"/>
            <w:hideMark/>
          </w:tcPr>
          <w:p w14:paraId="63AFDEE4"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36 629</w:t>
            </w:r>
          </w:p>
        </w:tc>
        <w:tc>
          <w:tcPr>
            <w:tcW w:w="0" w:type="auto"/>
            <w:tcBorders>
              <w:top w:val="nil"/>
              <w:left w:val="nil"/>
              <w:bottom w:val="single" w:sz="4" w:space="0" w:color="auto"/>
              <w:right w:val="single" w:sz="4" w:space="0" w:color="auto"/>
            </w:tcBorders>
            <w:shd w:val="clear" w:color="auto" w:fill="auto"/>
            <w:noWrap/>
            <w:vAlign w:val="bottom"/>
            <w:hideMark/>
          </w:tcPr>
          <w:p w14:paraId="6D06AF89"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24 652</w:t>
            </w:r>
          </w:p>
        </w:tc>
        <w:tc>
          <w:tcPr>
            <w:tcW w:w="0" w:type="auto"/>
            <w:tcBorders>
              <w:top w:val="nil"/>
              <w:left w:val="nil"/>
              <w:bottom w:val="single" w:sz="4" w:space="0" w:color="auto"/>
              <w:right w:val="single" w:sz="4" w:space="0" w:color="auto"/>
            </w:tcBorders>
            <w:shd w:val="clear" w:color="auto" w:fill="auto"/>
            <w:noWrap/>
            <w:vAlign w:val="bottom"/>
            <w:hideMark/>
          </w:tcPr>
          <w:p w14:paraId="34890B63"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20 498</w:t>
            </w:r>
          </w:p>
        </w:tc>
        <w:tc>
          <w:tcPr>
            <w:tcW w:w="0" w:type="auto"/>
            <w:tcBorders>
              <w:top w:val="nil"/>
              <w:left w:val="nil"/>
              <w:bottom w:val="single" w:sz="4" w:space="0" w:color="auto"/>
              <w:right w:val="single" w:sz="4" w:space="0" w:color="auto"/>
            </w:tcBorders>
            <w:shd w:val="clear" w:color="auto" w:fill="auto"/>
            <w:noWrap/>
            <w:vAlign w:val="bottom"/>
            <w:hideMark/>
          </w:tcPr>
          <w:p w14:paraId="0886AF1B"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2 518</w:t>
            </w:r>
          </w:p>
        </w:tc>
        <w:tc>
          <w:tcPr>
            <w:tcW w:w="0" w:type="auto"/>
            <w:tcBorders>
              <w:top w:val="nil"/>
              <w:left w:val="nil"/>
              <w:bottom w:val="single" w:sz="4" w:space="0" w:color="auto"/>
              <w:right w:val="single" w:sz="4" w:space="0" w:color="auto"/>
            </w:tcBorders>
            <w:shd w:val="clear" w:color="auto" w:fill="auto"/>
            <w:noWrap/>
            <w:vAlign w:val="bottom"/>
            <w:hideMark/>
          </w:tcPr>
          <w:p w14:paraId="31F865FE"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single" w:sz="4" w:space="0" w:color="auto"/>
            </w:tcBorders>
            <w:shd w:val="clear" w:color="auto" w:fill="auto"/>
            <w:noWrap/>
            <w:vAlign w:val="bottom"/>
            <w:hideMark/>
          </w:tcPr>
          <w:p w14:paraId="216D8A2E"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single" w:sz="4" w:space="0" w:color="auto"/>
              <w:right w:val="nil"/>
            </w:tcBorders>
            <w:shd w:val="clear" w:color="auto" w:fill="auto"/>
            <w:noWrap/>
            <w:vAlign w:val="bottom"/>
            <w:hideMark/>
          </w:tcPr>
          <w:p w14:paraId="025AD670"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71E1445A"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254 297</w:t>
            </w:r>
          </w:p>
        </w:tc>
      </w:tr>
      <w:tr w:rsidR="003E0F58" w:rsidRPr="005753FE" w14:paraId="0E56D4E2" w14:textId="77777777" w:rsidTr="004D2249">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545A920F"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40</w:t>
            </w:r>
          </w:p>
        </w:tc>
        <w:tc>
          <w:tcPr>
            <w:tcW w:w="0" w:type="auto"/>
            <w:tcBorders>
              <w:top w:val="nil"/>
              <w:left w:val="nil"/>
              <w:bottom w:val="single" w:sz="4" w:space="0" w:color="auto"/>
              <w:right w:val="single" w:sz="4" w:space="0" w:color="auto"/>
            </w:tcBorders>
            <w:shd w:val="clear" w:color="auto" w:fill="auto"/>
            <w:noWrap/>
            <w:vAlign w:val="bottom"/>
            <w:hideMark/>
          </w:tcPr>
          <w:p w14:paraId="31A2222A"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105 390</w:t>
            </w:r>
          </w:p>
        </w:tc>
        <w:tc>
          <w:tcPr>
            <w:tcW w:w="0" w:type="auto"/>
            <w:tcBorders>
              <w:top w:val="nil"/>
              <w:left w:val="nil"/>
              <w:bottom w:val="single" w:sz="4" w:space="0" w:color="auto"/>
              <w:right w:val="single" w:sz="4" w:space="0" w:color="auto"/>
            </w:tcBorders>
            <w:shd w:val="clear" w:color="auto" w:fill="auto"/>
            <w:noWrap/>
            <w:vAlign w:val="bottom"/>
            <w:hideMark/>
          </w:tcPr>
          <w:p w14:paraId="3405817F"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264 662</w:t>
            </w:r>
          </w:p>
        </w:tc>
        <w:tc>
          <w:tcPr>
            <w:tcW w:w="0" w:type="auto"/>
            <w:tcBorders>
              <w:top w:val="nil"/>
              <w:left w:val="nil"/>
              <w:bottom w:val="single" w:sz="4" w:space="0" w:color="auto"/>
              <w:right w:val="single" w:sz="4" w:space="0" w:color="auto"/>
            </w:tcBorders>
            <w:shd w:val="clear" w:color="auto" w:fill="auto"/>
            <w:noWrap/>
            <w:vAlign w:val="bottom"/>
            <w:hideMark/>
          </w:tcPr>
          <w:p w14:paraId="5245AF9D"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450 568</w:t>
            </w:r>
          </w:p>
        </w:tc>
        <w:tc>
          <w:tcPr>
            <w:tcW w:w="0" w:type="auto"/>
            <w:tcBorders>
              <w:top w:val="nil"/>
              <w:left w:val="nil"/>
              <w:bottom w:val="single" w:sz="4" w:space="0" w:color="auto"/>
              <w:right w:val="single" w:sz="4" w:space="0" w:color="auto"/>
            </w:tcBorders>
            <w:shd w:val="clear" w:color="auto" w:fill="auto"/>
            <w:noWrap/>
            <w:vAlign w:val="bottom"/>
            <w:hideMark/>
          </w:tcPr>
          <w:p w14:paraId="566F0901"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504 203</w:t>
            </w:r>
          </w:p>
        </w:tc>
        <w:tc>
          <w:tcPr>
            <w:tcW w:w="0" w:type="auto"/>
            <w:tcBorders>
              <w:top w:val="nil"/>
              <w:left w:val="nil"/>
              <w:bottom w:val="single" w:sz="4" w:space="0" w:color="auto"/>
              <w:right w:val="single" w:sz="4" w:space="0" w:color="auto"/>
            </w:tcBorders>
            <w:shd w:val="clear" w:color="auto" w:fill="auto"/>
            <w:noWrap/>
            <w:vAlign w:val="bottom"/>
            <w:hideMark/>
          </w:tcPr>
          <w:p w14:paraId="7CB94593"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173 824</w:t>
            </w:r>
          </w:p>
        </w:tc>
        <w:tc>
          <w:tcPr>
            <w:tcW w:w="0" w:type="auto"/>
            <w:tcBorders>
              <w:top w:val="nil"/>
              <w:left w:val="nil"/>
              <w:bottom w:val="single" w:sz="4" w:space="0" w:color="auto"/>
              <w:right w:val="single" w:sz="4" w:space="0" w:color="auto"/>
            </w:tcBorders>
            <w:shd w:val="clear" w:color="auto" w:fill="auto"/>
            <w:noWrap/>
            <w:vAlign w:val="bottom"/>
            <w:hideMark/>
          </w:tcPr>
          <w:p w14:paraId="6AAF0CEA"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3 135</w:t>
            </w:r>
          </w:p>
        </w:tc>
        <w:tc>
          <w:tcPr>
            <w:tcW w:w="0" w:type="auto"/>
            <w:tcBorders>
              <w:top w:val="nil"/>
              <w:left w:val="nil"/>
              <w:bottom w:val="single" w:sz="4" w:space="0" w:color="auto"/>
              <w:right w:val="single" w:sz="4" w:space="0" w:color="auto"/>
            </w:tcBorders>
            <w:shd w:val="clear" w:color="auto" w:fill="auto"/>
            <w:noWrap/>
            <w:vAlign w:val="bottom"/>
            <w:hideMark/>
          </w:tcPr>
          <w:p w14:paraId="588F583B"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14</w:t>
            </w:r>
          </w:p>
        </w:tc>
        <w:tc>
          <w:tcPr>
            <w:tcW w:w="0" w:type="auto"/>
            <w:tcBorders>
              <w:top w:val="nil"/>
              <w:left w:val="nil"/>
              <w:bottom w:val="single" w:sz="4" w:space="0" w:color="auto"/>
              <w:right w:val="nil"/>
            </w:tcBorders>
            <w:shd w:val="clear" w:color="auto" w:fill="auto"/>
            <w:noWrap/>
            <w:vAlign w:val="bottom"/>
            <w:hideMark/>
          </w:tcPr>
          <w:p w14:paraId="0E38A681"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2E5858E3"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1 501 795</w:t>
            </w:r>
          </w:p>
        </w:tc>
      </w:tr>
      <w:tr w:rsidR="003E0F58" w:rsidRPr="005753FE" w14:paraId="36F7DB3F" w14:textId="77777777" w:rsidTr="004D2249">
        <w:tc>
          <w:tcPr>
            <w:tcW w:w="0" w:type="auto"/>
            <w:tcBorders>
              <w:top w:val="nil"/>
              <w:left w:val="single" w:sz="8" w:space="0" w:color="auto"/>
              <w:bottom w:val="nil"/>
              <w:right w:val="single" w:sz="8" w:space="0" w:color="auto"/>
            </w:tcBorders>
            <w:shd w:val="clear" w:color="auto" w:fill="auto"/>
            <w:noWrap/>
            <w:vAlign w:val="bottom"/>
            <w:hideMark/>
          </w:tcPr>
          <w:p w14:paraId="3431A277"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41</w:t>
            </w:r>
          </w:p>
        </w:tc>
        <w:tc>
          <w:tcPr>
            <w:tcW w:w="0" w:type="auto"/>
            <w:tcBorders>
              <w:top w:val="nil"/>
              <w:left w:val="nil"/>
              <w:bottom w:val="nil"/>
              <w:right w:val="single" w:sz="4" w:space="0" w:color="auto"/>
            </w:tcBorders>
            <w:shd w:val="clear" w:color="auto" w:fill="auto"/>
            <w:noWrap/>
            <w:vAlign w:val="bottom"/>
            <w:hideMark/>
          </w:tcPr>
          <w:p w14:paraId="6F328A31"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115 794</w:t>
            </w:r>
          </w:p>
        </w:tc>
        <w:tc>
          <w:tcPr>
            <w:tcW w:w="0" w:type="auto"/>
            <w:tcBorders>
              <w:top w:val="nil"/>
              <w:left w:val="nil"/>
              <w:bottom w:val="nil"/>
              <w:right w:val="single" w:sz="4" w:space="0" w:color="auto"/>
            </w:tcBorders>
            <w:shd w:val="clear" w:color="auto" w:fill="auto"/>
            <w:noWrap/>
            <w:vAlign w:val="bottom"/>
            <w:hideMark/>
          </w:tcPr>
          <w:p w14:paraId="00EC6746"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274 057</w:t>
            </w:r>
          </w:p>
        </w:tc>
        <w:tc>
          <w:tcPr>
            <w:tcW w:w="0" w:type="auto"/>
            <w:tcBorders>
              <w:top w:val="nil"/>
              <w:left w:val="nil"/>
              <w:bottom w:val="nil"/>
              <w:right w:val="single" w:sz="4" w:space="0" w:color="auto"/>
            </w:tcBorders>
            <w:shd w:val="clear" w:color="auto" w:fill="auto"/>
            <w:noWrap/>
            <w:vAlign w:val="bottom"/>
            <w:hideMark/>
          </w:tcPr>
          <w:p w14:paraId="0842AA72"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402 785</w:t>
            </w:r>
          </w:p>
        </w:tc>
        <w:tc>
          <w:tcPr>
            <w:tcW w:w="0" w:type="auto"/>
            <w:tcBorders>
              <w:top w:val="nil"/>
              <w:left w:val="nil"/>
              <w:bottom w:val="nil"/>
              <w:right w:val="single" w:sz="4" w:space="0" w:color="auto"/>
            </w:tcBorders>
            <w:shd w:val="clear" w:color="auto" w:fill="auto"/>
            <w:noWrap/>
            <w:vAlign w:val="bottom"/>
            <w:hideMark/>
          </w:tcPr>
          <w:p w14:paraId="00918BDF"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227 613</w:t>
            </w:r>
          </w:p>
        </w:tc>
        <w:tc>
          <w:tcPr>
            <w:tcW w:w="0" w:type="auto"/>
            <w:tcBorders>
              <w:top w:val="nil"/>
              <w:left w:val="nil"/>
              <w:bottom w:val="nil"/>
              <w:right w:val="single" w:sz="4" w:space="0" w:color="auto"/>
            </w:tcBorders>
            <w:shd w:val="clear" w:color="auto" w:fill="auto"/>
            <w:noWrap/>
            <w:vAlign w:val="bottom"/>
            <w:hideMark/>
          </w:tcPr>
          <w:p w14:paraId="6AAF8851"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10 306</w:t>
            </w:r>
          </w:p>
        </w:tc>
        <w:tc>
          <w:tcPr>
            <w:tcW w:w="0" w:type="auto"/>
            <w:tcBorders>
              <w:top w:val="nil"/>
              <w:left w:val="nil"/>
              <w:bottom w:val="nil"/>
              <w:right w:val="single" w:sz="4" w:space="0" w:color="auto"/>
            </w:tcBorders>
            <w:shd w:val="clear" w:color="auto" w:fill="auto"/>
            <w:noWrap/>
            <w:vAlign w:val="bottom"/>
            <w:hideMark/>
          </w:tcPr>
          <w:p w14:paraId="6B0D8A9E"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nil"/>
              <w:right w:val="single" w:sz="4" w:space="0" w:color="auto"/>
            </w:tcBorders>
            <w:shd w:val="clear" w:color="auto" w:fill="auto"/>
            <w:noWrap/>
            <w:vAlign w:val="bottom"/>
            <w:hideMark/>
          </w:tcPr>
          <w:p w14:paraId="018BAE69"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nil"/>
              <w:bottom w:val="nil"/>
              <w:right w:val="nil"/>
            </w:tcBorders>
            <w:shd w:val="clear" w:color="auto" w:fill="auto"/>
            <w:noWrap/>
            <w:vAlign w:val="bottom"/>
            <w:hideMark/>
          </w:tcPr>
          <w:p w14:paraId="66AEB1E8"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 </w:t>
            </w:r>
          </w:p>
        </w:tc>
        <w:tc>
          <w:tcPr>
            <w:tcW w:w="0" w:type="auto"/>
            <w:tcBorders>
              <w:top w:val="nil"/>
              <w:left w:val="single" w:sz="8" w:space="0" w:color="auto"/>
              <w:bottom w:val="nil"/>
              <w:right w:val="single" w:sz="8" w:space="0" w:color="auto"/>
            </w:tcBorders>
            <w:shd w:val="clear" w:color="auto" w:fill="auto"/>
            <w:noWrap/>
            <w:vAlign w:val="bottom"/>
            <w:hideMark/>
          </w:tcPr>
          <w:p w14:paraId="56EC0139" w14:textId="77777777" w:rsidR="003E0F58" w:rsidRPr="005753FE" w:rsidRDefault="003E0F58" w:rsidP="004D2249">
            <w:pPr>
              <w:ind w:left="284" w:hanging="284"/>
              <w:jc w:val="center"/>
              <w:rPr>
                <w:rFonts w:cs="Times New Roman"/>
                <w:color w:val="000000"/>
                <w:sz w:val="20"/>
                <w:szCs w:val="20"/>
                <w:lang w:val="cs-CZ"/>
              </w:rPr>
            </w:pPr>
            <w:r w:rsidRPr="005753FE">
              <w:rPr>
                <w:rFonts w:cs="Times New Roman"/>
                <w:color w:val="000000"/>
                <w:sz w:val="20"/>
                <w:szCs w:val="20"/>
                <w:lang w:val="cs-CZ"/>
              </w:rPr>
              <w:t>1 030 556</w:t>
            </w:r>
          </w:p>
        </w:tc>
      </w:tr>
      <w:tr w:rsidR="003E0F58" w:rsidRPr="005753FE" w14:paraId="16F08497" w14:textId="77777777" w:rsidTr="004D2249">
        <w:tc>
          <w:tcPr>
            <w:tcW w:w="0" w:type="auto"/>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5DA2DD2C" w14:textId="77777777" w:rsidR="003E0F58" w:rsidRPr="005753FE" w:rsidRDefault="003E0F58" w:rsidP="004D2249">
            <w:pPr>
              <w:ind w:left="284" w:hanging="284"/>
              <w:jc w:val="center"/>
              <w:rPr>
                <w:rFonts w:cs="Times New Roman"/>
                <w:b/>
                <w:bCs/>
                <w:color w:val="000000"/>
                <w:sz w:val="20"/>
                <w:szCs w:val="20"/>
                <w:lang w:val="cs-CZ"/>
              </w:rPr>
            </w:pPr>
            <w:r w:rsidRPr="005753FE">
              <w:rPr>
                <w:rFonts w:cs="Times New Roman"/>
                <w:b/>
                <w:bCs/>
                <w:color w:val="000000"/>
                <w:sz w:val="20"/>
                <w:szCs w:val="20"/>
                <w:lang w:val="cs-CZ"/>
              </w:rPr>
              <w:t>celkem</w:t>
            </w:r>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4C0BC04B" w14:textId="77777777" w:rsidR="003E0F58" w:rsidRPr="005753FE" w:rsidRDefault="003E0F58" w:rsidP="004D2249">
            <w:pPr>
              <w:ind w:left="284" w:hanging="284"/>
              <w:jc w:val="center"/>
              <w:rPr>
                <w:rFonts w:cs="Times New Roman"/>
                <w:b/>
                <w:bCs/>
                <w:color w:val="000000"/>
                <w:sz w:val="20"/>
                <w:szCs w:val="20"/>
                <w:lang w:val="cs-CZ"/>
              </w:rPr>
            </w:pPr>
            <w:r w:rsidRPr="005753FE">
              <w:rPr>
                <w:rFonts w:cs="Times New Roman"/>
                <w:b/>
                <w:bCs/>
                <w:color w:val="000000"/>
                <w:sz w:val="20"/>
                <w:szCs w:val="20"/>
                <w:lang w:val="cs-CZ"/>
              </w:rPr>
              <w:t>19 876 825</w:t>
            </w:r>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79DCD8E1" w14:textId="77777777" w:rsidR="003E0F58" w:rsidRPr="005753FE" w:rsidRDefault="003E0F58" w:rsidP="004D2249">
            <w:pPr>
              <w:ind w:left="284" w:hanging="284"/>
              <w:jc w:val="center"/>
              <w:rPr>
                <w:rFonts w:cs="Times New Roman"/>
                <w:b/>
                <w:bCs/>
                <w:color w:val="000000"/>
                <w:sz w:val="20"/>
                <w:szCs w:val="20"/>
                <w:lang w:val="cs-CZ"/>
              </w:rPr>
            </w:pPr>
            <w:r w:rsidRPr="005753FE">
              <w:rPr>
                <w:rFonts w:cs="Times New Roman"/>
                <w:b/>
                <w:bCs/>
                <w:color w:val="000000"/>
                <w:sz w:val="20"/>
                <w:szCs w:val="20"/>
                <w:lang w:val="cs-CZ"/>
              </w:rPr>
              <w:t>10 443 023</w:t>
            </w:r>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28793590" w14:textId="77777777" w:rsidR="003E0F58" w:rsidRPr="005753FE" w:rsidRDefault="003E0F58" w:rsidP="004D2249">
            <w:pPr>
              <w:ind w:left="284" w:hanging="284"/>
              <w:jc w:val="center"/>
              <w:rPr>
                <w:rFonts w:cs="Times New Roman"/>
                <w:b/>
                <w:bCs/>
                <w:color w:val="000000"/>
                <w:sz w:val="20"/>
                <w:szCs w:val="20"/>
                <w:lang w:val="cs-CZ"/>
              </w:rPr>
            </w:pPr>
            <w:r w:rsidRPr="005753FE">
              <w:rPr>
                <w:rFonts w:cs="Times New Roman"/>
                <w:b/>
                <w:bCs/>
                <w:color w:val="000000"/>
                <w:sz w:val="20"/>
                <w:szCs w:val="20"/>
                <w:lang w:val="cs-CZ"/>
              </w:rPr>
              <w:t>6 157 147</w:t>
            </w:r>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4D0898AC" w14:textId="77777777" w:rsidR="003E0F58" w:rsidRPr="005753FE" w:rsidRDefault="003E0F58" w:rsidP="004D2249">
            <w:pPr>
              <w:ind w:left="284" w:hanging="284"/>
              <w:jc w:val="center"/>
              <w:rPr>
                <w:rFonts w:cs="Times New Roman"/>
                <w:b/>
                <w:bCs/>
                <w:color w:val="000000"/>
                <w:sz w:val="20"/>
                <w:szCs w:val="20"/>
                <w:lang w:val="cs-CZ"/>
              </w:rPr>
            </w:pPr>
            <w:r w:rsidRPr="005753FE">
              <w:rPr>
                <w:rFonts w:cs="Times New Roman"/>
                <w:b/>
                <w:bCs/>
                <w:color w:val="000000"/>
                <w:sz w:val="20"/>
                <w:szCs w:val="20"/>
                <w:lang w:val="cs-CZ"/>
              </w:rPr>
              <w:t>2 474 876</w:t>
            </w:r>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5DD5E3A3" w14:textId="77777777" w:rsidR="003E0F58" w:rsidRPr="005753FE" w:rsidRDefault="003E0F58" w:rsidP="004D2249">
            <w:pPr>
              <w:ind w:left="284" w:hanging="284"/>
              <w:jc w:val="center"/>
              <w:rPr>
                <w:rFonts w:cs="Times New Roman"/>
                <w:b/>
                <w:bCs/>
                <w:color w:val="000000"/>
                <w:sz w:val="20"/>
                <w:szCs w:val="20"/>
                <w:lang w:val="cs-CZ"/>
              </w:rPr>
            </w:pPr>
            <w:r w:rsidRPr="005753FE">
              <w:rPr>
                <w:rFonts w:cs="Times New Roman"/>
                <w:b/>
                <w:bCs/>
                <w:color w:val="000000"/>
                <w:sz w:val="20"/>
                <w:szCs w:val="20"/>
                <w:lang w:val="cs-CZ"/>
              </w:rPr>
              <w:t>392 924</w:t>
            </w:r>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718AC64B" w14:textId="77777777" w:rsidR="003E0F58" w:rsidRPr="005753FE" w:rsidRDefault="003E0F58" w:rsidP="004D2249">
            <w:pPr>
              <w:ind w:left="284" w:hanging="284"/>
              <w:jc w:val="center"/>
              <w:rPr>
                <w:rFonts w:cs="Times New Roman"/>
                <w:b/>
                <w:bCs/>
                <w:color w:val="000000"/>
                <w:sz w:val="20"/>
                <w:szCs w:val="20"/>
                <w:lang w:val="cs-CZ"/>
              </w:rPr>
            </w:pPr>
            <w:r w:rsidRPr="005753FE">
              <w:rPr>
                <w:rFonts w:cs="Times New Roman"/>
                <w:b/>
                <w:bCs/>
                <w:color w:val="000000"/>
                <w:sz w:val="20"/>
                <w:szCs w:val="20"/>
                <w:lang w:val="cs-CZ"/>
              </w:rPr>
              <w:t>9 406</w:t>
            </w:r>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73E62287" w14:textId="77777777" w:rsidR="003E0F58" w:rsidRPr="005753FE" w:rsidRDefault="003E0F58" w:rsidP="004D2249">
            <w:pPr>
              <w:ind w:left="284" w:hanging="284"/>
              <w:jc w:val="center"/>
              <w:rPr>
                <w:rFonts w:cs="Times New Roman"/>
                <w:b/>
                <w:bCs/>
                <w:color w:val="000000"/>
                <w:sz w:val="20"/>
                <w:szCs w:val="20"/>
                <w:lang w:val="cs-CZ"/>
              </w:rPr>
            </w:pPr>
            <w:r w:rsidRPr="005753FE">
              <w:rPr>
                <w:rFonts w:cs="Times New Roman"/>
                <w:b/>
                <w:bCs/>
                <w:color w:val="000000"/>
                <w:sz w:val="20"/>
                <w:szCs w:val="20"/>
                <w:lang w:val="cs-CZ"/>
              </w:rPr>
              <w:t>946</w:t>
            </w:r>
          </w:p>
        </w:tc>
        <w:tc>
          <w:tcPr>
            <w:tcW w:w="0" w:type="auto"/>
            <w:tcBorders>
              <w:top w:val="single" w:sz="8" w:space="0" w:color="auto"/>
              <w:left w:val="nil"/>
              <w:bottom w:val="single" w:sz="8" w:space="0" w:color="auto"/>
              <w:right w:val="nil"/>
            </w:tcBorders>
            <w:shd w:val="clear" w:color="auto" w:fill="auto"/>
            <w:noWrap/>
            <w:vAlign w:val="bottom"/>
            <w:hideMark/>
          </w:tcPr>
          <w:p w14:paraId="5EC79BD6" w14:textId="77777777" w:rsidR="003E0F58" w:rsidRPr="005753FE" w:rsidRDefault="003E0F58" w:rsidP="004D2249">
            <w:pPr>
              <w:ind w:left="284" w:hanging="284"/>
              <w:jc w:val="center"/>
              <w:rPr>
                <w:rFonts w:cs="Times New Roman"/>
                <w:b/>
                <w:bCs/>
                <w:color w:val="000000"/>
                <w:sz w:val="20"/>
                <w:szCs w:val="20"/>
                <w:lang w:val="cs-CZ"/>
              </w:rPr>
            </w:pPr>
            <w:r w:rsidRPr="005753FE">
              <w:rPr>
                <w:rFonts w:cs="Times New Roman"/>
                <w:b/>
                <w:bCs/>
                <w:color w:val="000000"/>
                <w:sz w:val="20"/>
                <w:szCs w:val="20"/>
                <w:lang w:val="cs-CZ"/>
              </w:rPr>
              <w:t>41</w:t>
            </w:r>
          </w:p>
        </w:tc>
        <w:tc>
          <w:tcPr>
            <w:tcW w:w="0" w:type="auto"/>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2AB25841" w14:textId="77777777" w:rsidR="003E0F58" w:rsidRPr="005753FE" w:rsidRDefault="003E0F58" w:rsidP="004D2249">
            <w:pPr>
              <w:ind w:left="284" w:hanging="284"/>
              <w:jc w:val="center"/>
              <w:rPr>
                <w:rFonts w:cs="Times New Roman"/>
                <w:b/>
                <w:bCs/>
                <w:color w:val="000000"/>
                <w:sz w:val="20"/>
                <w:szCs w:val="20"/>
                <w:lang w:val="cs-CZ"/>
              </w:rPr>
            </w:pPr>
            <w:r w:rsidRPr="005753FE">
              <w:rPr>
                <w:rFonts w:cs="Times New Roman"/>
                <w:b/>
                <w:bCs/>
                <w:color w:val="000000"/>
                <w:sz w:val="20"/>
                <w:szCs w:val="20"/>
                <w:lang w:val="cs-CZ"/>
              </w:rPr>
              <w:t>39 355 188</w:t>
            </w:r>
          </w:p>
        </w:tc>
      </w:tr>
    </w:tbl>
    <w:p w14:paraId="241B5991" w14:textId="77777777" w:rsidR="003E0F58" w:rsidRPr="007C705C" w:rsidRDefault="003E0F58" w:rsidP="009963F3">
      <w:pPr>
        <w:pStyle w:val="UZEIZdroj"/>
      </w:pPr>
      <w:r w:rsidRPr="007C705C">
        <w:t>Zdroj: ÚHÚL 2014</w:t>
      </w:r>
    </w:p>
    <w:p w14:paraId="4847D8CE" w14:textId="77777777" w:rsidR="003E0F58" w:rsidRPr="007C705C" w:rsidRDefault="003E0F58" w:rsidP="009963F3">
      <w:pPr>
        <w:pStyle w:val="UZEINormaln"/>
        <w:rPr>
          <w:rFonts w:eastAsia="Calibri"/>
          <w:i/>
        </w:rPr>
      </w:pPr>
      <w:r w:rsidRPr="007C705C">
        <w:rPr>
          <w:rFonts w:eastAsia="Calibri"/>
        </w:rPr>
        <w:t>Ochranná a retenční funkce lesů není dostatečná při extrémních klimatických jevech (přívalové srážky, rychlé tání sněhu), kdy lesní porosty společně s lesní půdou nedokáží tuto povrchovou vodu rychle a účinně převést do půdního profilu a do podložních hornin. Většina vody z přívalových srážek nebo rychle tajícího sněhu v takové situaci vytvoří zrychlený nadměrný odtok vody z lesního povodí, který pak na korytě vodního toku, dotčených objektech a vodních dílech, a především níže v povodí vytváří povodňové škody. Stejný účinek má i plošně významnější snižování lesnatosti v povodí vodního toku, v současnosti vyvolávané zejm. nahodilou těžbou kůrovcového dříví (po odlesnění stoupá po dobu 5 až 10 let odtok z lesního povodí v průměru o 25 % v nížinách a pahorkatinách, o 19 % na vrchovinách a o 15 % v podhorských a horských oblastech).</w:t>
      </w:r>
    </w:p>
    <w:p w14:paraId="07553B78" w14:textId="77777777" w:rsidR="003E0F58" w:rsidRPr="007C705C" w:rsidRDefault="003E0F58" w:rsidP="009963F3">
      <w:pPr>
        <w:pStyle w:val="UZEINormaln"/>
        <w:rPr>
          <w:b/>
        </w:rPr>
      </w:pPr>
      <w:r w:rsidRPr="007C705C">
        <w:rPr>
          <w:rFonts w:eastAsia="Calibri"/>
        </w:rPr>
        <w:t xml:space="preserve">Síť ochranných lesních pásů byla založena v 50. letech 20. století, kdy se začala velmi negativně projevovat větrná eroze zemědělské půdy po suchém období kolem roku 1947 a scelování zemědělské půdy po roce 1948.  V zemědělské krajině byla vytvořena síť ochranných lesních pásů o celkové rozloze těchto porostů kolem 1 754 hektarů (z toho 67 % na jižní Moravě). Pro rychlé dosažení protierozního účinu byly použity hlavně rychle rostoucí stromové dřeviny (topoly), které měly být postupně nahrazovány dřevinami kosterními, k čemuž ale v důsledku </w:t>
      </w:r>
      <w:r w:rsidRPr="007C705C">
        <w:rPr>
          <w:rFonts w:eastAsia="Calibri"/>
        </w:rPr>
        <w:lastRenderedPageBreak/>
        <w:t>změn majetkových poměrů zpravidla již nedošlo. Kolem roku 2000 neudržované větrolamy začínají prosychat a odumírat, přestávají plnit svou protierozní funkci i funkce ostatní (krajinotvornou atd.). Vzhledem k nezastupitelné úloze ochranných lesních pásů při zajištění ekologické stability území s nízkou lesnatostí je nutné přistoupit k jejich rekonstrukci, popř. doplnění.</w:t>
      </w:r>
    </w:p>
    <w:p w14:paraId="6BD71BE5" w14:textId="77777777" w:rsidR="003E0F58" w:rsidRPr="007C705C" w:rsidRDefault="003E0F58" w:rsidP="008A1AE3">
      <w:pPr>
        <w:pStyle w:val="Odstavecseseznamem"/>
        <w:numPr>
          <w:ilvl w:val="0"/>
          <w:numId w:val="16"/>
        </w:numPr>
        <w:spacing w:before="60" w:line="360" w:lineRule="atLeast"/>
        <w:rPr>
          <w:rFonts w:eastAsiaTheme="minorEastAsia"/>
          <w:b/>
          <w:bCs/>
        </w:rPr>
      </w:pPr>
      <w:r w:rsidRPr="007C705C">
        <w:rPr>
          <w:rFonts w:eastAsiaTheme="minorEastAsia"/>
          <w:b/>
          <w:bCs/>
        </w:rPr>
        <w:t>Nedostatečné využití potenciálu lesních ekosystémů při možné minimalizaci dopadu očekávané globální klimatické změny a extrémních meteorologických jevů</w:t>
      </w:r>
    </w:p>
    <w:p w14:paraId="36560DF6" w14:textId="77777777" w:rsidR="003E0F58" w:rsidRPr="007C705C" w:rsidRDefault="003E0F58" w:rsidP="009963F3">
      <w:pPr>
        <w:pStyle w:val="UZEIOdrky"/>
        <w:rPr>
          <w:rFonts w:eastAsiaTheme="minorEastAsia"/>
        </w:rPr>
      </w:pPr>
      <w:r w:rsidRPr="007C705C">
        <w:rPr>
          <w:rFonts w:eastAsiaTheme="minorEastAsia"/>
        </w:rPr>
        <w:t>Zalesňování zemědělské půdy</w:t>
      </w:r>
    </w:p>
    <w:p w14:paraId="1E627441" w14:textId="77777777" w:rsidR="003E0F58" w:rsidRPr="007C705C" w:rsidRDefault="003E0F58" w:rsidP="009963F3">
      <w:pPr>
        <w:pStyle w:val="UZEINormaln"/>
        <w:rPr>
          <w:rFonts w:eastAsiaTheme="minorEastAsia"/>
        </w:rPr>
      </w:pPr>
      <w:r w:rsidRPr="007C705C">
        <w:rPr>
          <w:rFonts w:eastAsiaTheme="minorEastAsia"/>
        </w:rPr>
        <w:t>Česká republika patří k zemím s relativně vysokou lesnatostí. Lesní pozemky pokrývají v současné době výměru 2 647 416 ha, což představuje 33,1 % z celkového území státu. Zalesňováním zemědělsky nevyužívaných pozemků se výměra lesů soustavně zvyšuje.</w:t>
      </w:r>
    </w:p>
    <w:p w14:paraId="4212ABF1" w14:textId="77777777" w:rsidR="003E0F58" w:rsidRPr="007C705C" w:rsidRDefault="003E0F58" w:rsidP="009963F3">
      <w:pPr>
        <w:pStyle w:val="UZEINormaln"/>
        <w:rPr>
          <w:rFonts w:eastAsiaTheme="minorEastAsia"/>
        </w:rPr>
      </w:pPr>
      <w:r w:rsidRPr="007C705C">
        <w:rPr>
          <w:rFonts w:eastAsiaTheme="minorEastAsia"/>
        </w:rPr>
        <w:t>Na intenzivně obhospodařované zemědělské půdě je v souvislosti s klimatickými změnami spojeno mnoho negativních jevů, které je možno řešit prostřednictvím zalesňování. Jedná se o sekvestraci uhlíku, snížení eroze, zvýšení kvality půdy, zlepšení kvality vody, zvýšení retenční schopnosti a vyrovnání vodního režimu krajiny včetně dopadu na malý vodní cyklus, zvýšení biodiverzity, zlepšení ekologických funkcí krajiny (zvýšení funkcí zdravotních, sociálních, kulturních a rekreačních).</w:t>
      </w:r>
    </w:p>
    <w:p w14:paraId="615B1D95" w14:textId="3E625D93" w:rsidR="003E0F58" w:rsidRDefault="003E0F58" w:rsidP="009963F3">
      <w:pPr>
        <w:pStyle w:val="UZEINormaln"/>
        <w:rPr>
          <w:rFonts w:eastAsiaTheme="minorEastAsia"/>
        </w:rPr>
      </w:pPr>
      <w:r w:rsidRPr="007C705C">
        <w:rPr>
          <w:rFonts w:eastAsiaTheme="minorEastAsia"/>
        </w:rPr>
        <w:t>Od roku 2015 je vymezena vrstva vhodnosti k zalesnění a její aktuální rozsah je 2 513 174 ha.</w:t>
      </w:r>
    </w:p>
    <w:p w14:paraId="6302B2F8" w14:textId="01E16E43" w:rsidR="009963F3" w:rsidRPr="009963F3" w:rsidRDefault="009963F3" w:rsidP="009963F3">
      <w:pPr>
        <w:spacing w:after="160" w:line="259" w:lineRule="auto"/>
        <w:jc w:val="left"/>
        <w:rPr>
          <w:rFonts w:eastAsiaTheme="minorEastAsia" w:cstheme="minorHAnsi"/>
          <w:szCs w:val="24"/>
          <w:lang w:val="cs-CZ" w:eastAsia="cs-CZ"/>
        </w:rPr>
      </w:pPr>
      <w:r>
        <w:rPr>
          <w:rFonts w:eastAsiaTheme="minorEastAsia"/>
        </w:rPr>
        <w:br w:type="page"/>
      </w:r>
    </w:p>
    <w:p w14:paraId="7F8ABF95" w14:textId="15B0D0C6" w:rsidR="003E0F58" w:rsidRPr="009963F3" w:rsidRDefault="003E0F58" w:rsidP="009963F3">
      <w:pPr>
        <w:pStyle w:val="Nadpis1"/>
      </w:pPr>
      <w:bookmarkStart w:id="257" w:name="_Toc521315961"/>
      <w:bookmarkStart w:id="258" w:name="_Toc522523038"/>
      <w:bookmarkStart w:id="259" w:name="_Toc523143775"/>
      <w:bookmarkStart w:id="260" w:name="_Toc523146692"/>
      <w:bookmarkStart w:id="261" w:name="_Toc7429646"/>
      <w:bookmarkStart w:id="262" w:name="_Toc7429848"/>
      <w:bookmarkStart w:id="263" w:name="_Toc7430779"/>
      <w:bookmarkStart w:id="264" w:name="_Toc7432031"/>
      <w:bookmarkStart w:id="265" w:name="_Toc9611300"/>
      <w:bookmarkStart w:id="266" w:name="_Toc23326654"/>
      <w:bookmarkStart w:id="267" w:name="_Toc23327261"/>
      <w:bookmarkStart w:id="268" w:name="_Toc77245894"/>
      <w:bookmarkStart w:id="269" w:name="_Toc81343099"/>
      <w:bookmarkStart w:id="270" w:name="_Toc81343162"/>
      <w:bookmarkStart w:id="271" w:name="_Toc81343231"/>
      <w:bookmarkStart w:id="272" w:name="_Toc94181681"/>
      <w:r w:rsidRPr="009963F3">
        <w:lastRenderedPageBreak/>
        <w:t>Závažnost problému</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r w:rsidR="00661224">
        <w:tab/>
      </w:r>
    </w:p>
    <w:p w14:paraId="08E4AAE6" w14:textId="77777777" w:rsidR="003E0F58" w:rsidRPr="007C705C" w:rsidRDefault="003E0F58" w:rsidP="003E0F58">
      <w:pPr>
        <w:rPr>
          <w:rFonts w:eastAsiaTheme="minorEastAsia" w:cs="Times New Roman"/>
          <w:lang w:val="cs-CZ"/>
        </w:rPr>
      </w:pPr>
      <w:r w:rsidRPr="007C705C">
        <w:rPr>
          <w:rFonts w:cs="Times New Roman"/>
          <w:b/>
          <w:lang w:val="cs-CZ"/>
        </w:rPr>
        <w:t>KLIMA:</w:t>
      </w:r>
    </w:p>
    <w:p w14:paraId="477CDF18" w14:textId="77777777" w:rsidR="003E0F58" w:rsidRPr="007C705C" w:rsidRDefault="003E0F58" w:rsidP="008A1AE3">
      <w:pPr>
        <w:pStyle w:val="Odstavecseseznamem"/>
        <w:numPr>
          <w:ilvl w:val="0"/>
          <w:numId w:val="17"/>
        </w:numPr>
        <w:spacing w:before="60" w:line="360" w:lineRule="atLeast"/>
        <w:rPr>
          <w:rFonts w:eastAsiaTheme="minorEastAsia"/>
          <w:b/>
          <w:bCs/>
        </w:rPr>
      </w:pPr>
      <w:r w:rsidRPr="007C705C">
        <w:rPr>
          <w:rFonts w:eastAsiaTheme="minorEastAsia"/>
          <w:b/>
          <w:bCs/>
        </w:rPr>
        <w:t>Nízká odolnost zemědělských podniků vůči klimatickým změnám</w:t>
      </w:r>
    </w:p>
    <w:p w14:paraId="1C8775A3" w14:textId="2D0604B6" w:rsidR="003E0F58" w:rsidRPr="007C705C" w:rsidRDefault="003E0F58" w:rsidP="009963F3">
      <w:pPr>
        <w:pStyle w:val="UZEIOdrky"/>
        <w:rPr>
          <w:rFonts w:eastAsiaTheme="minorEastAsia"/>
        </w:rPr>
      </w:pPr>
      <w:r w:rsidRPr="007C705C">
        <w:rPr>
          <w:rFonts w:eastAsiaTheme="minorEastAsia"/>
        </w:rPr>
        <w:t>Narůstající teploty a klesající výnosy zemědělských plodin</w:t>
      </w:r>
    </w:p>
    <w:p w14:paraId="13B8A07F" w14:textId="77777777" w:rsidR="003E0F58" w:rsidRPr="00661224" w:rsidRDefault="003E0F58" w:rsidP="00661224">
      <w:pPr>
        <w:pStyle w:val="UZEINormaln"/>
        <w:rPr>
          <w:rFonts w:eastAsiaTheme="minorEastAsia"/>
        </w:rPr>
      </w:pPr>
      <w:r w:rsidRPr="00661224">
        <w:rPr>
          <w:rFonts w:eastAsiaTheme="minorEastAsia"/>
        </w:rPr>
        <w:t>Jedná se o typický synergický efekt dvou faktorů, což znamená, že účinek obou faktorů přesahuje součet jejich samostatného působení. Předpověď dopadů je poměrně obtížná, protože se jedná o nelineární vztah, kdy efekt od určité hladiny narůstá násobně (Urban et al. 2018). Současný výskyt vysokých teplot a nedostatku vody může mít devastující účinky na výnosy zemědělských plodin, zejména pokud působí v citlivých růstových fázích jako je např. kvetení. Již současné zkušenosti z praxe prokazují při současném výskytu sucha a vysokých teplot v citlivé růstové fázi ztráty v rozsahu 10-100%.</w:t>
      </w:r>
    </w:p>
    <w:p w14:paraId="2CF1D70B" w14:textId="68B290D0" w:rsidR="003E0F58" w:rsidRPr="007C705C" w:rsidRDefault="003E0F58" w:rsidP="00541FD2">
      <w:pPr>
        <w:pStyle w:val="UZEIOdrky"/>
        <w:rPr>
          <w:rFonts w:eastAsiaTheme="minorEastAsia"/>
        </w:rPr>
      </w:pPr>
      <w:r w:rsidRPr="007C705C">
        <w:rPr>
          <w:rFonts w:eastAsiaTheme="minorEastAsia"/>
        </w:rPr>
        <w:t>Šíření nových chorob, škůdců a plevelů</w:t>
      </w:r>
    </w:p>
    <w:p w14:paraId="54D38F98" w14:textId="77777777" w:rsidR="003E0F58" w:rsidRPr="00541FD2" w:rsidRDefault="003E0F58" w:rsidP="00541FD2">
      <w:pPr>
        <w:pStyle w:val="UZEINormaln"/>
        <w:rPr>
          <w:rFonts w:eastAsiaTheme="minorEastAsia"/>
        </w:rPr>
      </w:pPr>
      <w:r w:rsidRPr="00541FD2">
        <w:rPr>
          <w:rFonts w:eastAsiaTheme="minorEastAsia"/>
        </w:rPr>
        <w:t>Přestože modely predikce populační dynamiky chorob, škůdců a plevelů, umožňují předpovídat obecné trendy v šíření a škodlivosti škodlivých organismů, tyto předpovědi jsou zatíženy větší chybou než predikce přímého dopadu na výnosy, a to vzhledem k velmi složitým interakcím celé řady dalších faktorů, včetně vlivu diverzity v populaci škodlivého organismu (Pautasso et al. 2012, Bebber et al. 2013, Gregory et al. 2009, Ziska et al. 2011). Současně ale většina studií ukazuje, že tento nepřímý efekt může až násobně převýšit přímý efekt změny klimatu na plodinu (Luck et al. 2011).  V důsledku lze tedy očekávat, pokud nebudou uplatněna žádná adaptační opatření, ztráty spíše v desítkách procent a v krajních případech úplné zničení produkce.</w:t>
      </w:r>
    </w:p>
    <w:p w14:paraId="5338A8D0" w14:textId="6406ACA0" w:rsidR="003E0F58" w:rsidRPr="007C705C" w:rsidRDefault="003E0F58" w:rsidP="00541FD2">
      <w:pPr>
        <w:pStyle w:val="UZEIOdrky"/>
        <w:rPr>
          <w:rFonts w:eastAsiaTheme="minorEastAsia"/>
        </w:rPr>
      </w:pPr>
      <w:r w:rsidRPr="007C705C">
        <w:rPr>
          <w:rFonts w:eastAsiaTheme="minorEastAsia"/>
        </w:rPr>
        <w:t>Nepříznivé trendy změny klimatu a vodní bilance půd + Negativní dopady zemědělského sucha</w:t>
      </w:r>
    </w:p>
    <w:p w14:paraId="3FB1114C" w14:textId="77777777" w:rsidR="003E0F58" w:rsidRPr="007C705C" w:rsidRDefault="003E0F58" w:rsidP="00541FD2">
      <w:pPr>
        <w:pStyle w:val="UZEINormaln"/>
        <w:rPr>
          <w:rFonts w:eastAsiaTheme="minorEastAsia"/>
          <w:u w:val="single"/>
        </w:rPr>
      </w:pPr>
      <w:r w:rsidRPr="007C705C">
        <w:rPr>
          <w:rFonts w:eastAsiaTheme="minorEastAsia"/>
        </w:rPr>
        <w:t>Za posledních 6 let (2012-2017) se na území ČR vyskytlo 17 plošných agrometeorologických extrémů (mimo bodové události např. krupobití), z toho se desetkrát jednalo o epizodu sucha s menšími či závažnějšími ekonomickými dopady v rámci zemědělské produkce. V případě výskytu epizod zemědělského sucha, jakých jsme byli svědky v minulých letech, se jednalo z celostátního hlediska o škody v řádech miliard korun. Např. za rok 2015 zemědělci a lesníci požadovali po SZIF celkem 1,26 miliardy korun, žádost podalo 3 665 subjektů, z nichž vyplaceno bylo 3580 žádostí. Na odškodnění za škody způsobené suchem napříč zemědělskými plodinami v roce 2017 vláda vyčlenila 2,0 mld. Kč, přičemž dle odhadu se škoda pohybovala mezi 7,7 – 12,0 mld. Kč. Pro identifikaci rozložení kompenzačních plateb ze 2015 a 2017 byl využit portál Integrovaného systému pro sledování sucha (www.intersucho.cz).</w:t>
      </w:r>
    </w:p>
    <w:p w14:paraId="06F1735E" w14:textId="3E5077FD" w:rsidR="003E0F58" w:rsidRPr="007C705C" w:rsidRDefault="003E0F58" w:rsidP="00541FD2">
      <w:pPr>
        <w:pStyle w:val="UZEIOdrky"/>
        <w:rPr>
          <w:rFonts w:eastAsiaTheme="minorEastAsia"/>
          <w:u w:val="single"/>
        </w:rPr>
      </w:pPr>
      <w:r w:rsidRPr="007C705C">
        <w:rPr>
          <w:rFonts w:eastAsiaTheme="minorEastAsia"/>
        </w:rPr>
        <w:t>Riziko vodní eroze a dalších degradačních faktorů</w:t>
      </w:r>
    </w:p>
    <w:p w14:paraId="72804127" w14:textId="64F7CEE4" w:rsidR="003E0F58" w:rsidRPr="0096517C" w:rsidRDefault="003E0F58" w:rsidP="00541FD2">
      <w:pPr>
        <w:pStyle w:val="UZEINormaln"/>
        <w:rPr>
          <w:rFonts w:eastAsiaTheme="minorEastAsia"/>
        </w:rPr>
      </w:pPr>
      <w:r w:rsidRPr="007C705C">
        <w:rPr>
          <w:rFonts w:eastAsiaTheme="minorEastAsia"/>
        </w:rPr>
        <w:t xml:space="preserve">Expertní hodnocení VÚMOP v.v.i. posuzuje závažnost problému na škále 1–5, přičemž 1 = vysoce závažný, 5 = nízce závažný problém. Stejným způsobem hodnotí míry jednotlivých příčin na vzniku problému. Problém dostal hodnocení jako vysoce závažný stejně jako příčiny: sklonitost a délka pozemku po spádnici, ztráta infiltrační a retenční kapacity půdy související s degradací živé složky půd, která neobnovuje strukturu a pórovitost půdy a nevhodný nebo nedostatečný (chybějící) vegetační pokryv, viz </w:t>
      </w:r>
      <w:r w:rsidRPr="0096517C">
        <w:fldChar w:fldCharType="begin"/>
      </w:r>
      <w:r w:rsidRPr="0096517C">
        <w:instrText xml:space="preserve"> REF _Ref522011505 \h  \* MERGEFORMAT </w:instrText>
      </w:r>
      <w:r w:rsidRPr="0096517C">
        <w:fldChar w:fldCharType="separate"/>
      </w:r>
      <w:r w:rsidR="00127D64" w:rsidRPr="00127D64">
        <w:t>Riziko vodní</w:t>
      </w:r>
      <w:r w:rsidR="00127D64" w:rsidRPr="007C705C">
        <w:rPr>
          <w:rFonts w:eastAsiaTheme="minorEastAsia"/>
        </w:rPr>
        <w:t xml:space="preserve"> eroze a dalších degradačních faktorů</w:t>
      </w:r>
      <w:r w:rsidR="00F65D3A">
        <w:rPr>
          <w:rFonts w:eastAsiaTheme="minorEastAsia"/>
        </w:rPr>
        <w:t>.</w:t>
      </w:r>
      <w:r w:rsidRPr="0096517C">
        <w:fldChar w:fldCharType="end"/>
      </w:r>
    </w:p>
    <w:p w14:paraId="3D506FFA" w14:textId="3018008C" w:rsidR="003E0F58" w:rsidRPr="007C705C" w:rsidRDefault="003E0F58" w:rsidP="00541FD2">
      <w:pPr>
        <w:pStyle w:val="UZEIOdrky"/>
        <w:rPr>
          <w:rFonts w:eastAsiaTheme="minorEastAsia"/>
          <w:u w:val="single"/>
        </w:rPr>
      </w:pPr>
      <w:r w:rsidRPr="007C705C">
        <w:rPr>
          <w:rFonts w:eastAsiaTheme="minorEastAsia"/>
        </w:rPr>
        <w:t>Nevhodné nakládání se srážkovou vodu v krajině (přes 1 mil ha odvodněno, utužená půda, zrušeny krajinné prvky)</w:t>
      </w:r>
    </w:p>
    <w:p w14:paraId="51E49892" w14:textId="46680366" w:rsidR="003E0F58" w:rsidRPr="007C705C" w:rsidRDefault="003E0F58" w:rsidP="00541FD2">
      <w:pPr>
        <w:pStyle w:val="UZEINormaln"/>
        <w:rPr>
          <w:rFonts w:eastAsiaTheme="minorEastAsia"/>
          <w:u w:val="single"/>
        </w:rPr>
      </w:pPr>
      <w:r w:rsidRPr="007C705C">
        <w:rPr>
          <w:rFonts w:eastAsiaTheme="minorEastAsia"/>
        </w:rPr>
        <w:t xml:space="preserve">Expertní hodnocení VÚMOP v.v.i. posuzuje závažnost problému na škále 1–5, přičemž 1 = vysoce závažný, 5 = nízce závažný problém. Stejným způsobem hodnotí míry jednotlivých </w:t>
      </w:r>
      <w:r w:rsidRPr="007C705C">
        <w:rPr>
          <w:rFonts w:eastAsiaTheme="minorEastAsia"/>
        </w:rPr>
        <w:lastRenderedPageBreak/>
        <w:t xml:space="preserve">příčin na vzniku problému. Problém dostal hodnocení 2 a příčiny: vyjímání ze ZPF pozemků s potenciálem zadržet vodu v krajině, nedostatek organických hnojiv aplikovatelných na ZPF, těžká zemědělská technika a časté pojezdy, nevhodné osevní postupy, minimální zastoupení pícnin byly označeny za vysoce závažné , </w:t>
      </w:r>
      <w:r w:rsidRPr="00E6614C">
        <w:rPr>
          <w:rFonts w:eastAsiaTheme="minorEastAsia"/>
        </w:rPr>
        <w:t xml:space="preserve">viz </w:t>
      </w:r>
      <w:r w:rsidR="00E6614C" w:rsidRPr="00E6614C">
        <w:fldChar w:fldCharType="begin"/>
      </w:r>
      <w:r w:rsidR="00E6614C" w:rsidRPr="00E6614C">
        <w:rPr>
          <w:rFonts w:eastAsiaTheme="minorEastAsia"/>
        </w:rPr>
        <w:instrText xml:space="preserve"> REF _Ref81423158 \r \h </w:instrText>
      </w:r>
      <w:r w:rsidR="00E6614C" w:rsidRPr="00E6614C">
        <w:fldChar w:fldCharType="separate"/>
      </w:r>
      <w:r w:rsidR="00127D64">
        <w:rPr>
          <w:rFonts w:eastAsiaTheme="minorEastAsia"/>
        </w:rPr>
        <w:t>Tabulka 85</w:t>
      </w:r>
      <w:r w:rsidR="00E6614C" w:rsidRPr="00E6614C">
        <w:fldChar w:fldCharType="end"/>
      </w:r>
      <w:r w:rsidRPr="00E6614C">
        <w:t>.</w:t>
      </w:r>
    </w:p>
    <w:p w14:paraId="49BDEF35" w14:textId="23D9DA52" w:rsidR="003E0F58" w:rsidRPr="007C705C" w:rsidRDefault="003E0F58" w:rsidP="00541FD2">
      <w:pPr>
        <w:pStyle w:val="UZEIOdrky"/>
        <w:rPr>
          <w:rFonts w:eastAsiaTheme="minorEastAsia"/>
        </w:rPr>
      </w:pPr>
      <w:r w:rsidRPr="007C705C">
        <w:rPr>
          <w:rFonts w:eastAsiaTheme="minorEastAsia"/>
        </w:rPr>
        <w:t>Zvyšování teplot</w:t>
      </w:r>
    </w:p>
    <w:p w14:paraId="168E99C0" w14:textId="77777777" w:rsidR="003E0F58" w:rsidRPr="007C705C" w:rsidRDefault="003E0F58" w:rsidP="00541FD2">
      <w:pPr>
        <w:pStyle w:val="UZEINormaln"/>
        <w:rPr>
          <w:rFonts w:eastAsiaTheme="minorEastAsia"/>
        </w:rPr>
      </w:pPr>
      <w:r w:rsidRPr="007C705C">
        <w:rPr>
          <w:rFonts w:eastAsiaTheme="minorEastAsia"/>
        </w:rPr>
        <w:t>Vývojový trend je nepříznivý, problém se bude v dalších desetiletích prohlubovat (Pretel, 2011).</w:t>
      </w:r>
    </w:p>
    <w:p w14:paraId="77AD17E3" w14:textId="076FFA70" w:rsidR="003E0F58" w:rsidRPr="00541FD2" w:rsidRDefault="003E0F58" w:rsidP="00541FD2">
      <w:pPr>
        <w:pStyle w:val="UZEIOdrky"/>
        <w:rPr>
          <w:rFonts w:eastAsiaTheme="minorEastAsia"/>
        </w:rPr>
      </w:pPr>
      <w:r w:rsidRPr="00541FD2">
        <w:rPr>
          <w:rFonts w:eastAsiaTheme="minorEastAsia"/>
        </w:rPr>
        <w:t>Výskyt extrémních srážek</w:t>
      </w:r>
    </w:p>
    <w:p w14:paraId="467A680F" w14:textId="77777777" w:rsidR="003E0F58" w:rsidRPr="007C705C" w:rsidRDefault="003E0F58" w:rsidP="00541FD2">
      <w:pPr>
        <w:pStyle w:val="UZEINormaln"/>
        <w:rPr>
          <w:rFonts w:eastAsiaTheme="minorEastAsia"/>
        </w:rPr>
      </w:pPr>
      <w:r w:rsidRPr="007C705C">
        <w:rPr>
          <w:rFonts w:eastAsiaTheme="minorEastAsia"/>
        </w:rPr>
        <w:t>Vývojový trend četnosti výskytu extrémních srážek je nepříznivý, problém se bude v dalších desetiletích prohlubovat (Pretel, 2011). Předpokládá se nárůst četnosti výskytu přívalových povodní a vhledem k charakteru a lokalizaci zástavby a zemědělsky využívaných ploch se zvyšují i škody způsobené extrémními srážkami a povodněmi.</w:t>
      </w:r>
    </w:p>
    <w:p w14:paraId="60F6E662" w14:textId="6DE75893" w:rsidR="003E0F58" w:rsidRPr="007C705C" w:rsidRDefault="003E0F58" w:rsidP="00541FD2">
      <w:pPr>
        <w:pStyle w:val="UZEIOdrky"/>
        <w:rPr>
          <w:rFonts w:eastAsiaTheme="minorEastAsia"/>
        </w:rPr>
      </w:pPr>
      <w:r w:rsidRPr="007C705C">
        <w:rPr>
          <w:rFonts w:eastAsiaTheme="minorEastAsia"/>
        </w:rPr>
        <w:t>Výskyt extrémních rychlostí větru</w:t>
      </w:r>
    </w:p>
    <w:p w14:paraId="7AF11CC2" w14:textId="77777777" w:rsidR="003E0F58" w:rsidRPr="007C705C" w:rsidRDefault="003E0F58" w:rsidP="00541FD2">
      <w:pPr>
        <w:pStyle w:val="UZEINormaln"/>
        <w:rPr>
          <w:rFonts w:eastAsiaTheme="minorEastAsia"/>
        </w:rPr>
      </w:pPr>
      <w:r w:rsidRPr="007C705C">
        <w:rPr>
          <w:rFonts w:eastAsiaTheme="minorEastAsia"/>
        </w:rPr>
        <w:t>Vývojový trend je nepříznivý, problém se bude v dalších desetiletích prohlubovat (Pretel, 2011).</w:t>
      </w:r>
    </w:p>
    <w:p w14:paraId="0EE9328B" w14:textId="5F3E00F4" w:rsidR="003E0F58" w:rsidRPr="007C705C" w:rsidRDefault="003E0F58" w:rsidP="00541FD2">
      <w:pPr>
        <w:pStyle w:val="UZEIOdrky"/>
        <w:rPr>
          <w:rFonts w:eastAsiaTheme="minorEastAsia"/>
        </w:rPr>
      </w:pPr>
      <w:r w:rsidRPr="007C705C">
        <w:rPr>
          <w:rFonts w:eastAsiaTheme="minorEastAsia"/>
        </w:rPr>
        <w:t>Snižování zásob vody v půdě</w:t>
      </w:r>
    </w:p>
    <w:p w14:paraId="1F831714" w14:textId="472E2230" w:rsidR="003E0F58" w:rsidRPr="00541FD2" w:rsidRDefault="003E0F58" w:rsidP="00541FD2">
      <w:pPr>
        <w:pStyle w:val="UZEINormaln"/>
        <w:rPr>
          <w:rFonts w:eastAsiaTheme="minorEastAsia"/>
        </w:rPr>
      </w:pPr>
      <w:r w:rsidRPr="007C705C">
        <w:rPr>
          <w:rFonts w:eastAsiaTheme="minorEastAsia"/>
        </w:rPr>
        <w:t>Vývojový trend je nepříznivý, problém se bude v dalších desetiletích prohlubovat (Pretel, 2011). Podle dostupných projekcí klimatických modelů lze do budoucna s velkou pravděpodobností očekávat další růst teploty vzduchu a s tím související zvýšení výparu vody a zvýšení rizika výskytu a trvání sucha, včetně půdního sucha. Odhadované budoucí změny srážek jsou značně nejisté, nicméně většina klimatických modelů se shoduje na stagnaci ročních srážkových úhrnů v ČR a změně jejich rozložení během roku. To v kombinaci s očekávanou vyšší teplotou zvyšující výpar ukazuje na zvýšené riziko nepříznivé hydrologické bilance v letním období, a to jak z hlediska zajištění odběrů vody pro potřebu obyvatel a produkci potravin, tak z hlediska ekologického stavu vodních útvarů.</w:t>
      </w:r>
    </w:p>
    <w:p w14:paraId="03190E0C" w14:textId="77777777" w:rsidR="003E0F58" w:rsidRPr="007C705C" w:rsidRDefault="003E0F58" w:rsidP="008A1AE3">
      <w:pPr>
        <w:pStyle w:val="Odstavecseseznamem"/>
        <w:numPr>
          <w:ilvl w:val="0"/>
          <w:numId w:val="17"/>
        </w:numPr>
        <w:spacing w:before="60" w:line="360" w:lineRule="atLeast"/>
        <w:rPr>
          <w:rFonts w:eastAsiaTheme="minorEastAsia"/>
          <w:b/>
          <w:bCs/>
        </w:rPr>
      </w:pPr>
      <w:bookmarkStart w:id="273" w:name="_Hlk525814691"/>
      <w:r w:rsidRPr="007C705C">
        <w:rPr>
          <w:rFonts w:eastAsiaTheme="minorEastAsia"/>
          <w:b/>
          <w:bCs/>
        </w:rPr>
        <w:t>Vysoké emise GHG a NH</w:t>
      </w:r>
      <w:r w:rsidRPr="007C705C">
        <w:rPr>
          <w:rFonts w:eastAsiaTheme="minorEastAsia"/>
          <w:b/>
          <w:bCs/>
          <w:vertAlign w:val="subscript"/>
        </w:rPr>
        <w:t>3</w:t>
      </w:r>
      <w:r w:rsidRPr="007C705C">
        <w:rPr>
          <w:rFonts w:eastAsiaTheme="minorEastAsia"/>
          <w:b/>
          <w:bCs/>
        </w:rPr>
        <w:t xml:space="preserve"> ze zemědělství</w:t>
      </w:r>
      <w:bookmarkEnd w:id="273"/>
    </w:p>
    <w:p w14:paraId="733C832D" w14:textId="6EA2CB64" w:rsidR="003E0F58" w:rsidRPr="007C705C" w:rsidRDefault="003E0F58" w:rsidP="00541FD2">
      <w:pPr>
        <w:pStyle w:val="UZEINormaln"/>
        <w:rPr>
          <w:rFonts w:eastAsiaTheme="minorEastAsia"/>
        </w:rPr>
      </w:pPr>
      <w:bookmarkStart w:id="274" w:name="_Hlk525814826"/>
      <w:r w:rsidRPr="007C705C">
        <w:rPr>
          <w:rFonts w:eastAsiaTheme="minorEastAsia"/>
        </w:rPr>
        <w:t>Zemědělství vč. LULUCF bylo v roce 2018 3. největší sektor v ČR produkující 6,46 % z celkových emisí GHG (8 606 [kt CO</w:t>
      </w:r>
      <w:r w:rsidRPr="005D1920">
        <w:rPr>
          <w:rFonts w:eastAsiaTheme="minorEastAsia"/>
          <w:vertAlign w:val="subscript"/>
        </w:rPr>
        <w:t>2</w:t>
      </w:r>
      <w:r w:rsidRPr="007C705C">
        <w:rPr>
          <w:rFonts w:eastAsiaTheme="minorEastAsia"/>
        </w:rPr>
        <w:t xml:space="preserve"> eq.]). 49 % z těchto emisí uvolňuje kategorie „Managed soils“, 35 % „Enteric Fermentation“, a 12 % „Manure management“. „Liming“ + „Urea application“ odpovídají cca 3 % emise, </w:t>
      </w:r>
      <w:r w:rsidR="00AB5B23">
        <w:rPr>
          <w:rFonts w:eastAsiaTheme="minorEastAsia"/>
          <w:color w:val="FF0000"/>
        </w:rPr>
        <w:fldChar w:fldCharType="begin"/>
      </w:r>
      <w:r w:rsidR="00AB5B23">
        <w:rPr>
          <w:rFonts w:eastAsiaTheme="minorEastAsia"/>
        </w:rPr>
        <w:instrText xml:space="preserve"> REF _Ref81227590 \r \h </w:instrText>
      </w:r>
      <w:r w:rsidR="00AB5B23">
        <w:rPr>
          <w:rFonts w:eastAsiaTheme="minorEastAsia"/>
          <w:color w:val="FF0000"/>
        </w:rPr>
      </w:r>
      <w:r w:rsidR="00AB5B23">
        <w:rPr>
          <w:rFonts w:eastAsiaTheme="minorEastAsia"/>
          <w:color w:val="FF0000"/>
        </w:rPr>
        <w:fldChar w:fldCharType="separate"/>
      </w:r>
      <w:r w:rsidR="00127D64">
        <w:rPr>
          <w:rFonts w:eastAsiaTheme="minorEastAsia"/>
        </w:rPr>
        <w:t>Tabulka 3</w:t>
      </w:r>
      <w:r w:rsidR="00AB5B23">
        <w:rPr>
          <w:rFonts w:eastAsiaTheme="minorEastAsia"/>
          <w:color w:val="FF0000"/>
        </w:rPr>
        <w:fldChar w:fldCharType="end"/>
      </w:r>
      <w:r w:rsidR="00AB5B23" w:rsidRPr="00AB5B23">
        <w:rPr>
          <w:rFonts w:eastAsiaTheme="minorEastAsia"/>
        </w:rPr>
        <w:t>.</w:t>
      </w:r>
      <w:r w:rsidR="00AB5B23">
        <w:rPr>
          <w:rFonts w:eastAsiaTheme="minorEastAsia"/>
          <w:color w:val="FF0000"/>
        </w:rPr>
        <w:t xml:space="preserve"> </w:t>
      </w:r>
      <w:r w:rsidRPr="007C705C">
        <w:rPr>
          <w:rFonts w:eastAsiaTheme="minorEastAsia"/>
        </w:rPr>
        <w:t xml:space="preserve">Zatímco podíl emisí z nakládání s hnojem poklesl, podíl emisí z hospodaření na půdě vzrostl.  Celkové emise ze zemědělství poklesly oproti roku 1990 o 45 % (2018) (NIR ČR, 2020). </w:t>
      </w:r>
    </w:p>
    <w:p w14:paraId="7381449E" w14:textId="563B166B" w:rsidR="003E0F58" w:rsidRPr="007C705C" w:rsidRDefault="003E0F58" w:rsidP="00541FD2">
      <w:pPr>
        <w:pStyle w:val="UZEINormaln"/>
        <w:rPr>
          <w:rFonts w:eastAsiaTheme="minorEastAsia"/>
        </w:rPr>
      </w:pPr>
      <w:r w:rsidRPr="007C705C">
        <w:rPr>
          <w:rFonts w:eastAsiaTheme="minorEastAsia"/>
        </w:rPr>
        <w:t xml:space="preserve">Trendy ve vývoji populace hospodářských zvířat determinují emisní trendy ze zemědělství </w:t>
      </w:r>
      <w:r w:rsidR="008438BC" w:rsidRPr="008B546F">
        <w:rPr>
          <w:rFonts w:eastAsiaTheme="minorEastAsia"/>
        </w:rPr>
        <w:t>(</w:t>
      </w:r>
      <w:r w:rsidR="008438BC" w:rsidRPr="008B546F">
        <w:rPr>
          <w:rFonts w:eastAsiaTheme="minorEastAsia"/>
        </w:rPr>
        <w:fldChar w:fldCharType="begin"/>
      </w:r>
      <w:r w:rsidR="008438BC" w:rsidRPr="008B546F">
        <w:rPr>
          <w:rFonts w:eastAsiaTheme="minorEastAsia"/>
        </w:rPr>
        <w:instrText xml:space="preserve"> REF _Ref81227662 \r \h </w:instrText>
      </w:r>
      <w:r w:rsidR="008438BC" w:rsidRPr="008B546F">
        <w:rPr>
          <w:rFonts w:eastAsiaTheme="minorEastAsia"/>
        </w:rPr>
      </w:r>
      <w:r w:rsidR="008438BC" w:rsidRPr="008B546F">
        <w:rPr>
          <w:rFonts w:eastAsiaTheme="minorEastAsia"/>
        </w:rPr>
        <w:fldChar w:fldCharType="separate"/>
      </w:r>
      <w:r w:rsidR="00127D64">
        <w:rPr>
          <w:rFonts w:eastAsiaTheme="minorEastAsia"/>
        </w:rPr>
        <w:t>Tabulka 2</w:t>
      </w:r>
      <w:r w:rsidR="008438BC" w:rsidRPr="008B546F">
        <w:rPr>
          <w:rFonts w:eastAsiaTheme="minorEastAsia"/>
        </w:rPr>
        <w:fldChar w:fldCharType="end"/>
      </w:r>
      <w:r w:rsidR="008438BC" w:rsidRPr="008B546F">
        <w:rPr>
          <w:rFonts w:eastAsiaTheme="minorEastAsia"/>
        </w:rPr>
        <w:t>)</w:t>
      </w:r>
      <w:r w:rsidRPr="008B546F">
        <w:rPr>
          <w:rFonts w:eastAsiaTheme="minorEastAsia"/>
        </w:rPr>
        <w:t xml:space="preserve">. </w:t>
      </w:r>
      <w:r w:rsidRPr="007C705C">
        <w:rPr>
          <w:rFonts w:eastAsiaTheme="minorEastAsia"/>
        </w:rPr>
        <w:t>Enterická fermentace je odpovědná za 85 % emisí CH</w:t>
      </w:r>
      <w:r w:rsidRPr="005D1920">
        <w:rPr>
          <w:rFonts w:eastAsiaTheme="minorEastAsia"/>
          <w:vertAlign w:val="subscript"/>
        </w:rPr>
        <w:t>4</w:t>
      </w:r>
      <w:r w:rsidRPr="007C705C">
        <w:rPr>
          <w:rFonts w:eastAsiaTheme="minorEastAsia"/>
        </w:rPr>
        <w:t xml:space="preserve"> ze zemědělství.  Od roku 1990 poklesly v kategorii nakládání s hnojem emise o 66 %, zejména díky poklesu stavů skotu a prasat. V roce 2018 bylo z celkových emisí N</w:t>
      </w:r>
      <w:r w:rsidRPr="005D1920">
        <w:rPr>
          <w:rFonts w:eastAsiaTheme="minorEastAsia"/>
          <w:vertAlign w:val="subscript"/>
        </w:rPr>
        <w:t>2</w:t>
      </w:r>
      <w:r w:rsidRPr="007C705C">
        <w:rPr>
          <w:rFonts w:eastAsiaTheme="minorEastAsia"/>
        </w:rPr>
        <w:t>O ze zemědělství 89 % z kategorie zemědělská půda, zatímco zbytek (11 %) pocházel z kategorie nakládání s hnojem. Celkově emise z „managed soils“ klesly v roce 2018 ve srovnání s rokem 1990 o 25 %. Aplikace vápence na zemědělskou půdu (včetně lesů) v roce 2018 dosáhla více než 340 tisíc tun, zatímco 3,8%, 13</w:t>
      </w:r>
      <w:r w:rsidR="00332F1E">
        <w:rPr>
          <w:rFonts w:eastAsiaTheme="minorEastAsia"/>
        </w:rPr>
        <w:t> </w:t>
      </w:r>
      <w:r w:rsidRPr="007C705C">
        <w:rPr>
          <w:rFonts w:eastAsiaTheme="minorEastAsia"/>
        </w:rPr>
        <w:t>tisíc tun, z tohoto množství bylo aplikováno na lesní plochy. Celkové emise z vápnění činily 161,37 kt ekv. CO</w:t>
      </w:r>
      <w:r w:rsidRPr="005D1920">
        <w:rPr>
          <w:rFonts w:eastAsiaTheme="minorEastAsia"/>
          <w:vertAlign w:val="subscript"/>
        </w:rPr>
        <w:t>2</w:t>
      </w:r>
      <w:r w:rsidRPr="007C705C">
        <w:rPr>
          <w:rFonts w:eastAsiaTheme="minorEastAsia"/>
        </w:rPr>
        <w:t>. Aplikace močoviny na zemědělskou půdu v roce 2018 dosáhla téměř 172</w:t>
      </w:r>
      <w:r w:rsidR="00332F1E">
        <w:rPr>
          <w:rFonts w:eastAsiaTheme="minorEastAsia"/>
        </w:rPr>
        <w:t> </w:t>
      </w:r>
      <w:r w:rsidRPr="007C705C">
        <w:rPr>
          <w:rFonts w:eastAsiaTheme="minorEastAsia"/>
        </w:rPr>
        <w:t>kt. Toto množství (srovnatelné se spotřebou v roce 2017) potvrdilo deklarovaný obecný cíl ministerstva zemědělství snížit spotřebu minerálních hnojiv v zemědělství v České republice. Tento pozitivní trend lze vysvětlit také suchými letními podmínkami.</w:t>
      </w:r>
    </w:p>
    <w:p w14:paraId="3A2C56E3" w14:textId="2729FA9C" w:rsidR="00332F1E" w:rsidRDefault="003E0F58" w:rsidP="0002312F">
      <w:pPr>
        <w:pStyle w:val="UZEINormaln"/>
        <w:rPr>
          <w:rFonts w:eastAsiaTheme="minorEastAsia"/>
          <w:i/>
          <w:iCs/>
          <w:sz w:val="20"/>
          <w:szCs w:val="20"/>
        </w:rPr>
      </w:pPr>
      <w:r w:rsidRPr="00D751D3">
        <w:rPr>
          <w:rFonts w:eastAsiaTheme="minorEastAsia"/>
          <w:i/>
          <w:iCs/>
          <w:sz w:val="20"/>
          <w:szCs w:val="20"/>
        </w:rPr>
        <w:lastRenderedPageBreak/>
        <w:t>V roce 2018 činil čistý tok skleníkových plynů pro odvětví LULUCF, odhadovaný jako součet emisí a pohlcení, 5</w:t>
      </w:r>
      <w:r w:rsidR="00332F1E">
        <w:rPr>
          <w:rFonts w:eastAsiaTheme="minorEastAsia"/>
          <w:i/>
          <w:iCs/>
          <w:sz w:val="20"/>
          <w:szCs w:val="20"/>
        </w:rPr>
        <w:t> </w:t>
      </w:r>
      <w:r w:rsidRPr="00D751D3">
        <w:rPr>
          <w:rFonts w:eastAsiaTheme="minorEastAsia"/>
          <w:i/>
          <w:iCs/>
          <w:sz w:val="20"/>
          <w:szCs w:val="20"/>
        </w:rPr>
        <w:t>794 kt ekvivalentu CO</w:t>
      </w:r>
      <w:r w:rsidRPr="005D1920">
        <w:rPr>
          <w:rFonts w:eastAsiaTheme="minorEastAsia"/>
          <w:i/>
          <w:iCs/>
          <w:sz w:val="20"/>
          <w:szCs w:val="20"/>
          <w:vertAlign w:val="subscript"/>
        </w:rPr>
        <w:t>2</w:t>
      </w:r>
      <w:r w:rsidRPr="00D751D3">
        <w:rPr>
          <w:rFonts w:eastAsiaTheme="minorEastAsia"/>
          <w:i/>
          <w:iCs/>
          <w:sz w:val="20"/>
          <w:szCs w:val="20"/>
        </w:rPr>
        <w:t xml:space="preserve">. To představuje čistý zdroj plynů GHG, poprvé hlášený pro sektor LULUCF v zemi. Emise generované ze sektoru LULUCF představují příspěvek 4,4% k celkovým emisím skleníkových plynů v ČR. </w:t>
      </w:r>
    </w:p>
    <w:p w14:paraId="44BC7D77" w14:textId="7BDBCBF4" w:rsidR="00127D64" w:rsidRPr="00D751D3" w:rsidRDefault="003E0F58" w:rsidP="0002312F">
      <w:pPr>
        <w:pStyle w:val="UZEINormaln"/>
        <w:rPr>
          <w:i/>
          <w:iCs/>
          <w:sz w:val="20"/>
          <w:szCs w:val="20"/>
        </w:rPr>
      </w:pPr>
      <w:r w:rsidRPr="00A9027B">
        <w:rPr>
          <w:rFonts w:eastAsiaTheme="minorEastAsia"/>
          <w:i/>
          <w:iCs/>
          <w:color w:val="44546A" w:themeColor="text2"/>
          <w:sz w:val="20"/>
          <w:szCs w:val="20"/>
        </w:rPr>
        <w:fldChar w:fldCharType="begin"/>
      </w:r>
      <w:r w:rsidRPr="00D751D3">
        <w:rPr>
          <w:rFonts w:eastAsiaTheme="minorEastAsia"/>
          <w:i/>
          <w:iCs/>
          <w:sz w:val="20"/>
          <w:szCs w:val="20"/>
        </w:rPr>
        <w:instrText xml:space="preserve"> REF _Ref74661815 \h </w:instrText>
      </w:r>
      <w:r w:rsidR="007C705C" w:rsidRPr="00D751D3">
        <w:rPr>
          <w:rFonts w:eastAsiaTheme="minorEastAsia"/>
          <w:i/>
          <w:iCs/>
          <w:color w:val="44546A" w:themeColor="text2"/>
          <w:sz w:val="20"/>
          <w:szCs w:val="20"/>
        </w:rPr>
        <w:instrText xml:space="preserve"> \* MERGEFORMAT </w:instrText>
      </w:r>
      <w:r w:rsidRPr="00A9027B">
        <w:rPr>
          <w:rFonts w:eastAsiaTheme="minorEastAsia"/>
          <w:i/>
          <w:iCs/>
          <w:color w:val="44546A" w:themeColor="text2"/>
          <w:sz w:val="20"/>
          <w:szCs w:val="20"/>
        </w:rPr>
      </w:r>
      <w:r w:rsidRPr="00A9027B">
        <w:rPr>
          <w:rFonts w:eastAsiaTheme="minorEastAsia"/>
          <w:i/>
          <w:iCs/>
          <w:color w:val="44546A" w:themeColor="text2"/>
          <w:sz w:val="20"/>
          <w:szCs w:val="20"/>
        </w:rPr>
        <w:fldChar w:fldCharType="separate"/>
      </w:r>
    </w:p>
    <w:p w14:paraId="0E26178C" w14:textId="77777777" w:rsidR="00127D64" w:rsidRPr="00A9027B" w:rsidRDefault="00127D64" w:rsidP="00576C2B">
      <w:pPr>
        <w:pStyle w:val="UZEITaB"/>
      </w:pPr>
      <w:r w:rsidRPr="00A9027B">
        <w:t xml:space="preserve"> </w:t>
      </w:r>
      <w:bookmarkStart w:id="275" w:name="_Toc94181586"/>
      <w:r w:rsidRPr="00A9027B">
        <w:t>Přehled výměr jednotlivých kultur</w:t>
      </w:r>
      <w:bookmarkEnd w:id="275"/>
    </w:p>
    <w:tbl>
      <w:tblPr>
        <w:tblW w:w="5040" w:type="dxa"/>
        <w:tblInd w:w="-1" w:type="dxa"/>
        <w:tblCellMar>
          <w:left w:w="0" w:type="dxa"/>
          <w:right w:w="0" w:type="dxa"/>
        </w:tblCellMar>
        <w:tblLook w:val="04A0" w:firstRow="1" w:lastRow="0" w:firstColumn="1" w:lastColumn="0" w:noHBand="0" w:noVBand="1"/>
      </w:tblPr>
      <w:tblGrid>
        <w:gridCol w:w="2840"/>
        <w:gridCol w:w="1240"/>
        <w:gridCol w:w="960"/>
      </w:tblGrid>
      <w:tr w:rsidR="00127D64" w:rsidRPr="00A9027B" w14:paraId="0DF74FD0" w14:textId="77777777" w:rsidTr="004D2249">
        <w:trPr>
          <w:trHeight w:val="864"/>
        </w:trPr>
        <w:tc>
          <w:tcPr>
            <w:tcW w:w="2840" w:type="dxa"/>
            <w:tcBorders>
              <w:top w:val="single" w:sz="8" w:space="0" w:color="auto"/>
              <w:left w:val="single" w:sz="8" w:space="0" w:color="auto"/>
              <w:bottom w:val="single" w:sz="8" w:space="0" w:color="auto"/>
              <w:right w:val="single" w:sz="8" w:space="0" w:color="auto"/>
            </w:tcBorders>
            <w:shd w:val="clear" w:color="auto" w:fill="C0C0C0"/>
            <w:noWrap/>
            <w:tcMar>
              <w:top w:w="0" w:type="dxa"/>
              <w:left w:w="70" w:type="dxa"/>
              <w:bottom w:w="0" w:type="dxa"/>
              <w:right w:w="70" w:type="dxa"/>
            </w:tcMar>
            <w:vAlign w:val="center"/>
            <w:hideMark/>
          </w:tcPr>
          <w:p w14:paraId="66621D1D"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Typ kultury</w:t>
            </w:r>
          </w:p>
        </w:tc>
        <w:tc>
          <w:tcPr>
            <w:tcW w:w="1240" w:type="dxa"/>
            <w:tcBorders>
              <w:top w:val="single" w:sz="8" w:space="0" w:color="auto"/>
              <w:left w:val="nil"/>
              <w:bottom w:val="single" w:sz="8" w:space="0" w:color="auto"/>
              <w:right w:val="single" w:sz="8" w:space="0" w:color="auto"/>
            </w:tcBorders>
            <w:shd w:val="clear" w:color="auto" w:fill="C0C0C0"/>
            <w:noWrap/>
            <w:tcMar>
              <w:top w:w="0" w:type="dxa"/>
              <w:left w:w="70" w:type="dxa"/>
              <w:bottom w:w="0" w:type="dxa"/>
              <w:right w:w="70" w:type="dxa"/>
            </w:tcMar>
            <w:vAlign w:val="center"/>
            <w:hideMark/>
          </w:tcPr>
          <w:p w14:paraId="5D03D7C5"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Výměra (ha)</w:t>
            </w:r>
          </w:p>
        </w:tc>
        <w:tc>
          <w:tcPr>
            <w:tcW w:w="960" w:type="dxa"/>
            <w:tcBorders>
              <w:top w:val="single" w:sz="8" w:space="0" w:color="auto"/>
              <w:left w:val="nil"/>
              <w:bottom w:val="single" w:sz="8" w:space="0" w:color="auto"/>
              <w:right w:val="single" w:sz="8" w:space="0" w:color="auto"/>
            </w:tcBorders>
            <w:shd w:val="clear" w:color="auto" w:fill="C0C0C0"/>
            <w:tcMar>
              <w:top w:w="0" w:type="dxa"/>
              <w:left w:w="70" w:type="dxa"/>
              <w:bottom w:w="0" w:type="dxa"/>
              <w:right w:w="70" w:type="dxa"/>
            </w:tcMar>
            <w:vAlign w:val="center"/>
            <w:hideMark/>
          </w:tcPr>
          <w:p w14:paraId="77799287"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Podíl výměr (%)</w:t>
            </w:r>
          </w:p>
        </w:tc>
      </w:tr>
      <w:tr w:rsidR="00127D64" w:rsidRPr="00A9027B" w14:paraId="5A06CF3C" w14:textId="77777777" w:rsidTr="004D2249">
        <w:trPr>
          <w:trHeight w:val="288"/>
        </w:trPr>
        <w:tc>
          <w:tcPr>
            <w:tcW w:w="2840" w:type="dxa"/>
            <w:tcBorders>
              <w:top w:val="nil"/>
              <w:left w:val="single" w:sz="8" w:space="0" w:color="auto"/>
              <w:bottom w:val="single" w:sz="8" w:space="0" w:color="auto"/>
              <w:right w:val="single" w:sz="8" w:space="0" w:color="auto"/>
            </w:tcBorders>
            <w:tcMar>
              <w:top w:w="0" w:type="dxa"/>
              <w:left w:w="70" w:type="dxa"/>
              <w:bottom w:w="0" w:type="dxa"/>
              <w:right w:w="70" w:type="dxa"/>
            </w:tcMar>
            <w:vAlign w:val="bottom"/>
            <w:hideMark/>
          </w:tcPr>
          <w:p w14:paraId="63BDA152"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standardní orná půda</w:t>
            </w:r>
          </w:p>
        </w:tc>
        <w:tc>
          <w:tcPr>
            <w:tcW w:w="1240" w:type="dxa"/>
            <w:tcBorders>
              <w:top w:val="nil"/>
              <w:left w:val="nil"/>
              <w:bottom w:val="single" w:sz="8" w:space="0" w:color="auto"/>
              <w:right w:val="single" w:sz="8" w:space="0" w:color="auto"/>
            </w:tcBorders>
            <w:tcMar>
              <w:top w:w="0" w:type="dxa"/>
              <w:left w:w="70" w:type="dxa"/>
              <w:bottom w:w="0" w:type="dxa"/>
              <w:right w:w="70" w:type="dxa"/>
            </w:tcMar>
            <w:vAlign w:val="bottom"/>
            <w:hideMark/>
          </w:tcPr>
          <w:p w14:paraId="7CE2C0EB"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2 453 181</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20FFA6C"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68,96</w:t>
            </w:r>
          </w:p>
        </w:tc>
      </w:tr>
      <w:tr w:rsidR="00127D64" w:rsidRPr="00A9027B" w14:paraId="7EACE1E8" w14:textId="77777777" w:rsidTr="004D2249">
        <w:trPr>
          <w:trHeight w:val="288"/>
        </w:trPr>
        <w:tc>
          <w:tcPr>
            <w:tcW w:w="2840" w:type="dxa"/>
            <w:tcBorders>
              <w:top w:val="nil"/>
              <w:left w:val="single" w:sz="8" w:space="0" w:color="auto"/>
              <w:bottom w:val="single" w:sz="8" w:space="0" w:color="auto"/>
              <w:right w:val="single" w:sz="8" w:space="0" w:color="auto"/>
            </w:tcBorders>
            <w:tcMar>
              <w:top w:w="0" w:type="dxa"/>
              <w:left w:w="70" w:type="dxa"/>
              <w:bottom w:w="0" w:type="dxa"/>
              <w:right w:w="70" w:type="dxa"/>
            </w:tcMar>
            <w:vAlign w:val="bottom"/>
            <w:hideMark/>
          </w:tcPr>
          <w:p w14:paraId="52490E02"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travní porost (na orné půdě)</w:t>
            </w:r>
          </w:p>
        </w:tc>
        <w:tc>
          <w:tcPr>
            <w:tcW w:w="1240" w:type="dxa"/>
            <w:tcBorders>
              <w:top w:val="nil"/>
              <w:left w:val="nil"/>
              <w:bottom w:val="single" w:sz="8" w:space="0" w:color="auto"/>
              <w:right w:val="single" w:sz="8" w:space="0" w:color="auto"/>
            </w:tcBorders>
            <w:tcMar>
              <w:top w:w="0" w:type="dxa"/>
              <w:left w:w="70" w:type="dxa"/>
              <w:bottom w:w="0" w:type="dxa"/>
              <w:right w:w="70" w:type="dxa"/>
            </w:tcMar>
            <w:vAlign w:val="bottom"/>
            <w:hideMark/>
          </w:tcPr>
          <w:p w14:paraId="57AB3B11"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36 857</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F05DAEF"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1,04</w:t>
            </w:r>
          </w:p>
        </w:tc>
      </w:tr>
      <w:tr w:rsidR="00127D64" w:rsidRPr="00A9027B" w14:paraId="4277BF51" w14:textId="77777777" w:rsidTr="004D2249">
        <w:trPr>
          <w:trHeight w:val="288"/>
        </w:trPr>
        <w:tc>
          <w:tcPr>
            <w:tcW w:w="2840" w:type="dxa"/>
            <w:tcBorders>
              <w:top w:val="nil"/>
              <w:left w:val="single" w:sz="8" w:space="0" w:color="auto"/>
              <w:bottom w:val="single" w:sz="8" w:space="0" w:color="auto"/>
              <w:right w:val="single" w:sz="8" w:space="0" w:color="auto"/>
            </w:tcBorders>
            <w:tcMar>
              <w:top w:w="0" w:type="dxa"/>
              <w:left w:w="70" w:type="dxa"/>
              <w:bottom w:w="0" w:type="dxa"/>
              <w:right w:w="70" w:type="dxa"/>
            </w:tcMar>
            <w:vAlign w:val="bottom"/>
            <w:hideMark/>
          </w:tcPr>
          <w:p w14:paraId="49636E60"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úhor</w:t>
            </w:r>
          </w:p>
        </w:tc>
        <w:tc>
          <w:tcPr>
            <w:tcW w:w="1240" w:type="dxa"/>
            <w:tcBorders>
              <w:top w:val="nil"/>
              <w:left w:val="nil"/>
              <w:bottom w:val="single" w:sz="8" w:space="0" w:color="auto"/>
              <w:right w:val="single" w:sz="8" w:space="0" w:color="auto"/>
            </w:tcBorders>
            <w:tcMar>
              <w:top w:w="0" w:type="dxa"/>
              <w:left w:w="70" w:type="dxa"/>
              <w:bottom w:w="0" w:type="dxa"/>
              <w:right w:w="70" w:type="dxa"/>
            </w:tcMar>
            <w:vAlign w:val="bottom"/>
            <w:hideMark/>
          </w:tcPr>
          <w:p w14:paraId="068E44B3"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9 051</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AEE491E"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0,25</w:t>
            </w:r>
          </w:p>
        </w:tc>
      </w:tr>
      <w:tr w:rsidR="00127D64" w:rsidRPr="00A9027B" w14:paraId="6971D12F" w14:textId="77777777" w:rsidTr="004D2249">
        <w:trPr>
          <w:trHeight w:val="288"/>
        </w:trPr>
        <w:tc>
          <w:tcPr>
            <w:tcW w:w="2840" w:type="dxa"/>
            <w:tcBorders>
              <w:top w:val="nil"/>
              <w:left w:val="single" w:sz="8" w:space="0" w:color="auto"/>
              <w:bottom w:val="single" w:sz="8" w:space="0" w:color="auto"/>
              <w:right w:val="single" w:sz="8" w:space="0" w:color="auto"/>
            </w:tcBorders>
            <w:tcMar>
              <w:top w:w="0" w:type="dxa"/>
              <w:left w:w="70" w:type="dxa"/>
              <w:bottom w:w="0" w:type="dxa"/>
              <w:right w:w="70" w:type="dxa"/>
            </w:tcMar>
            <w:vAlign w:val="bottom"/>
            <w:hideMark/>
          </w:tcPr>
          <w:p w14:paraId="06F361D8"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trvalý travní porost</w:t>
            </w:r>
          </w:p>
        </w:tc>
        <w:tc>
          <w:tcPr>
            <w:tcW w:w="1240" w:type="dxa"/>
            <w:tcBorders>
              <w:top w:val="nil"/>
              <w:left w:val="nil"/>
              <w:bottom w:val="single" w:sz="8" w:space="0" w:color="auto"/>
              <w:right w:val="single" w:sz="8" w:space="0" w:color="auto"/>
            </w:tcBorders>
            <w:tcMar>
              <w:top w:w="0" w:type="dxa"/>
              <w:left w:w="70" w:type="dxa"/>
              <w:bottom w:w="0" w:type="dxa"/>
              <w:right w:w="70" w:type="dxa"/>
            </w:tcMar>
            <w:vAlign w:val="bottom"/>
            <w:hideMark/>
          </w:tcPr>
          <w:p w14:paraId="41FD3FA9"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1 006 255</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B8005F8"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28,28</w:t>
            </w:r>
          </w:p>
        </w:tc>
      </w:tr>
      <w:tr w:rsidR="00127D64" w:rsidRPr="00A9027B" w14:paraId="34E53E5F" w14:textId="77777777" w:rsidTr="004D2249">
        <w:trPr>
          <w:trHeight w:val="288"/>
        </w:trPr>
        <w:tc>
          <w:tcPr>
            <w:tcW w:w="2840" w:type="dxa"/>
            <w:tcBorders>
              <w:top w:val="nil"/>
              <w:left w:val="single" w:sz="8" w:space="0" w:color="auto"/>
              <w:bottom w:val="single" w:sz="8" w:space="0" w:color="auto"/>
              <w:right w:val="single" w:sz="8" w:space="0" w:color="auto"/>
            </w:tcBorders>
            <w:tcMar>
              <w:top w:w="0" w:type="dxa"/>
              <w:left w:w="70" w:type="dxa"/>
              <w:bottom w:w="0" w:type="dxa"/>
              <w:right w:w="70" w:type="dxa"/>
            </w:tcMar>
            <w:vAlign w:val="bottom"/>
            <w:hideMark/>
          </w:tcPr>
          <w:p w14:paraId="4E72ECF6"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vinice</w:t>
            </w:r>
          </w:p>
        </w:tc>
        <w:tc>
          <w:tcPr>
            <w:tcW w:w="1240" w:type="dxa"/>
            <w:tcBorders>
              <w:top w:val="nil"/>
              <w:left w:val="nil"/>
              <w:bottom w:val="single" w:sz="8" w:space="0" w:color="auto"/>
              <w:right w:val="single" w:sz="8" w:space="0" w:color="auto"/>
            </w:tcBorders>
            <w:tcMar>
              <w:top w:w="0" w:type="dxa"/>
              <w:left w:w="70" w:type="dxa"/>
              <w:bottom w:w="0" w:type="dxa"/>
              <w:right w:w="70" w:type="dxa"/>
            </w:tcMar>
            <w:vAlign w:val="bottom"/>
            <w:hideMark/>
          </w:tcPr>
          <w:p w14:paraId="29F980FF"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15 370</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3D67221"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0,43</w:t>
            </w:r>
          </w:p>
        </w:tc>
      </w:tr>
      <w:tr w:rsidR="00127D64" w:rsidRPr="00A9027B" w14:paraId="003D74FF" w14:textId="77777777" w:rsidTr="004D2249">
        <w:trPr>
          <w:trHeight w:val="288"/>
        </w:trPr>
        <w:tc>
          <w:tcPr>
            <w:tcW w:w="2840" w:type="dxa"/>
            <w:tcBorders>
              <w:top w:val="nil"/>
              <w:left w:val="single" w:sz="8" w:space="0" w:color="auto"/>
              <w:bottom w:val="single" w:sz="8" w:space="0" w:color="auto"/>
              <w:right w:val="single" w:sz="8" w:space="0" w:color="auto"/>
            </w:tcBorders>
            <w:tcMar>
              <w:top w:w="0" w:type="dxa"/>
              <w:left w:w="70" w:type="dxa"/>
              <w:bottom w:w="0" w:type="dxa"/>
              <w:right w:w="70" w:type="dxa"/>
            </w:tcMar>
            <w:vAlign w:val="bottom"/>
            <w:hideMark/>
          </w:tcPr>
          <w:p w14:paraId="599688F1"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chmelnice</w:t>
            </w:r>
          </w:p>
        </w:tc>
        <w:tc>
          <w:tcPr>
            <w:tcW w:w="1240" w:type="dxa"/>
            <w:tcBorders>
              <w:top w:val="nil"/>
              <w:left w:val="nil"/>
              <w:bottom w:val="single" w:sz="8" w:space="0" w:color="auto"/>
              <w:right w:val="single" w:sz="8" w:space="0" w:color="auto"/>
            </w:tcBorders>
            <w:tcMar>
              <w:top w:w="0" w:type="dxa"/>
              <w:left w:w="70" w:type="dxa"/>
              <w:bottom w:w="0" w:type="dxa"/>
              <w:right w:w="70" w:type="dxa"/>
            </w:tcMar>
            <w:vAlign w:val="bottom"/>
            <w:hideMark/>
          </w:tcPr>
          <w:p w14:paraId="7F107BDC"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5 285</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66C9FDB"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0,15</w:t>
            </w:r>
          </w:p>
        </w:tc>
      </w:tr>
      <w:tr w:rsidR="00127D64" w:rsidRPr="00A9027B" w14:paraId="6318699C" w14:textId="77777777" w:rsidTr="004D2249">
        <w:trPr>
          <w:trHeight w:val="288"/>
        </w:trPr>
        <w:tc>
          <w:tcPr>
            <w:tcW w:w="2840" w:type="dxa"/>
            <w:tcBorders>
              <w:top w:val="nil"/>
              <w:left w:val="single" w:sz="8" w:space="0" w:color="auto"/>
              <w:bottom w:val="single" w:sz="8" w:space="0" w:color="auto"/>
              <w:right w:val="single" w:sz="8" w:space="0" w:color="auto"/>
            </w:tcBorders>
            <w:tcMar>
              <w:top w:w="0" w:type="dxa"/>
              <w:left w:w="70" w:type="dxa"/>
              <w:bottom w:w="0" w:type="dxa"/>
              <w:right w:w="70" w:type="dxa"/>
            </w:tcMar>
            <w:vAlign w:val="bottom"/>
            <w:hideMark/>
          </w:tcPr>
          <w:p w14:paraId="50BE0558"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ovocný sad</w:t>
            </w:r>
          </w:p>
        </w:tc>
        <w:tc>
          <w:tcPr>
            <w:tcW w:w="1240" w:type="dxa"/>
            <w:tcBorders>
              <w:top w:val="nil"/>
              <w:left w:val="nil"/>
              <w:bottom w:val="single" w:sz="8" w:space="0" w:color="auto"/>
              <w:right w:val="single" w:sz="8" w:space="0" w:color="auto"/>
            </w:tcBorders>
            <w:tcMar>
              <w:top w:w="0" w:type="dxa"/>
              <w:left w:w="70" w:type="dxa"/>
              <w:bottom w:w="0" w:type="dxa"/>
              <w:right w:w="70" w:type="dxa"/>
            </w:tcMar>
            <w:vAlign w:val="bottom"/>
            <w:hideMark/>
          </w:tcPr>
          <w:p w14:paraId="24DFEF57"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15 027</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DEDB3D3"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0,42</w:t>
            </w:r>
          </w:p>
        </w:tc>
      </w:tr>
      <w:tr w:rsidR="00127D64" w:rsidRPr="00A9027B" w14:paraId="51EA6ED1" w14:textId="77777777" w:rsidTr="004D2249">
        <w:trPr>
          <w:trHeight w:val="288"/>
        </w:trPr>
        <w:tc>
          <w:tcPr>
            <w:tcW w:w="2840" w:type="dxa"/>
            <w:tcBorders>
              <w:top w:val="nil"/>
              <w:left w:val="single" w:sz="8" w:space="0" w:color="auto"/>
              <w:bottom w:val="single" w:sz="8" w:space="0" w:color="auto"/>
              <w:right w:val="single" w:sz="8" w:space="0" w:color="auto"/>
            </w:tcBorders>
            <w:tcMar>
              <w:top w:w="0" w:type="dxa"/>
              <w:left w:w="70" w:type="dxa"/>
              <w:bottom w:w="0" w:type="dxa"/>
              <w:right w:w="70" w:type="dxa"/>
            </w:tcMar>
            <w:vAlign w:val="bottom"/>
            <w:hideMark/>
          </w:tcPr>
          <w:p w14:paraId="3A987C36"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školka</w:t>
            </w:r>
          </w:p>
        </w:tc>
        <w:tc>
          <w:tcPr>
            <w:tcW w:w="1240" w:type="dxa"/>
            <w:tcBorders>
              <w:top w:val="nil"/>
              <w:left w:val="nil"/>
              <w:bottom w:val="single" w:sz="8" w:space="0" w:color="auto"/>
              <w:right w:val="single" w:sz="8" w:space="0" w:color="auto"/>
            </w:tcBorders>
            <w:tcMar>
              <w:top w:w="0" w:type="dxa"/>
              <w:left w:w="70" w:type="dxa"/>
              <w:bottom w:w="0" w:type="dxa"/>
              <w:right w:w="70" w:type="dxa"/>
            </w:tcMar>
            <w:vAlign w:val="bottom"/>
            <w:hideMark/>
          </w:tcPr>
          <w:p w14:paraId="06E1E4BC"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2 385</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310ADDB"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0,07</w:t>
            </w:r>
          </w:p>
        </w:tc>
      </w:tr>
      <w:tr w:rsidR="00127D64" w:rsidRPr="00A9027B" w14:paraId="36DD25B4" w14:textId="77777777" w:rsidTr="004D2249">
        <w:trPr>
          <w:trHeight w:val="288"/>
        </w:trPr>
        <w:tc>
          <w:tcPr>
            <w:tcW w:w="2840" w:type="dxa"/>
            <w:tcBorders>
              <w:top w:val="nil"/>
              <w:left w:val="single" w:sz="8" w:space="0" w:color="auto"/>
              <w:bottom w:val="single" w:sz="8" w:space="0" w:color="auto"/>
              <w:right w:val="single" w:sz="8" w:space="0" w:color="auto"/>
            </w:tcBorders>
            <w:tcMar>
              <w:top w:w="0" w:type="dxa"/>
              <w:left w:w="70" w:type="dxa"/>
              <w:bottom w:w="0" w:type="dxa"/>
              <w:right w:w="70" w:type="dxa"/>
            </w:tcMar>
            <w:vAlign w:val="bottom"/>
            <w:hideMark/>
          </w:tcPr>
          <w:p w14:paraId="29AA33F9"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rychle rostoucí dřeviny</w:t>
            </w:r>
          </w:p>
        </w:tc>
        <w:tc>
          <w:tcPr>
            <w:tcW w:w="1240" w:type="dxa"/>
            <w:tcBorders>
              <w:top w:val="nil"/>
              <w:left w:val="nil"/>
              <w:bottom w:val="single" w:sz="8" w:space="0" w:color="auto"/>
              <w:right w:val="single" w:sz="8" w:space="0" w:color="auto"/>
            </w:tcBorders>
            <w:tcMar>
              <w:top w:w="0" w:type="dxa"/>
              <w:left w:w="70" w:type="dxa"/>
              <w:bottom w:w="0" w:type="dxa"/>
              <w:right w:w="70" w:type="dxa"/>
            </w:tcMar>
            <w:vAlign w:val="bottom"/>
            <w:hideMark/>
          </w:tcPr>
          <w:p w14:paraId="0198AE74"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2 650</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9694732"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0,07</w:t>
            </w:r>
          </w:p>
        </w:tc>
      </w:tr>
      <w:tr w:rsidR="00127D64" w:rsidRPr="00A9027B" w14:paraId="43CD81D2" w14:textId="77777777" w:rsidTr="004D2249">
        <w:trPr>
          <w:trHeight w:val="288"/>
        </w:trPr>
        <w:tc>
          <w:tcPr>
            <w:tcW w:w="2840" w:type="dxa"/>
            <w:tcBorders>
              <w:top w:val="nil"/>
              <w:left w:val="single" w:sz="8" w:space="0" w:color="auto"/>
              <w:bottom w:val="single" w:sz="8" w:space="0" w:color="auto"/>
              <w:right w:val="single" w:sz="8" w:space="0" w:color="auto"/>
            </w:tcBorders>
            <w:tcMar>
              <w:top w:w="0" w:type="dxa"/>
              <w:left w:w="70" w:type="dxa"/>
              <w:bottom w:w="0" w:type="dxa"/>
              <w:right w:w="70" w:type="dxa"/>
            </w:tcMar>
            <w:vAlign w:val="bottom"/>
            <w:hideMark/>
          </w:tcPr>
          <w:p w14:paraId="5CFC35D8"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jiná trvalá kultura</w:t>
            </w:r>
          </w:p>
        </w:tc>
        <w:tc>
          <w:tcPr>
            <w:tcW w:w="1240" w:type="dxa"/>
            <w:tcBorders>
              <w:top w:val="nil"/>
              <w:left w:val="nil"/>
              <w:bottom w:val="single" w:sz="8" w:space="0" w:color="auto"/>
              <w:right w:val="single" w:sz="8" w:space="0" w:color="auto"/>
            </w:tcBorders>
            <w:tcMar>
              <w:top w:w="0" w:type="dxa"/>
              <w:left w:w="70" w:type="dxa"/>
              <w:bottom w:w="0" w:type="dxa"/>
              <w:right w:w="70" w:type="dxa"/>
            </w:tcMar>
            <w:vAlign w:val="bottom"/>
            <w:hideMark/>
          </w:tcPr>
          <w:p w14:paraId="52AA75EF"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4 620</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07B4330"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0,13</w:t>
            </w:r>
          </w:p>
        </w:tc>
      </w:tr>
      <w:tr w:rsidR="00127D64" w:rsidRPr="00A9027B" w14:paraId="186E4A03" w14:textId="77777777" w:rsidTr="004D2249">
        <w:trPr>
          <w:trHeight w:val="288"/>
        </w:trPr>
        <w:tc>
          <w:tcPr>
            <w:tcW w:w="2840" w:type="dxa"/>
            <w:tcBorders>
              <w:top w:val="nil"/>
              <w:left w:val="single" w:sz="8" w:space="0" w:color="auto"/>
              <w:bottom w:val="single" w:sz="8" w:space="0" w:color="auto"/>
              <w:right w:val="single" w:sz="8" w:space="0" w:color="auto"/>
            </w:tcBorders>
            <w:tcMar>
              <w:top w:w="0" w:type="dxa"/>
              <w:left w:w="70" w:type="dxa"/>
              <w:bottom w:w="0" w:type="dxa"/>
              <w:right w:w="70" w:type="dxa"/>
            </w:tcMar>
            <w:vAlign w:val="bottom"/>
            <w:hideMark/>
          </w:tcPr>
          <w:p w14:paraId="3DFA3905"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zalesněná půda</w:t>
            </w:r>
          </w:p>
        </w:tc>
        <w:tc>
          <w:tcPr>
            <w:tcW w:w="1240" w:type="dxa"/>
            <w:tcBorders>
              <w:top w:val="nil"/>
              <w:left w:val="nil"/>
              <w:bottom w:val="single" w:sz="8" w:space="0" w:color="auto"/>
              <w:right w:val="single" w:sz="8" w:space="0" w:color="auto"/>
            </w:tcBorders>
            <w:tcMar>
              <w:top w:w="0" w:type="dxa"/>
              <w:left w:w="70" w:type="dxa"/>
              <w:bottom w:w="0" w:type="dxa"/>
              <w:right w:w="70" w:type="dxa"/>
            </w:tcMar>
            <w:vAlign w:val="bottom"/>
            <w:hideMark/>
          </w:tcPr>
          <w:p w14:paraId="436A4597"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5 766</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EFC845A"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0,16</w:t>
            </w:r>
          </w:p>
        </w:tc>
      </w:tr>
      <w:tr w:rsidR="00127D64" w:rsidRPr="00A9027B" w14:paraId="319663F7" w14:textId="77777777" w:rsidTr="004D2249">
        <w:trPr>
          <w:trHeight w:val="288"/>
        </w:trPr>
        <w:tc>
          <w:tcPr>
            <w:tcW w:w="2840" w:type="dxa"/>
            <w:tcBorders>
              <w:top w:val="nil"/>
              <w:left w:val="single" w:sz="8" w:space="0" w:color="auto"/>
              <w:bottom w:val="single" w:sz="8" w:space="0" w:color="auto"/>
              <w:right w:val="single" w:sz="8" w:space="0" w:color="auto"/>
            </w:tcBorders>
            <w:tcMar>
              <w:top w:w="0" w:type="dxa"/>
              <w:left w:w="70" w:type="dxa"/>
              <w:bottom w:w="0" w:type="dxa"/>
              <w:right w:w="70" w:type="dxa"/>
            </w:tcMar>
            <w:vAlign w:val="bottom"/>
            <w:hideMark/>
          </w:tcPr>
          <w:p w14:paraId="5A1A1C58"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rybník</w:t>
            </w:r>
          </w:p>
        </w:tc>
        <w:tc>
          <w:tcPr>
            <w:tcW w:w="1240" w:type="dxa"/>
            <w:tcBorders>
              <w:top w:val="nil"/>
              <w:left w:val="nil"/>
              <w:bottom w:val="single" w:sz="8" w:space="0" w:color="auto"/>
              <w:right w:val="single" w:sz="8" w:space="0" w:color="auto"/>
            </w:tcBorders>
            <w:tcMar>
              <w:top w:w="0" w:type="dxa"/>
              <w:left w:w="70" w:type="dxa"/>
              <w:bottom w:w="0" w:type="dxa"/>
              <w:right w:w="70" w:type="dxa"/>
            </w:tcMar>
            <w:vAlign w:val="bottom"/>
            <w:hideMark/>
          </w:tcPr>
          <w:p w14:paraId="36BE5235"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364</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E6486DB"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0,01</w:t>
            </w:r>
          </w:p>
        </w:tc>
      </w:tr>
      <w:tr w:rsidR="00127D64" w:rsidRPr="00A9027B" w14:paraId="3067B3BE" w14:textId="77777777" w:rsidTr="004D2249">
        <w:trPr>
          <w:trHeight w:val="288"/>
        </w:trPr>
        <w:tc>
          <w:tcPr>
            <w:tcW w:w="2840" w:type="dxa"/>
            <w:tcBorders>
              <w:top w:val="nil"/>
              <w:left w:val="single" w:sz="8" w:space="0" w:color="auto"/>
              <w:bottom w:val="single" w:sz="8" w:space="0" w:color="auto"/>
              <w:right w:val="single" w:sz="8" w:space="0" w:color="auto"/>
            </w:tcBorders>
            <w:tcMar>
              <w:top w:w="0" w:type="dxa"/>
              <w:left w:w="70" w:type="dxa"/>
              <w:bottom w:w="0" w:type="dxa"/>
              <w:right w:w="70" w:type="dxa"/>
            </w:tcMar>
            <w:vAlign w:val="bottom"/>
            <w:hideMark/>
          </w:tcPr>
          <w:p w14:paraId="7185BD7D"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mimoprodukční plocha</w:t>
            </w:r>
          </w:p>
        </w:tc>
        <w:tc>
          <w:tcPr>
            <w:tcW w:w="1240" w:type="dxa"/>
            <w:tcBorders>
              <w:top w:val="nil"/>
              <w:left w:val="nil"/>
              <w:bottom w:val="single" w:sz="8" w:space="0" w:color="auto"/>
              <w:right w:val="single" w:sz="8" w:space="0" w:color="auto"/>
            </w:tcBorders>
            <w:tcMar>
              <w:top w:w="0" w:type="dxa"/>
              <w:left w:w="70" w:type="dxa"/>
              <w:bottom w:w="0" w:type="dxa"/>
              <w:right w:w="70" w:type="dxa"/>
            </w:tcMar>
            <w:vAlign w:val="bottom"/>
            <w:hideMark/>
          </w:tcPr>
          <w:p w14:paraId="32C35E8B"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191</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C0ED756"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0,01</w:t>
            </w:r>
          </w:p>
        </w:tc>
      </w:tr>
      <w:tr w:rsidR="00127D64" w:rsidRPr="00A9027B" w14:paraId="637424E1" w14:textId="77777777" w:rsidTr="004D2249">
        <w:trPr>
          <w:trHeight w:val="288"/>
        </w:trPr>
        <w:tc>
          <w:tcPr>
            <w:tcW w:w="2840" w:type="dxa"/>
            <w:tcBorders>
              <w:top w:val="nil"/>
              <w:left w:val="single" w:sz="8" w:space="0" w:color="auto"/>
              <w:bottom w:val="single" w:sz="8" w:space="0" w:color="auto"/>
              <w:right w:val="single" w:sz="8" w:space="0" w:color="auto"/>
            </w:tcBorders>
            <w:tcMar>
              <w:top w:w="0" w:type="dxa"/>
              <w:left w:w="70" w:type="dxa"/>
              <w:bottom w:w="0" w:type="dxa"/>
              <w:right w:w="70" w:type="dxa"/>
            </w:tcMar>
            <w:vAlign w:val="bottom"/>
            <w:hideMark/>
          </w:tcPr>
          <w:p w14:paraId="15674E07"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jiná kultura</w:t>
            </w:r>
          </w:p>
        </w:tc>
        <w:tc>
          <w:tcPr>
            <w:tcW w:w="1240" w:type="dxa"/>
            <w:tcBorders>
              <w:top w:val="nil"/>
              <w:left w:val="nil"/>
              <w:bottom w:val="single" w:sz="8" w:space="0" w:color="auto"/>
              <w:right w:val="single" w:sz="8" w:space="0" w:color="auto"/>
            </w:tcBorders>
            <w:tcMar>
              <w:top w:w="0" w:type="dxa"/>
              <w:left w:w="70" w:type="dxa"/>
              <w:bottom w:w="0" w:type="dxa"/>
              <w:right w:w="70" w:type="dxa"/>
            </w:tcMar>
            <w:vAlign w:val="bottom"/>
            <w:hideMark/>
          </w:tcPr>
          <w:p w14:paraId="37291964"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574</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EBFE9AB"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0,02</w:t>
            </w:r>
          </w:p>
        </w:tc>
      </w:tr>
      <w:tr w:rsidR="00127D64" w:rsidRPr="00A9027B" w14:paraId="7FF905AE" w14:textId="77777777" w:rsidTr="004D2249">
        <w:trPr>
          <w:trHeight w:val="288"/>
        </w:trPr>
        <w:tc>
          <w:tcPr>
            <w:tcW w:w="2840" w:type="dxa"/>
            <w:tcBorders>
              <w:top w:val="nil"/>
              <w:left w:val="single" w:sz="8" w:space="0" w:color="auto"/>
              <w:bottom w:val="single" w:sz="8" w:space="0" w:color="auto"/>
              <w:right w:val="single" w:sz="8" w:space="0" w:color="auto"/>
            </w:tcBorders>
            <w:tcMar>
              <w:top w:w="0" w:type="dxa"/>
              <w:left w:w="70" w:type="dxa"/>
              <w:bottom w:w="0" w:type="dxa"/>
              <w:right w:w="70" w:type="dxa"/>
            </w:tcMar>
            <w:vAlign w:val="bottom"/>
            <w:hideMark/>
          </w:tcPr>
          <w:p w14:paraId="79B7AAD2"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Celkem</w:t>
            </w:r>
          </w:p>
        </w:tc>
        <w:tc>
          <w:tcPr>
            <w:tcW w:w="124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6212763"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3 557 576</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0F0C66D" w14:textId="77777777" w:rsidR="00127D64" w:rsidRPr="00A9027B" w:rsidRDefault="00127D64" w:rsidP="00576C2B">
            <w:pPr>
              <w:pStyle w:val="UZEINormaln"/>
              <w:spacing w:before="0" w:after="0"/>
              <w:rPr>
                <w:rFonts w:eastAsia="Calibri" w:cs="Times New Roman"/>
                <w:color w:val="000000"/>
              </w:rPr>
            </w:pPr>
            <w:r w:rsidRPr="00A9027B">
              <w:rPr>
                <w:rFonts w:eastAsia="Calibri" w:cs="Times New Roman"/>
                <w:color w:val="000000"/>
              </w:rPr>
              <w:t>100,0</w:t>
            </w:r>
          </w:p>
        </w:tc>
      </w:tr>
    </w:tbl>
    <w:p w14:paraId="0F5BEC5C" w14:textId="77777777" w:rsidR="00127D64" w:rsidRPr="00A9027B" w:rsidRDefault="00127D64" w:rsidP="00576C2B">
      <w:pPr>
        <w:pStyle w:val="UZEIZdroj"/>
      </w:pPr>
      <w:r w:rsidRPr="00A9027B">
        <w:t>Zdroj: Export LPIS pro SZIF (MZe) k 30.6.2020, vlastní výpočty ÚZEI</w:t>
      </w:r>
    </w:p>
    <w:p w14:paraId="1F69C4F4" w14:textId="6A8A4586" w:rsidR="009E3336" w:rsidRDefault="001520C7" w:rsidP="00576C2B">
      <w:pPr>
        <w:pStyle w:val="UZEITaB"/>
      </w:pPr>
      <w:bookmarkStart w:id="276" w:name="_Toc94181587"/>
      <w:r>
        <w:t xml:space="preserve">Doplňující informace k obhospodařování trvalých </w:t>
      </w:r>
      <w:r w:rsidR="00332F1E">
        <w:t xml:space="preserve">travních </w:t>
      </w:r>
      <w:r>
        <w:t>porostů</w:t>
      </w:r>
      <w:bookmarkEnd w:id="276"/>
    </w:p>
    <w:tbl>
      <w:tblPr>
        <w:tblW w:w="4280" w:type="dxa"/>
        <w:tblInd w:w="-1" w:type="dxa"/>
        <w:tblCellMar>
          <w:left w:w="0" w:type="dxa"/>
          <w:right w:w="0" w:type="dxa"/>
        </w:tblCellMar>
        <w:tblLook w:val="04A0" w:firstRow="1" w:lastRow="0" w:firstColumn="1" w:lastColumn="0" w:noHBand="0" w:noVBand="1"/>
      </w:tblPr>
      <w:tblGrid>
        <w:gridCol w:w="2940"/>
        <w:gridCol w:w="1340"/>
      </w:tblGrid>
      <w:tr w:rsidR="009E3336" w:rsidRPr="001520C7" w14:paraId="46D67468" w14:textId="77777777" w:rsidTr="001520C7">
        <w:trPr>
          <w:trHeight w:val="288"/>
        </w:trPr>
        <w:tc>
          <w:tcPr>
            <w:tcW w:w="2940" w:type="dxa"/>
            <w:tcBorders>
              <w:top w:val="single" w:sz="8" w:space="0" w:color="auto"/>
              <w:left w:val="single" w:sz="8" w:space="0" w:color="auto"/>
              <w:bottom w:val="single" w:sz="8" w:space="0" w:color="auto"/>
              <w:right w:val="single" w:sz="8" w:space="0" w:color="auto"/>
            </w:tcBorders>
            <w:shd w:val="clear" w:color="auto" w:fill="C0C0C0"/>
            <w:tcMar>
              <w:top w:w="0" w:type="dxa"/>
              <w:left w:w="70" w:type="dxa"/>
              <w:bottom w:w="0" w:type="dxa"/>
              <w:right w:w="70" w:type="dxa"/>
            </w:tcMar>
            <w:vAlign w:val="center"/>
            <w:hideMark/>
          </w:tcPr>
          <w:p w14:paraId="37B589F3" w14:textId="77777777" w:rsidR="009E3336" w:rsidRPr="001520C7" w:rsidRDefault="009E3336" w:rsidP="00576C2B">
            <w:pPr>
              <w:pStyle w:val="UZEINormaln"/>
              <w:spacing w:before="0" w:after="0"/>
              <w:rPr>
                <w:rFonts w:eastAsia="Calibri" w:cs="Times New Roman"/>
                <w:color w:val="000000"/>
                <w:vertAlign w:val="superscript"/>
              </w:rPr>
            </w:pPr>
            <w:r w:rsidRPr="001520C7">
              <w:rPr>
                <w:rFonts w:eastAsia="Calibri" w:cs="Times New Roman"/>
                <w:color w:val="000000"/>
              </w:rPr>
              <w:t>Výměra zemědělské půdy</w:t>
            </w:r>
            <w:r w:rsidRPr="001520C7">
              <w:rPr>
                <w:rFonts w:eastAsia="Calibri" w:cs="Times New Roman"/>
                <w:color w:val="000000"/>
                <w:vertAlign w:val="superscript"/>
              </w:rPr>
              <w:t>1)</w:t>
            </w:r>
          </w:p>
        </w:tc>
        <w:tc>
          <w:tcPr>
            <w:tcW w:w="1340" w:type="dxa"/>
            <w:tcBorders>
              <w:top w:val="single" w:sz="8" w:space="0" w:color="auto"/>
              <w:left w:val="nil"/>
              <w:bottom w:val="single" w:sz="8" w:space="0" w:color="auto"/>
              <w:right w:val="single" w:sz="8" w:space="0" w:color="auto"/>
            </w:tcBorders>
            <w:noWrap/>
            <w:tcMar>
              <w:top w:w="0" w:type="dxa"/>
              <w:left w:w="70" w:type="dxa"/>
              <w:bottom w:w="0" w:type="dxa"/>
              <w:right w:w="70" w:type="dxa"/>
            </w:tcMar>
            <w:vAlign w:val="center"/>
            <w:hideMark/>
          </w:tcPr>
          <w:p w14:paraId="4A7A09CA" w14:textId="77777777" w:rsidR="009E3336" w:rsidRPr="001520C7" w:rsidRDefault="009E3336" w:rsidP="00576C2B">
            <w:pPr>
              <w:pStyle w:val="UZEINormaln"/>
              <w:spacing w:before="0" w:after="0"/>
              <w:rPr>
                <w:rFonts w:eastAsia="Calibri" w:cs="Times New Roman"/>
                <w:color w:val="000000"/>
              </w:rPr>
            </w:pPr>
            <w:r w:rsidRPr="001520C7">
              <w:rPr>
                <w:rFonts w:eastAsia="Calibri" w:cs="Times New Roman"/>
                <w:color w:val="000000"/>
              </w:rPr>
              <w:t>3 550 681 ha</w:t>
            </w:r>
          </w:p>
        </w:tc>
      </w:tr>
      <w:tr w:rsidR="009E3336" w:rsidRPr="001520C7" w14:paraId="46086483" w14:textId="77777777" w:rsidTr="001520C7">
        <w:trPr>
          <w:trHeight w:val="576"/>
        </w:trPr>
        <w:tc>
          <w:tcPr>
            <w:tcW w:w="2940" w:type="dxa"/>
            <w:tcBorders>
              <w:top w:val="nil"/>
              <w:left w:val="single" w:sz="8" w:space="0" w:color="auto"/>
              <w:bottom w:val="single" w:sz="8" w:space="0" w:color="auto"/>
              <w:right w:val="single" w:sz="8" w:space="0" w:color="auto"/>
            </w:tcBorders>
            <w:shd w:val="clear" w:color="auto" w:fill="C0C0C0"/>
            <w:tcMar>
              <w:top w:w="0" w:type="dxa"/>
              <w:left w:w="70" w:type="dxa"/>
              <w:bottom w:w="0" w:type="dxa"/>
              <w:right w:w="70" w:type="dxa"/>
            </w:tcMar>
            <w:vAlign w:val="center"/>
            <w:hideMark/>
          </w:tcPr>
          <w:p w14:paraId="2C3C9472" w14:textId="77777777" w:rsidR="009E3336" w:rsidRPr="001520C7" w:rsidRDefault="009E3336" w:rsidP="00576C2B">
            <w:pPr>
              <w:pStyle w:val="UZEINormaln"/>
              <w:spacing w:before="0" w:after="0"/>
              <w:rPr>
                <w:rFonts w:eastAsia="Calibri" w:cs="Times New Roman"/>
                <w:color w:val="000000"/>
              </w:rPr>
            </w:pPr>
            <w:r w:rsidRPr="001520C7">
              <w:rPr>
                <w:rFonts w:eastAsia="Calibri" w:cs="Times New Roman"/>
                <w:color w:val="000000"/>
              </w:rPr>
              <w:t>Výměra trvalých travních porostů</w:t>
            </w:r>
          </w:p>
        </w:tc>
        <w:tc>
          <w:tcPr>
            <w:tcW w:w="134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2B17AB03" w14:textId="77777777" w:rsidR="009E3336" w:rsidRPr="001520C7" w:rsidRDefault="009E3336" w:rsidP="00576C2B">
            <w:pPr>
              <w:pStyle w:val="UZEINormaln"/>
              <w:spacing w:before="0" w:after="0"/>
              <w:rPr>
                <w:rFonts w:eastAsia="Calibri" w:cs="Times New Roman"/>
                <w:color w:val="000000"/>
              </w:rPr>
            </w:pPr>
            <w:r w:rsidRPr="001520C7">
              <w:rPr>
                <w:rFonts w:eastAsia="Calibri" w:cs="Times New Roman"/>
                <w:color w:val="000000"/>
              </w:rPr>
              <w:t>1 006 255 ha</w:t>
            </w:r>
          </w:p>
        </w:tc>
      </w:tr>
      <w:tr w:rsidR="009E3336" w:rsidRPr="001520C7" w14:paraId="1F50432D" w14:textId="77777777" w:rsidTr="001520C7">
        <w:trPr>
          <w:trHeight w:val="288"/>
        </w:trPr>
        <w:tc>
          <w:tcPr>
            <w:tcW w:w="2940" w:type="dxa"/>
            <w:tcBorders>
              <w:top w:val="nil"/>
              <w:left w:val="single" w:sz="8" w:space="0" w:color="auto"/>
              <w:bottom w:val="single" w:sz="8" w:space="0" w:color="auto"/>
              <w:right w:val="single" w:sz="8" w:space="0" w:color="auto"/>
            </w:tcBorders>
            <w:shd w:val="clear" w:color="auto" w:fill="C0C0C0"/>
            <w:tcMar>
              <w:top w:w="0" w:type="dxa"/>
              <w:left w:w="70" w:type="dxa"/>
              <w:bottom w:w="0" w:type="dxa"/>
              <w:right w:w="70" w:type="dxa"/>
            </w:tcMar>
            <w:vAlign w:val="center"/>
            <w:hideMark/>
          </w:tcPr>
          <w:p w14:paraId="4B04C7F0" w14:textId="77777777" w:rsidR="009E3336" w:rsidRPr="001520C7" w:rsidRDefault="009E3336" w:rsidP="00576C2B">
            <w:pPr>
              <w:pStyle w:val="UZEINormaln"/>
              <w:spacing w:before="0" w:after="0"/>
              <w:rPr>
                <w:rFonts w:eastAsia="Calibri" w:cs="Times New Roman"/>
                <w:color w:val="000000"/>
              </w:rPr>
            </w:pPr>
            <w:r w:rsidRPr="001520C7">
              <w:rPr>
                <w:rFonts w:eastAsia="Calibri" w:cs="Times New Roman"/>
                <w:color w:val="000000"/>
              </w:rPr>
              <w:t>Počet VDJ (přežvýkavci)</w:t>
            </w:r>
          </w:p>
        </w:tc>
        <w:tc>
          <w:tcPr>
            <w:tcW w:w="1340"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11770D92" w14:textId="77777777" w:rsidR="009E3336" w:rsidRPr="001520C7" w:rsidRDefault="009E3336" w:rsidP="00576C2B">
            <w:pPr>
              <w:pStyle w:val="UZEINormaln"/>
              <w:spacing w:before="0" w:after="0"/>
              <w:rPr>
                <w:rFonts w:eastAsia="Calibri" w:cs="Times New Roman"/>
                <w:color w:val="000000"/>
              </w:rPr>
            </w:pPr>
            <w:r w:rsidRPr="001520C7">
              <w:rPr>
                <w:rFonts w:eastAsia="Calibri" w:cs="Times New Roman"/>
                <w:color w:val="000000"/>
              </w:rPr>
              <w:t>1 096 387</w:t>
            </w:r>
          </w:p>
        </w:tc>
      </w:tr>
      <w:tr w:rsidR="009E3336" w:rsidRPr="001520C7" w14:paraId="7BF6A331" w14:textId="77777777" w:rsidTr="001520C7">
        <w:trPr>
          <w:trHeight w:val="864"/>
        </w:trPr>
        <w:tc>
          <w:tcPr>
            <w:tcW w:w="2940" w:type="dxa"/>
            <w:tcBorders>
              <w:top w:val="nil"/>
              <w:left w:val="single" w:sz="8" w:space="0" w:color="auto"/>
              <w:bottom w:val="single" w:sz="8" w:space="0" w:color="auto"/>
              <w:right w:val="single" w:sz="8" w:space="0" w:color="auto"/>
            </w:tcBorders>
            <w:shd w:val="clear" w:color="auto" w:fill="C0C0C0"/>
            <w:tcMar>
              <w:top w:w="0" w:type="dxa"/>
              <w:left w:w="70" w:type="dxa"/>
              <w:bottom w:w="0" w:type="dxa"/>
              <w:right w:w="70" w:type="dxa"/>
            </w:tcMar>
            <w:vAlign w:val="center"/>
            <w:hideMark/>
          </w:tcPr>
          <w:p w14:paraId="652DE478" w14:textId="77777777" w:rsidR="009E3336" w:rsidRPr="001520C7" w:rsidRDefault="009E3336" w:rsidP="00576C2B">
            <w:pPr>
              <w:pStyle w:val="UZEINormaln"/>
              <w:spacing w:before="0" w:after="0"/>
              <w:rPr>
                <w:rFonts w:eastAsia="Calibri" w:cs="Times New Roman"/>
                <w:color w:val="000000"/>
              </w:rPr>
            </w:pPr>
            <w:r w:rsidRPr="001520C7">
              <w:rPr>
                <w:rFonts w:eastAsia="Calibri" w:cs="Times New Roman"/>
                <w:color w:val="000000"/>
              </w:rPr>
              <w:t>Průměrná intenzita hospodářských zvířat na zem. půdě</w:t>
            </w:r>
          </w:p>
        </w:tc>
        <w:tc>
          <w:tcPr>
            <w:tcW w:w="1340"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2CA2C89B" w14:textId="77777777" w:rsidR="009E3336" w:rsidRPr="001520C7" w:rsidRDefault="009E3336" w:rsidP="00576C2B">
            <w:pPr>
              <w:pStyle w:val="UZEINormaln"/>
              <w:spacing w:before="0" w:after="0"/>
              <w:rPr>
                <w:rFonts w:eastAsia="Calibri" w:cs="Times New Roman"/>
                <w:color w:val="000000"/>
              </w:rPr>
            </w:pPr>
            <w:r w:rsidRPr="001520C7">
              <w:rPr>
                <w:rFonts w:eastAsia="Calibri" w:cs="Times New Roman"/>
                <w:color w:val="000000"/>
              </w:rPr>
              <w:t>0,3 VDJ/ha</w:t>
            </w:r>
          </w:p>
        </w:tc>
      </w:tr>
      <w:tr w:rsidR="009E3336" w:rsidRPr="001520C7" w14:paraId="160D24B2" w14:textId="77777777" w:rsidTr="001520C7">
        <w:trPr>
          <w:trHeight w:val="864"/>
        </w:trPr>
        <w:tc>
          <w:tcPr>
            <w:tcW w:w="2940" w:type="dxa"/>
            <w:tcBorders>
              <w:top w:val="nil"/>
              <w:left w:val="single" w:sz="8" w:space="0" w:color="auto"/>
              <w:bottom w:val="single" w:sz="8" w:space="0" w:color="auto"/>
              <w:right w:val="single" w:sz="8" w:space="0" w:color="auto"/>
            </w:tcBorders>
            <w:shd w:val="clear" w:color="auto" w:fill="C0C0C0"/>
            <w:tcMar>
              <w:top w:w="0" w:type="dxa"/>
              <w:left w:w="70" w:type="dxa"/>
              <w:bottom w:w="0" w:type="dxa"/>
              <w:right w:w="70" w:type="dxa"/>
            </w:tcMar>
            <w:vAlign w:val="center"/>
            <w:hideMark/>
          </w:tcPr>
          <w:p w14:paraId="3FDF9A8B" w14:textId="77777777" w:rsidR="009E3336" w:rsidRPr="001520C7" w:rsidRDefault="009E3336" w:rsidP="00576C2B">
            <w:pPr>
              <w:pStyle w:val="UZEINormaln"/>
              <w:spacing w:before="0" w:after="0"/>
              <w:rPr>
                <w:rFonts w:eastAsia="Calibri" w:cs="Times New Roman"/>
                <w:color w:val="000000"/>
              </w:rPr>
            </w:pPr>
            <w:r w:rsidRPr="001520C7">
              <w:rPr>
                <w:rFonts w:eastAsia="Calibri" w:cs="Times New Roman"/>
                <w:color w:val="000000"/>
              </w:rPr>
              <w:t>Průměrná intenzita hospodářských zvířat na trvalých travních porostech</w:t>
            </w:r>
          </w:p>
        </w:tc>
        <w:tc>
          <w:tcPr>
            <w:tcW w:w="1340"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0389733" w14:textId="4B6EBDAD" w:rsidR="009E3336" w:rsidRPr="001520C7" w:rsidRDefault="009E3336" w:rsidP="00576C2B">
            <w:pPr>
              <w:pStyle w:val="UZEINormaln"/>
              <w:spacing w:before="0" w:after="0"/>
              <w:rPr>
                <w:rFonts w:eastAsia="Calibri" w:cs="Times New Roman"/>
                <w:color w:val="000000"/>
              </w:rPr>
            </w:pPr>
            <w:r w:rsidRPr="001520C7">
              <w:rPr>
                <w:rFonts w:eastAsia="Calibri" w:cs="Times New Roman"/>
                <w:color w:val="000000"/>
              </w:rPr>
              <w:t>1,1 VDJ/ha</w:t>
            </w:r>
          </w:p>
        </w:tc>
      </w:tr>
      <w:tr w:rsidR="009E3336" w:rsidRPr="001520C7" w14:paraId="36525B18" w14:textId="77777777" w:rsidTr="001520C7">
        <w:trPr>
          <w:trHeight w:val="864"/>
        </w:trPr>
        <w:tc>
          <w:tcPr>
            <w:tcW w:w="2940" w:type="dxa"/>
            <w:tcBorders>
              <w:top w:val="nil"/>
              <w:left w:val="single" w:sz="8" w:space="0" w:color="auto"/>
              <w:bottom w:val="single" w:sz="8" w:space="0" w:color="auto"/>
              <w:right w:val="single" w:sz="8" w:space="0" w:color="auto"/>
            </w:tcBorders>
            <w:shd w:val="clear" w:color="auto" w:fill="C0C0C0"/>
            <w:tcMar>
              <w:top w:w="0" w:type="dxa"/>
              <w:left w:w="70" w:type="dxa"/>
              <w:bottom w:w="0" w:type="dxa"/>
              <w:right w:w="70" w:type="dxa"/>
            </w:tcMar>
            <w:vAlign w:val="center"/>
            <w:hideMark/>
          </w:tcPr>
          <w:p w14:paraId="114577BE" w14:textId="77777777" w:rsidR="009E3336" w:rsidRPr="001520C7" w:rsidRDefault="009E3336" w:rsidP="00576C2B">
            <w:pPr>
              <w:pStyle w:val="UZEINormaln"/>
              <w:spacing w:before="0" w:after="0"/>
              <w:rPr>
                <w:rFonts w:eastAsia="Calibri" w:cs="Times New Roman"/>
                <w:color w:val="000000"/>
                <w:vertAlign w:val="superscript"/>
              </w:rPr>
            </w:pPr>
            <w:r w:rsidRPr="001520C7">
              <w:rPr>
                <w:rFonts w:eastAsia="Calibri" w:cs="Times New Roman"/>
                <w:color w:val="000000"/>
              </w:rPr>
              <w:t>Průměrné množství dusíku dodaného na trvalé travní porosty</w:t>
            </w:r>
            <w:r w:rsidRPr="001520C7">
              <w:rPr>
                <w:rFonts w:eastAsia="Calibri" w:cs="Times New Roman"/>
                <w:color w:val="000000"/>
                <w:vertAlign w:val="superscript"/>
              </w:rPr>
              <w:t>2)</w:t>
            </w:r>
          </w:p>
        </w:tc>
        <w:tc>
          <w:tcPr>
            <w:tcW w:w="1340"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310F62E9" w14:textId="726F7A40" w:rsidR="009E3336" w:rsidRPr="001520C7" w:rsidRDefault="009E3336" w:rsidP="00576C2B">
            <w:pPr>
              <w:pStyle w:val="UZEINormaln"/>
              <w:spacing w:before="0" w:after="0"/>
              <w:rPr>
                <w:rFonts w:eastAsia="Calibri" w:cs="Times New Roman"/>
                <w:color w:val="000000"/>
              </w:rPr>
            </w:pPr>
            <w:r w:rsidRPr="001520C7">
              <w:rPr>
                <w:rFonts w:eastAsia="Calibri" w:cs="Times New Roman"/>
                <w:color w:val="000000"/>
              </w:rPr>
              <w:t>51 kg N/ha</w:t>
            </w:r>
          </w:p>
        </w:tc>
      </w:tr>
    </w:tbl>
    <w:p w14:paraId="107D7A98" w14:textId="77777777" w:rsidR="009E3336" w:rsidRPr="009E6AAB" w:rsidRDefault="009E3336" w:rsidP="00576C2B">
      <w:pPr>
        <w:pStyle w:val="UZEIZdroj"/>
      </w:pPr>
      <w:r w:rsidRPr="009E6AAB">
        <w:t>Zdroj Integrovaný registr zvířat (leden 2020); výměra půdy dle LPIS k 30. 6. 2020; vlastní výpočty ÚZEI</w:t>
      </w:r>
    </w:p>
    <w:p w14:paraId="38D4C8A6" w14:textId="77777777" w:rsidR="009E3336" w:rsidRPr="009E6AAB" w:rsidRDefault="009E3336" w:rsidP="00576C2B">
      <w:pPr>
        <w:pStyle w:val="UZEIZdroj"/>
      </w:pPr>
      <w:r w:rsidRPr="009E6AAB">
        <w:t>1)Do zemědělské půdy není započítána zalesněná půda, rybníky, mimoprodukční plochy a jiná kultura.</w:t>
      </w:r>
    </w:p>
    <w:p w14:paraId="56226152" w14:textId="77777777" w:rsidR="009E3336" w:rsidRPr="008005F8" w:rsidRDefault="009E3336" w:rsidP="00576C2B">
      <w:pPr>
        <w:pStyle w:val="UZEIZdroj"/>
        <w:rPr>
          <w:rFonts w:ascii="Arial" w:hAnsi="Arial" w:cs="Arial"/>
          <w:sz w:val="18"/>
          <w:szCs w:val="18"/>
        </w:rPr>
      </w:pPr>
      <w:r w:rsidRPr="009E6AAB">
        <w:t>2)Online dotazníkové šetření ÚZEI mezi zemědělci na téma Ošetřování trvalých travních porostů, 2019</w:t>
      </w:r>
    </w:p>
    <w:p w14:paraId="54873A8C" w14:textId="77777777" w:rsidR="00127D64" w:rsidRPr="00A9027B" w:rsidRDefault="00127D64" w:rsidP="0002312F">
      <w:pPr>
        <w:pStyle w:val="UZEINormaln"/>
        <w:rPr>
          <w:rFonts w:eastAsia="Calibri" w:cs="Times New Roman"/>
          <w:sz w:val="22"/>
        </w:rPr>
      </w:pPr>
    </w:p>
    <w:p w14:paraId="62DDDE61" w14:textId="77777777" w:rsidR="00127D64" w:rsidRPr="00A9027B" w:rsidRDefault="00127D64" w:rsidP="0002312F">
      <w:pPr>
        <w:pStyle w:val="UZEINormaln"/>
        <w:rPr>
          <w:rFonts w:eastAsia="Calibri" w:cs="Times New Roman"/>
          <w:sz w:val="22"/>
        </w:rPr>
      </w:pPr>
    </w:p>
    <w:p w14:paraId="772A0CF7" w14:textId="6968333F" w:rsidR="003E0F58" w:rsidRPr="007C705C" w:rsidRDefault="003E0F58" w:rsidP="0002312F">
      <w:pPr>
        <w:pStyle w:val="UZEINormaln"/>
        <w:rPr>
          <w:rFonts w:eastAsiaTheme="minorEastAsia"/>
        </w:rPr>
      </w:pPr>
      <w:r w:rsidRPr="00A9027B">
        <w:rPr>
          <w:rFonts w:eastAsiaTheme="minorEastAsia"/>
        </w:rPr>
        <w:lastRenderedPageBreak/>
        <w:fldChar w:fldCharType="end"/>
      </w:r>
      <w:r w:rsidR="00926B0E">
        <w:rPr>
          <w:rFonts w:eastAsiaTheme="minorEastAsia"/>
        </w:rPr>
        <w:t xml:space="preserve">U lesnictví </w:t>
      </w:r>
      <w:r w:rsidRPr="007C705C">
        <w:rPr>
          <w:rFonts w:eastAsiaTheme="minorEastAsia"/>
        </w:rPr>
        <w:t>jsou klíčové následující tři kategorie. Tou první je 4.A.1 Forest Land remaining Forest Land s příspěvkem 5,85%, což je hlavní kategorie LULUCF. Emise v této kategorii jsou většinou určovány změnami v zásobě uhlíku v biomase. Druhá je 4.G Harvested wood products, třetí 4.A.2 Land converted to Forest Land.</w:t>
      </w:r>
    </w:p>
    <w:p w14:paraId="7787C753" w14:textId="7923820C" w:rsidR="003E0F58" w:rsidRPr="007C705C" w:rsidRDefault="003E0F58" w:rsidP="00A95D44">
      <w:pPr>
        <w:pStyle w:val="UZEINormaln"/>
        <w:rPr>
          <w:rFonts w:eastAsiaTheme="minorEastAsia"/>
        </w:rPr>
      </w:pPr>
      <w:r w:rsidRPr="007C705C">
        <w:rPr>
          <w:rFonts w:eastAsiaTheme="minorEastAsia"/>
        </w:rPr>
        <w:t xml:space="preserve">V roce 2018 (1990) činila výměra lesní půdy 2 673 (2 629) tis. ha, zatímco zalesněná plocha lesa (timberland) odpovídala 2610 (2 583) tis. ha, což představuje 97,6 (98,2)% katastrálních lesních pozemků v České republice. „Cropland“ je převážně zastoupena ornou půdou (92,5% kategorie v roce 2018), zatímco zbývající plocha zahrnuje chmelnice, vinice, zahrady a sady a představuje největší kategorii využití půdy v zemi. Zatímco v roce 1990 představovala cca. 44 % z celkové rozlohy země, v roce 2018 se tento podíl snížil na 40,5%. Lze očekávat, že tento trend bude pokračovat. Přeměna orné půdy na travní porosty je aktivně podporována státními dotacemi. Přechod na louky a pastviny se týká hlavně zemí méně produktivních oblastí. Kromě toho roste poptávka po pozemcích pro infrastrukturu a osídlení. Svým prostorovým podílem 12,8% v roce 2018 patří kategorie travních porostů na třetí místo mezi kategoriemi využití půdy v České republice. Jeho rozloha se od roku 1990 zvyšuje. Tato země se většinou používá jako pastviny pro dobytek a louky pro pěstování krmiva. Je výrazně rozšířen hlavně v kopcovitých částech země. Význam travních porostů v této zemi postupně roste, a to jak pro jejich roli ve výrobě, tak pro zachování biologické rozmanitosti v krajině. Podle národních zemědělských programů by se měl prostorový podíl travních porostů dále zvýšit na přibližně 18% rozlohy země. Dominantní část by měla být převedena z Croplandu, jehož podíl je stále považován za nadměrný. Po zavedení dotací od roku 1990 se plocha pastvin zvýšila od roku 2018 o 21,5 %. Rozloha 4.D mokřadů v současné době pokrývá 2,1% celkového území. Od roku 1990 se stabilně zvyšuje (do roku 2018 o 5,7%), s ještě silnějším trendem dříve. Tento trend bude pokračovat a oblast mokřadů se bude dále zvětšovat. Je to hlavně díky programům zaměřeným na zvýšení schopnosti krajiny zadržovat vodu, zejména ve vztahu k adaptačním strategiím na klima ČR. Kategorie Settlemnts v současné době (od roku 2018) představuje 10,7% rozlohy země. Plocha této kategorie se od roku 1990 zvětšila přibližně o 4%, zejména v posledních letech. </w:t>
      </w:r>
    </w:p>
    <w:p w14:paraId="2EF6B1B1" w14:textId="77777777" w:rsidR="003E0F58" w:rsidRPr="007C705C" w:rsidRDefault="003E0F58" w:rsidP="00A95D44">
      <w:pPr>
        <w:pStyle w:val="UZEINormaln"/>
        <w:rPr>
          <w:rFonts w:eastAsiaTheme="minorEastAsia"/>
        </w:rPr>
      </w:pPr>
      <w:r w:rsidRPr="007C705C">
        <w:rPr>
          <w:rFonts w:eastAsiaTheme="minorEastAsia"/>
        </w:rPr>
        <w:t>Odhad potenciálu další sekvestrace:</w:t>
      </w:r>
    </w:p>
    <w:p w14:paraId="490B9490" w14:textId="77777777" w:rsidR="003E0F58" w:rsidRPr="007C705C" w:rsidRDefault="003E0F58" w:rsidP="00A95D44">
      <w:pPr>
        <w:pStyle w:val="UZEINormaln"/>
        <w:rPr>
          <w:rFonts w:eastAsiaTheme="minorEastAsia"/>
        </w:rPr>
      </w:pPr>
      <w:r w:rsidRPr="007C705C">
        <w:rPr>
          <w:rFonts w:eastAsiaTheme="minorEastAsia"/>
        </w:rPr>
        <w:t xml:space="preserve">Předpokládá se, že odvětví LULUCF významně přispěje k emisím skleníkových plynů v zemi. Vykazovaný rok 2018 (ČHMÚ, 2020) uváděl LULUCF jako </w:t>
      </w:r>
      <w:r w:rsidRPr="007C705C">
        <w:rPr>
          <w:rFonts w:eastAsiaTheme="minorEastAsia"/>
          <w:u w:val="single"/>
        </w:rPr>
        <w:t>zdroj</w:t>
      </w:r>
      <w:r w:rsidRPr="007C705C">
        <w:rPr>
          <w:rFonts w:eastAsiaTheme="minorEastAsia"/>
        </w:rPr>
        <w:t xml:space="preserve"> emisí poprvé za celé sledované období od roku 1990. </w:t>
      </w:r>
    </w:p>
    <w:p w14:paraId="5C4F3A2B" w14:textId="04C4B2DF" w:rsidR="003E0F58" w:rsidRPr="007C705C" w:rsidRDefault="003E0F58" w:rsidP="00A95D44">
      <w:pPr>
        <w:pStyle w:val="UZEIOdrky"/>
        <w:rPr>
          <w:rFonts w:eastAsiaTheme="minorEastAsia"/>
        </w:rPr>
      </w:pPr>
      <w:r w:rsidRPr="007C705C">
        <w:rPr>
          <w:rFonts w:eastAsiaTheme="minorEastAsia"/>
        </w:rPr>
        <w:t>České lesnictví zažívá nebývalý výskyt kůrovce a souvisejícího odumírání smrkových (a v menším měřítku i borovicových) porostů. To má za následek rychle rostoucí podíl sanitárního kácení.</w:t>
      </w:r>
    </w:p>
    <w:p w14:paraId="66776600" w14:textId="19BD9799" w:rsidR="003E0F58" w:rsidRPr="007C705C" w:rsidRDefault="003E0F58" w:rsidP="00A95D44">
      <w:pPr>
        <w:pStyle w:val="UZEIOdrky"/>
        <w:rPr>
          <w:rFonts w:eastAsiaTheme="minorEastAsia"/>
        </w:rPr>
      </w:pPr>
      <w:r w:rsidRPr="007C705C">
        <w:rPr>
          <w:rFonts w:eastAsiaTheme="minorEastAsia"/>
        </w:rPr>
        <w:t>I když je plánovaná těžba omezena na minimum, rostoucí podíl sanitární těžby vedl k celkově rekordně vysokému objemu kácení v letech 2018 a 2019 (ČsSO). Očekává se, že úroveň kácení v roce 2020 by byla stejná nebo vyšší než v roce 2019.</w:t>
      </w:r>
    </w:p>
    <w:p w14:paraId="0D90FACD" w14:textId="1B173C46" w:rsidR="003E0F58" w:rsidRPr="007C705C" w:rsidRDefault="003E0F58" w:rsidP="00A95D44">
      <w:pPr>
        <w:pStyle w:val="UZEIOdrky"/>
        <w:rPr>
          <w:rFonts w:eastAsiaTheme="minorEastAsia"/>
        </w:rPr>
      </w:pPr>
      <w:r w:rsidRPr="007C705C">
        <w:rPr>
          <w:rFonts w:eastAsiaTheme="minorEastAsia"/>
        </w:rPr>
        <w:t>V nadcházejícím desetiletí do roku 2030 by úroveň sklizně postupně klesala, což by nejpozději do roku 2030 proměnilo emise sektoru 4. LULUCF na propad emisí.</w:t>
      </w:r>
    </w:p>
    <w:p w14:paraId="0DF23410" w14:textId="29EB3811" w:rsidR="003E0F58" w:rsidRPr="007C705C" w:rsidRDefault="003E0F58" w:rsidP="00A95D44">
      <w:pPr>
        <w:pStyle w:val="UZEIOdrky"/>
        <w:rPr>
          <w:rFonts w:eastAsiaTheme="minorEastAsia"/>
        </w:rPr>
      </w:pPr>
      <w:r w:rsidRPr="007C705C">
        <w:rPr>
          <w:rFonts w:eastAsiaTheme="minorEastAsia"/>
        </w:rPr>
        <w:t>Za poslední dvě projektovaná desetiletí (2031–2050) by se úroda snížila na přibližně 16 mil. m3 objemu dřeva ročně, což by bylo pod předpokládaným přírůstkem v lesnictví. To by znamenalo vytvoření významného poklesu emisí, což by za vnitrostátních podmínek učinilo celou kategorii 4. snížení emisí skleníkových plynů v odvětví LULUCF.</w:t>
      </w:r>
    </w:p>
    <w:p w14:paraId="1FC3F606" w14:textId="0FC8540C" w:rsidR="003E0F58" w:rsidRPr="007C705C" w:rsidRDefault="003E0F58" w:rsidP="00A95D44">
      <w:pPr>
        <w:pStyle w:val="UZEIOdrky"/>
        <w:rPr>
          <w:rFonts w:eastAsiaTheme="minorEastAsia"/>
        </w:rPr>
      </w:pPr>
      <w:r w:rsidRPr="007C705C">
        <w:rPr>
          <w:rFonts w:eastAsiaTheme="minorEastAsia"/>
        </w:rPr>
        <w:t xml:space="preserve">Scénář s existujícími opatřeními uvedený níže představuje adaptivní scénář pro české lesnictví. Výsledkem bude rychlejší přeměna produktivních, ale nestabilních </w:t>
      </w:r>
      <w:r w:rsidRPr="007C705C">
        <w:rPr>
          <w:rFonts w:eastAsiaTheme="minorEastAsia"/>
        </w:rPr>
        <w:lastRenderedPageBreak/>
        <w:t>jehličnatých porostů na odolnější, převážně listnaté a / nebo smíšené lesní porosty. Toto je požadovaný směr přechodu lesů v rámci adaptačních strategií přijatých v zemi (MŽP, 2017). Historicky silný pokles jehličnatých porostů, jehož je dnes svědkem, by měl vyústit v rychlejší změnu, která povede k odolnějším a přizpůsobivějším lesním porostům, které budou plnit všechny očekávané funkce a služby, včetně zadržování vody, ochrany půdy, rekreace a produkce dřeva, jakož i zmírňování klimatu. Bude použit významně větší podíl listnatých dřevin.</w:t>
      </w:r>
    </w:p>
    <w:p w14:paraId="3BC1FE1A" w14:textId="0C8D7AEF" w:rsidR="003E0F58" w:rsidRPr="007C705C" w:rsidRDefault="003E0F58" w:rsidP="00A95D44">
      <w:pPr>
        <w:pStyle w:val="UZEIOdrky"/>
        <w:rPr>
          <w:rFonts w:eastAsiaTheme="minorEastAsia"/>
        </w:rPr>
      </w:pPr>
      <w:r w:rsidRPr="007C705C">
        <w:rPr>
          <w:rFonts w:eastAsiaTheme="minorEastAsia"/>
        </w:rPr>
        <w:t>Pokud jde o produkční funkci lesa, očekává se, že objemová produkce nedosáhne úrovní, jaké byly zaznamenány v prvních dvou desetiletích tohoto století. Mělo by se však zvýšit celkové „zabezpečení“ produkce a snížit frekvenci nežádoucích poruch, což by upřednostňovalo jak produkci dřeva, tak další funkce a služby lesů obecně.</w:t>
      </w:r>
    </w:p>
    <w:p w14:paraId="0EF69A61" w14:textId="27F40AFD" w:rsidR="003E0F58" w:rsidRPr="005E29C9" w:rsidRDefault="003E0F58" w:rsidP="005E29C9">
      <w:pPr>
        <w:pStyle w:val="UZEIOdrky"/>
        <w:rPr>
          <w:rFonts w:eastAsiaTheme="minorEastAsia"/>
        </w:rPr>
      </w:pPr>
      <w:r w:rsidRPr="007C705C">
        <w:rPr>
          <w:rFonts w:eastAsiaTheme="minorEastAsia"/>
        </w:rPr>
        <w:t>Celkový význam odtoku objemu těžby dřeva na emisní bilanci ve 4. sektoru LULUCF je prokázán analýzou citlivosti pomocí změněných úrovní těžby. Je zřejmé, že jakékoli narušení lesů vedoucí ke zvýšeným úrovním objemu těžby by negativně ovlivnilo uhlíkovou bilanci v tomto odvětví.</w:t>
      </w:r>
    </w:p>
    <w:p w14:paraId="258D4352" w14:textId="2D015F00" w:rsidR="003E0F58" w:rsidRPr="007C705C" w:rsidRDefault="005E29C9" w:rsidP="007C2785">
      <w:pPr>
        <w:pStyle w:val="UZEITaB"/>
      </w:pPr>
      <w:bookmarkStart w:id="277" w:name="_Toc77245828"/>
      <w:r>
        <w:t xml:space="preserve"> </w:t>
      </w:r>
      <w:bookmarkStart w:id="278" w:name="_Toc94181588"/>
      <w:r w:rsidR="003E0F58" w:rsidRPr="007C705C">
        <w:t>Hlášené a předpokládané emise skleníkových plynů ve 4. sektoru LULUCF - scénář s existujícími opatřeními</w:t>
      </w:r>
      <w:bookmarkEnd w:id="277"/>
      <w:bookmarkEnd w:id="278"/>
    </w:p>
    <w:tbl>
      <w:tblPr>
        <w:tblW w:w="5000" w:type="pct"/>
        <w:tblBorders>
          <w:top w:val="single" w:sz="4" w:space="0" w:color="4F81BD"/>
          <w:left w:val="single" w:sz="4" w:space="0" w:color="4F81BD"/>
          <w:bottom w:val="single" w:sz="4" w:space="0" w:color="4F81BD"/>
          <w:right w:val="single" w:sz="4" w:space="0" w:color="4F81BD"/>
          <w:insideH w:val="single" w:sz="4" w:space="0" w:color="4F81BD"/>
        </w:tblBorders>
        <w:tblCellMar>
          <w:left w:w="70" w:type="dxa"/>
          <w:right w:w="70" w:type="dxa"/>
        </w:tblCellMar>
        <w:tblLook w:val="04A0" w:firstRow="1" w:lastRow="0" w:firstColumn="1" w:lastColumn="0" w:noHBand="0" w:noVBand="1"/>
      </w:tblPr>
      <w:tblGrid>
        <w:gridCol w:w="1135"/>
        <w:gridCol w:w="547"/>
        <w:gridCol w:w="547"/>
        <w:gridCol w:w="538"/>
        <w:gridCol w:w="511"/>
        <w:gridCol w:w="520"/>
        <w:gridCol w:w="520"/>
        <w:gridCol w:w="523"/>
        <w:gridCol w:w="1056"/>
        <w:gridCol w:w="1056"/>
        <w:gridCol w:w="1056"/>
        <w:gridCol w:w="1053"/>
      </w:tblGrid>
      <w:tr w:rsidR="003E0F58" w:rsidRPr="007C705C" w14:paraId="4C9D57A4" w14:textId="77777777" w:rsidTr="004D2249">
        <w:trPr>
          <w:trHeight w:val="225"/>
        </w:trPr>
        <w:tc>
          <w:tcPr>
            <w:tcW w:w="602" w:type="pct"/>
            <w:vMerge w:val="restart"/>
            <w:tcBorders>
              <w:right w:val="single" w:sz="4" w:space="0" w:color="4F81BD"/>
            </w:tcBorders>
            <w:shd w:val="clear" w:color="auto" w:fill="DBE5F1"/>
            <w:noWrap/>
            <w:vAlign w:val="bottom"/>
          </w:tcPr>
          <w:p w14:paraId="375C7097" w14:textId="77777777" w:rsidR="003E0F58" w:rsidRPr="007C705C" w:rsidRDefault="003E0F58" w:rsidP="004D2249">
            <w:pPr>
              <w:spacing w:after="80"/>
              <w:jc w:val="left"/>
              <w:rPr>
                <w:rFonts w:eastAsia="Calibri" w:cs="Times New Roman"/>
                <w:b/>
                <w:bCs/>
                <w:sz w:val="18"/>
                <w:szCs w:val="18"/>
                <w:lang w:val="cs-CZ" w:bidi="he-IL"/>
              </w:rPr>
            </w:pPr>
            <w:r w:rsidRPr="007C705C">
              <w:rPr>
                <w:rFonts w:eastAsia="Calibri" w:cs="Times New Roman"/>
                <w:b/>
                <w:bCs/>
                <w:sz w:val="18"/>
                <w:szCs w:val="18"/>
                <w:lang w:val="cs-CZ" w:bidi="he-IL"/>
              </w:rPr>
              <w:t>[Mt CO</w:t>
            </w:r>
            <w:r w:rsidRPr="007C705C">
              <w:rPr>
                <w:rFonts w:eastAsia="Calibri" w:cs="Times New Roman"/>
                <w:b/>
                <w:bCs/>
                <w:sz w:val="18"/>
                <w:szCs w:val="18"/>
                <w:vertAlign w:val="subscript"/>
                <w:lang w:val="cs-CZ" w:bidi="he-IL"/>
              </w:rPr>
              <w:t>2</w:t>
            </w:r>
            <w:r w:rsidRPr="007C705C">
              <w:rPr>
                <w:rFonts w:eastAsia="Calibri" w:cs="Times New Roman"/>
                <w:b/>
                <w:bCs/>
                <w:sz w:val="18"/>
                <w:szCs w:val="18"/>
                <w:lang w:val="cs-CZ" w:bidi="he-IL"/>
              </w:rPr>
              <w:t xml:space="preserve"> eq.]</w:t>
            </w:r>
          </w:p>
        </w:tc>
        <w:tc>
          <w:tcPr>
            <w:tcW w:w="907" w:type="pct"/>
            <w:gridSpan w:val="3"/>
            <w:tcBorders>
              <w:right w:val="single" w:sz="4" w:space="0" w:color="4F81BD"/>
            </w:tcBorders>
            <w:shd w:val="clear" w:color="auto" w:fill="DBE5F1"/>
          </w:tcPr>
          <w:p w14:paraId="7058157D" w14:textId="77777777" w:rsidR="003E0F58" w:rsidRPr="007C705C" w:rsidRDefault="003E0F58" w:rsidP="004D2249">
            <w:pPr>
              <w:spacing w:after="80"/>
              <w:jc w:val="center"/>
              <w:rPr>
                <w:rFonts w:eastAsia="Calibri" w:cs="Times New Roman"/>
                <w:b/>
                <w:bCs/>
                <w:sz w:val="18"/>
                <w:szCs w:val="18"/>
                <w:lang w:val="cs-CZ" w:bidi="he-IL"/>
              </w:rPr>
            </w:pPr>
            <w:r w:rsidRPr="007C705C">
              <w:rPr>
                <w:rFonts w:eastAsia="Calibri" w:cs="Times New Roman"/>
                <w:b/>
                <w:bCs/>
                <w:sz w:val="18"/>
                <w:szCs w:val="18"/>
                <w:lang w:val="cs-CZ" w:bidi="he-IL"/>
              </w:rPr>
              <w:t>Reported emissions</w:t>
            </w:r>
          </w:p>
        </w:tc>
        <w:tc>
          <w:tcPr>
            <w:tcW w:w="1153" w:type="pct"/>
            <w:gridSpan w:val="4"/>
            <w:tcBorders>
              <w:left w:val="single" w:sz="4" w:space="0" w:color="4F81BD"/>
              <w:right w:val="single" w:sz="4" w:space="0" w:color="4F81BD"/>
            </w:tcBorders>
            <w:shd w:val="clear" w:color="auto" w:fill="DBE5F1"/>
            <w:noWrap/>
            <w:vAlign w:val="bottom"/>
          </w:tcPr>
          <w:p w14:paraId="7E3D44EF" w14:textId="77777777" w:rsidR="003E0F58" w:rsidRPr="007C705C" w:rsidRDefault="003E0F58" w:rsidP="004D2249">
            <w:pPr>
              <w:spacing w:after="80"/>
              <w:jc w:val="center"/>
              <w:rPr>
                <w:rFonts w:eastAsia="Calibri" w:cs="Times New Roman"/>
                <w:b/>
                <w:bCs/>
                <w:sz w:val="18"/>
                <w:szCs w:val="18"/>
                <w:lang w:val="cs-CZ" w:bidi="he-IL"/>
              </w:rPr>
            </w:pPr>
            <w:r w:rsidRPr="007C705C">
              <w:rPr>
                <w:rFonts w:eastAsia="Calibri" w:cs="Times New Roman"/>
                <w:b/>
                <w:bCs/>
                <w:sz w:val="18"/>
                <w:szCs w:val="18"/>
                <w:lang w:val="cs-CZ" w:bidi="he-IL"/>
              </w:rPr>
              <w:t>Projected emissions</w:t>
            </w:r>
          </w:p>
        </w:tc>
        <w:tc>
          <w:tcPr>
            <w:tcW w:w="2338" w:type="pct"/>
            <w:gridSpan w:val="4"/>
            <w:tcBorders>
              <w:left w:val="single" w:sz="4" w:space="0" w:color="4F81BD"/>
            </w:tcBorders>
            <w:shd w:val="clear" w:color="auto" w:fill="DBE5F1"/>
            <w:noWrap/>
            <w:vAlign w:val="bottom"/>
          </w:tcPr>
          <w:p w14:paraId="0F8A6DA7" w14:textId="77777777" w:rsidR="003E0F58" w:rsidRPr="007C705C" w:rsidRDefault="003E0F58" w:rsidP="004D2249">
            <w:pPr>
              <w:spacing w:after="80"/>
              <w:jc w:val="center"/>
              <w:rPr>
                <w:rFonts w:eastAsia="Calibri" w:cs="Times New Roman"/>
                <w:b/>
                <w:bCs/>
                <w:sz w:val="18"/>
                <w:szCs w:val="18"/>
                <w:lang w:val="cs-CZ" w:bidi="he-IL"/>
              </w:rPr>
            </w:pPr>
            <w:r w:rsidRPr="007C705C">
              <w:rPr>
                <w:rFonts w:eastAsia="Calibri" w:cs="Times New Roman"/>
                <w:b/>
                <w:bCs/>
                <w:sz w:val="18"/>
                <w:szCs w:val="18"/>
                <w:lang w:val="cs-CZ" w:bidi="he-IL"/>
              </w:rPr>
              <w:t>Difference</w:t>
            </w:r>
          </w:p>
        </w:tc>
      </w:tr>
      <w:tr w:rsidR="003E0F58" w:rsidRPr="007C705C" w14:paraId="755A9A7A" w14:textId="77777777" w:rsidTr="004D2249">
        <w:trPr>
          <w:trHeight w:val="225"/>
        </w:trPr>
        <w:tc>
          <w:tcPr>
            <w:tcW w:w="602" w:type="pct"/>
            <w:vMerge/>
            <w:tcBorders>
              <w:right w:val="single" w:sz="4" w:space="0" w:color="4F81BD"/>
            </w:tcBorders>
            <w:shd w:val="clear" w:color="auto" w:fill="DBE5F1"/>
            <w:noWrap/>
            <w:vAlign w:val="bottom"/>
            <w:hideMark/>
          </w:tcPr>
          <w:p w14:paraId="4B37FC5A" w14:textId="77777777" w:rsidR="003E0F58" w:rsidRPr="007C705C" w:rsidRDefault="003E0F58" w:rsidP="004D2249">
            <w:pPr>
              <w:spacing w:after="80"/>
              <w:jc w:val="left"/>
              <w:rPr>
                <w:rFonts w:eastAsia="Calibri" w:cs="Times New Roman"/>
                <w:b/>
                <w:bCs/>
                <w:sz w:val="18"/>
                <w:szCs w:val="18"/>
                <w:lang w:val="cs-CZ" w:bidi="he-IL"/>
              </w:rPr>
            </w:pPr>
          </w:p>
        </w:tc>
        <w:tc>
          <w:tcPr>
            <w:tcW w:w="304" w:type="pct"/>
            <w:shd w:val="clear" w:color="auto" w:fill="DBE5F1"/>
            <w:vAlign w:val="center"/>
          </w:tcPr>
          <w:p w14:paraId="3DD8F75D" w14:textId="77777777" w:rsidR="003E0F58" w:rsidRPr="007C705C" w:rsidRDefault="003E0F58" w:rsidP="004D2249">
            <w:pPr>
              <w:spacing w:after="80"/>
              <w:jc w:val="center"/>
              <w:rPr>
                <w:rFonts w:eastAsia="Calibri" w:cs="Times New Roman"/>
                <w:b/>
                <w:bCs/>
                <w:sz w:val="18"/>
                <w:szCs w:val="18"/>
                <w:lang w:val="cs-CZ" w:bidi="he-IL"/>
              </w:rPr>
            </w:pPr>
            <w:r w:rsidRPr="007C705C">
              <w:rPr>
                <w:rFonts w:eastAsia="Calibri" w:cs="Times New Roman"/>
                <w:b/>
                <w:bCs/>
                <w:sz w:val="18"/>
                <w:szCs w:val="18"/>
                <w:lang w:val="cs-CZ" w:bidi="he-IL"/>
              </w:rPr>
              <w:t>1990</w:t>
            </w:r>
          </w:p>
        </w:tc>
        <w:tc>
          <w:tcPr>
            <w:tcW w:w="304" w:type="pct"/>
            <w:shd w:val="clear" w:color="auto" w:fill="DBE5F1"/>
            <w:noWrap/>
            <w:vAlign w:val="center"/>
            <w:hideMark/>
          </w:tcPr>
          <w:p w14:paraId="47968F7D" w14:textId="77777777" w:rsidR="003E0F58" w:rsidRPr="007C705C" w:rsidRDefault="003E0F58" w:rsidP="004D2249">
            <w:pPr>
              <w:spacing w:after="80"/>
              <w:jc w:val="center"/>
              <w:rPr>
                <w:rFonts w:eastAsia="Calibri" w:cs="Times New Roman"/>
                <w:b/>
                <w:bCs/>
                <w:sz w:val="18"/>
                <w:szCs w:val="18"/>
                <w:lang w:val="cs-CZ" w:bidi="he-IL"/>
              </w:rPr>
            </w:pPr>
            <w:r w:rsidRPr="007C705C">
              <w:rPr>
                <w:rFonts w:eastAsia="Calibri" w:cs="Times New Roman"/>
                <w:b/>
                <w:bCs/>
                <w:sz w:val="18"/>
                <w:szCs w:val="18"/>
                <w:lang w:val="cs-CZ" w:bidi="he-IL"/>
              </w:rPr>
              <w:t>2015</w:t>
            </w:r>
          </w:p>
        </w:tc>
        <w:tc>
          <w:tcPr>
            <w:tcW w:w="299" w:type="pct"/>
            <w:tcBorders>
              <w:right w:val="single" w:sz="4" w:space="0" w:color="4F81BD"/>
            </w:tcBorders>
            <w:shd w:val="clear" w:color="auto" w:fill="DBE5F1"/>
            <w:noWrap/>
            <w:vAlign w:val="center"/>
            <w:hideMark/>
          </w:tcPr>
          <w:p w14:paraId="760B8D0B" w14:textId="77777777" w:rsidR="003E0F58" w:rsidRPr="007C705C" w:rsidRDefault="003E0F58" w:rsidP="004D2249">
            <w:pPr>
              <w:spacing w:after="80"/>
              <w:jc w:val="center"/>
              <w:rPr>
                <w:rFonts w:eastAsia="Calibri" w:cs="Times New Roman"/>
                <w:b/>
                <w:bCs/>
                <w:sz w:val="18"/>
                <w:szCs w:val="18"/>
                <w:lang w:val="cs-CZ" w:bidi="he-IL"/>
              </w:rPr>
            </w:pPr>
            <w:r w:rsidRPr="007C705C">
              <w:rPr>
                <w:rFonts w:eastAsia="Calibri" w:cs="Times New Roman"/>
                <w:b/>
                <w:bCs/>
                <w:sz w:val="18"/>
                <w:szCs w:val="18"/>
                <w:lang w:val="cs-CZ" w:bidi="he-IL"/>
              </w:rPr>
              <w:t>2018</w:t>
            </w:r>
          </w:p>
        </w:tc>
        <w:tc>
          <w:tcPr>
            <w:tcW w:w="284" w:type="pct"/>
            <w:tcBorders>
              <w:left w:val="single" w:sz="4" w:space="0" w:color="4F81BD"/>
            </w:tcBorders>
            <w:shd w:val="clear" w:color="auto" w:fill="DBE5F1"/>
            <w:noWrap/>
            <w:vAlign w:val="center"/>
            <w:hideMark/>
          </w:tcPr>
          <w:p w14:paraId="342EC8A5" w14:textId="77777777" w:rsidR="003E0F58" w:rsidRPr="007C705C" w:rsidRDefault="003E0F58" w:rsidP="004D2249">
            <w:pPr>
              <w:spacing w:after="80"/>
              <w:jc w:val="center"/>
              <w:rPr>
                <w:rFonts w:eastAsia="Calibri" w:cs="Times New Roman"/>
                <w:b/>
                <w:bCs/>
                <w:sz w:val="18"/>
                <w:szCs w:val="18"/>
                <w:lang w:val="cs-CZ" w:bidi="he-IL"/>
              </w:rPr>
            </w:pPr>
            <w:r w:rsidRPr="007C705C">
              <w:rPr>
                <w:rFonts w:eastAsia="Calibri" w:cs="Times New Roman"/>
                <w:b/>
                <w:bCs/>
                <w:sz w:val="18"/>
                <w:szCs w:val="18"/>
                <w:lang w:val="cs-CZ" w:bidi="he-IL"/>
              </w:rPr>
              <w:t>2020</w:t>
            </w:r>
          </w:p>
        </w:tc>
        <w:tc>
          <w:tcPr>
            <w:tcW w:w="289" w:type="pct"/>
            <w:shd w:val="clear" w:color="auto" w:fill="DBE5F1"/>
            <w:noWrap/>
            <w:vAlign w:val="center"/>
            <w:hideMark/>
          </w:tcPr>
          <w:p w14:paraId="01D44048" w14:textId="77777777" w:rsidR="003E0F58" w:rsidRPr="007C705C" w:rsidRDefault="003E0F58" w:rsidP="004D2249">
            <w:pPr>
              <w:spacing w:after="80"/>
              <w:jc w:val="center"/>
              <w:rPr>
                <w:rFonts w:eastAsia="Calibri" w:cs="Times New Roman"/>
                <w:b/>
                <w:bCs/>
                <w:sz w:val="18"/>
                <w:szCs w:val="18"/>
                <w:lang w:val="cs-CZ" w:bidi="he-IL"/>
              </w:rPr>
            </w:pPr>
            <w:r w:rsidRPr="007C705C">
              <w:rPr>
                <w:rFonts w:eastAsia="Calibri" w:cs="Times New Roman"/>
                <w:b/>
                <w:bCs/>
                <w:sz w:val="18"/>
                <w:szCs w:val="18"/>
                <w:lang w:val="cs-CZ" w:bidi="he-IL"/>
              </w:rPr>
              <w:t>2030</w:t>
            </w:r>
          </w:p>
        </w:tc>
        <w:tc>
          <w:tcPr>
            <w:tcW w:w="289" w:type="pct"/>
            <w:shd w:val="clear" w:color="auto" w:fill="DBE5F1"/>
            <w:noWrap/>
            <w:vAlign w:val="center"/>
            <w:hideMark/>
          </w:tcPr>
          <w:p w14:paraId="46B2B192" w14:textId="77777777" w:rsidR="003E0F58" w:rsidRPr="007C705C" w:rsidRDefault="003E0F58" w:rsidP="004D2249">
            <w:pPr>
              <w:spacing w:after="80"/>
              <w:jc w:val="center"/>
              <w:rPr>
                <w:rFonts w:eastAsia="Calibri" w:cs="Times New Roman"/>
                <w:b/>
                <w:bCs/>
                <w:sz w:val="18"/>
                <w:szCs w:val="18"/>
                <w:lang w:val="cs-CZ" w:bidi="he-IL"/>
              </w:rPr>
            </w:pPr>
            <w:r w:rsidRPr="007C705C">
              <w:rPr>
                <w:rFonts w:eastAsia="Calibri" w:cs="Times New Roman"/>
                <w:b/>
                <w:bCs/>
                <w:sz w:val="18"/>
                <w:szCs w:val="18"/>
                <w:lang w:val="cs-CZ" w:bidi="he-IL"/>
              </w:rPr>
              <w:t>2040</w:t>
            </w:r>
          </w:p>
        </w:tc>
        <w:tc>
          <w:tcPr>
            <w:tcW w:w="290" w:type="pct"/>
            <w:shd w:val="clear" w:color="auto" w:fill="DBE5F1"/>
            <w:noWrap/>
            <w:vAlign w:val="center"/>
            <w:hideMark/>
          </w:tcPr>
          <w:p w14:paraId="5052F659" w14:textId="77777777" w:rsidR="003E0F58" w:rsidRPr="007C705C" w:rsidRDefault="003E0F58" w:rsidP="004D2249">
            <w:pPr>
              <w:spacing w:after="80"/>
              <w:jc w:val="center"/>
              <w:rPr>
                <w:rFonts w:eastAsia="Calibri" w:cs="Times New Roman"/>
                <w:b/>
                <w:bCs/>
                <w:sz w:val="18"/>
                <w:szCs w:val="18"/>
                <w:lang w:val="cs-CZ" w:bidi="he-IL"/>
              </w:rPr>
            </w:pPr>
            <w:r w:rsidRPr="007C705C">
              <w:rPr>
                <w:rFonts w:eastAsia="Calibri" w:cs="Times New Roman"/>
                <w:b/>
                <w:bCs/>
                <w:sz w:val="18"/>
                <w:szCs w:val="18"/>
                <w:lang w:val="cs-CZ" w:bidi="he-IL"/>
              </w:rPr>
              <w:t>2050</w:t>
            </w:r>
          </w:p>
        </w:tc>
        <w:tc>
          <w:tcPr>
            <w:tcW w:w="585" w:type="pct"/>
            <w:tcBorders>
              <w:left w:val="single" w:sz="4" w:space="0" w:color="4F81BD"/>
            </w:tcBorders>
            <w:shd w:val="clear" w:color="auto" w:fill="DBE5F1"/>
            <w:noWrap/>
            <w:vAlign w:val="center"/>
            <w:hideMark/>
          </w:tcPr>
          <w:p w14:paraId="19C189AE" w14:textId="77777777" w:rsidR="003E0F58" w:rsidRPr="007C705C" w:rsidRDefault="003E0F58" w:rsidP="004D2249">
            <w:pPr>
              <w:spacing w:after="80"/>
              <w:jc w:val="center"/>
              <w:rPr>
                <w:rFonts w:eastAsia="Calibri" w:cs="Times New Roman"/>
                <w:b/>
                <w:bCs/>
                <w:sz w:val="18"/>
                <w:szCs w:val="18"/>
                <w:lang w:val="cs-CZ" w:bidi="he-IL"/>
              </w:rPr>
            </w:pPr>
            <w:r w:rsidRPr="007C705C">
              <w:rPr>
                <w:rFonts w:eastAsia="Calibri" w:cs="Times New Roman"/>
                <w:b/>
                <w:bCs/>
                <w:sz w:val="18"/>
                <w:szCs w:val="18"/>
                <w:lang w:val="cs-CZ" w:bidi="he-IL"/>
              </w:rPr>
              <w:t>1990 – 2020</w:t>
            </w:r>
          </w:p>
        </w:tc>
        <w:tc>
          <w:tcPr>
            <w:tcW w:w="585" w:type="pct"/>
            <w:shd w:val="clear" w:color="auto" w:fill="DBE5F1"/>
            <w:noWrap/>
            <w:vAlign w:val="center"/>
            <w:hideMark/>
          </w:tcPr>
          <w:p w14:paraId="30CB876B" w14:textId="77777777" w:rsidR="003E0F58" w:rsidRPr="007C705C" w:rsidRDefault="003E0F58" w:rsidP="004D2249">
            <w:pPr>
              <w:spacing w:after="80"/>
              <w:jc w:val="center"/>
              <w:rPr>
                <w:rFonts w:eastAsia="Calibri" w:cs="Times New Roman"/>
                <w:b/>
                <w:bCs/>
                <w:sz w:val="18"/>
                <w:szCs w:val="18"/>
                <w:lang w:val="cs-CZ" w:bidi="he-IL"/>
              </w:rPr>
            </w:pPr>
            <w:r w:rsidRPr="007C705C">
              <w:rPr>
                <w:rFonts w:eastAsia="Calibri" w:cs="Times New Roman"/>
                <w:b/>
                <w:bCs/>
                <w:sz w:val="18"/>
                <w:szCs w:val="18"/>
                <w:lang w:val="cs-CZ" w:bidi="he-IL"/>
              </w:rPr>
              <w:t>1990 – 2030</w:t>
            </w:r>
          </w:p>
        </w:tc>
        <w:tc>
          <w:tcPr>
            <w:tcW w:w="585" w:type="pct"/>
            <w:shd w:val="clear" w:color="auto" w:fill="DBE5F1"/>
            <w:noWrap/>
            <w:vAlign w:val="center"/>
            <w:hideMark/>
          </w:tcPr>
          <w:p w14:paraId="0B16D7FC" w14:textId="77777777" w:rsidR="003E0F58" w:rsidRPr="007C705C" w:rsidRDefault="003E0F58" w:rsidP="004D2249">
            <w:pPr>
              <w:spacing w:after="80"/>
              <w:jc w:val="center"/>
              <w:rPr>
                <w:rFonts w:eastAsia="Calibri" w:cs="Times New Roman"/>
                <w:b/>
                <w:bCs/>
                <w:sz w:val="18"/>
                <w:szCs w:val="18"/>
                <w:lang w:val="cs-CZ" w:bidi="he-IL"/>
              </w:rPr>
            </w:pPr>
            <w:r w:rsidRPr="007C705C">
              <w:rPr>
                <w:rFonts w:eastAsia="Calibri" w:cs="Times New Roman"/>
                <w:b/>
                <w:bCs/>
                <w:sz w:val="18"/>
                <w:szCs w:val="18"/>
                <w:lang w:val="cs-CZ" w:bidi="he-IL"/>
              </w:rPr>
              <w:t>1990 – 2040</w:t>
            </w:r>
          </w:p>
        </w:tc>
        <w:tc>
          <w:tcPr>
            <w:tcW w:w="584" w:type="pct"/>
            <w:shd w:val="clear" w:color="auto" w:fill="DBE5F1"/>
            <w:vAlign w:val="center"/>
          </w:tcPr>
          <w:p w14:paraId="0668964C" w14:textId="77777777" w:rsidR="003E0F58" w:rsidRPr="007C705C" w:rsidRDefault="003E0F58" w:rsidP="004D2249">
            <w:pPr>
              <w:spacing w:after="80"/>
              <w:jc w:val="center"/>
              <w:rPr>
                <w:rFonts w:eastAsia="Calibri" w:cs="Times New Roman"/>
                <w:b/>
                <w:bCs/>
                <w:sz w:val="18"/>
                <w:szCs w:val="18"/>
                <w:lang w:val="cs-CZ" w:bidi="he-IL"/>
              </w:rPr>
            </w:pPr>
            <w:r w:rsidRPr="007C705C">
              <w:rPr>
                <w:rFonts w:eastAsia="Calibri" w:cs="Times New Roman"/>
                <w:b/>
                <w:bCs/>
                <w:sz w:val="18"/>
                <w:szCs w:val="18"/>
                <w:lang w:val="cs-CZ" w:bidi="he-IL"/>
              </w:rPr>
              <w:t>1990 – 2050</w:t>
            </w:r>
          </w:p>
        </w:tc>
      </w:tr>
      <w:tr w:rsidR="003E0F58" w:rsidRPr="007C705C" w14:paraId="168A02C6" w14:textId="77777777" w:rsidTr="004D2249">
        <w:trPr>
          <w:trHeight w:val="225"/>
        </w:trPr>
        <w:tc>
          <w:tcPr>
            <w:tcW w:w="602" w:type="pct"/>
            <w:tcBorders>
              <w:right w:val="single" w:sz="4" w:space="0" w:color="4F81BD"/>
            </w:tcBorders>
            <w:shd w:val="clear" w:color="auto" w:fill="DBE5F1"/>
            <w:noWrap/>
            <w:vAlign w:val="bottom"/>
            <w:hideMark/>
          </w:tcPr>
          <w:p w14:paraId="2FE5355B" w14:textId="77777777" w:rsidR="003E0F58" w:rsidRPr="007C705C" w:rsidRDefault="003E0F58" w:rsidP="004D2249">
            <w:pPr>
              <w:spacing w:after="80"/>
              <w:jc w:val="left"/>
              <w:rPr>
                <w:rFonts w:eastAsia="Calibri" w:cs="Times New Roman"/>
                <w:b/>
                <w:sz w:val="18"/>
                <w:szCs w:val="18"/>
                <w:lang w:val="cs-CZ" w:bidi="he-IL"/>
              </w:rPr>
            </w:pPr>
            <w:r w:rsidRPr="007C705C">
              <w:rPr>
                <w:rFonts w:eastAsia="Calibri" w:cs="Times New Roman"/>
                <w:b/>
                <w:sz w:val="18"/>
                <w:szCs w:val="18"/>
                <w:lang w:val="cs-CZ" w:bidi="he-IL"/>
              </w:rPr>
              <w:t xml:space="preserve">WEM </w:t>
            </w:r>
          </w:p>
        </w:tc>
        <w:tc>
          <w:tcPr>
            <w:tcW w:w="304" w:type="pct"/>
          </w:tcPr>
          <w:p w14:paraId="073CA16E" w14:textId="77777777" w:rsidR="003E0F58" w:rsidRPr="007C705C" w:rsidRDefault="003E0F58" w:rsidP="004D2249">
            <w:pPr>
              <w:spacing w:after="80"/>
              <w:jc w:val="right"/>
              <w:rPr>
                <w:rFonts w:eastAsia="Calibri" w:cs="Times New Roman"/>
                <w:sz w:val="18"/>
                <w:szCs w:val="18"/>
                <w:lang w:val="cs-CZ" w:bidi="he-IL"/>
              </w:rPr>
            </w:pPr>
            <w:r w:rsidRPr="007C705C">
              <w:rPr>
                <w:rFonts w:eastAsia="Calibri" w:cs="Times New Roman"/>
                <w:color w:val="000000"/>
                <w:sz w:val="18"/>
                <w:szCs w:val="18"/>
                <w:lang w:val="cs-CZ"/>
              </w:rPr>
              <w:t>-5.69</w:t>
            </w:r>
          </w:p>
        </w:tc>
        <w:tc>
          <w:tcPr>
            <w:tcW w:w="304" w:type="pct"/>
            <w:shd w:val="clear" w:color="auto" w:fill="auto"/>
            <w:noWrap/>
            <w:vAlign w:val="center"/>
          </w:tcPr>
          <w:p w14:paraId="3C09A35F" w14:textId="77777777" w:rsidR="003E0F58" w:rsidRPr="007C705C" w:rsidRDefault="003E0F58" w:rsidP="004D2249">
            <w:pPr>
              <w:spacing w:after="80"/>
              <w:jc w:val="right"/>
              <w:rPr>
                <w:rFonts w:eastAsia="Calibri" w:cs="Times New Roman"/>
                <w:sz w:val="18"/>
                <w:szCs w:val="18"/>
                <w:lang w:val="cs-CZ" w:bidi="he-IL"/>
              </w:rPr>
            </w:pPr>
            <w:r w:rsidRPr="007C705C">
              <w:rPr>
                <w:rFonts w:eastAsia="Calibri" w:cs="Times New Roman"/>
                <w:color w:val="000000"/>
                <w:sz w:val="18"/>
                <w:szCs w:val="18"/>
                <w:lang w:val="cs-CZ"/>
              </w:rPr>
              <w:t>-5.81</w:t>
            </w:r>
          </w:p>
        </w:tc>
        <w:tc>
          <w:tcPr>
            <w:tcW w:w="299" w:type="pct"/>
            <w:tcBorders>
              <w:right w:val="single" w:sz="4" w:space="0" w:color="4F81BD"/>
            </w:tcBorders>
            <w:shd w:val="clear" w:color="auto" w:fill="auto"/>
            <w:noWrap/>
            <w:vAlign w:val="center"/>
          </w:tcPr>
          <w:p w14:paraId="58CD4602" w14:textId="77777777" w:rsidR="003E0F58" w:rsidRPr="007C705C" w:rsidRDefault="003E0F58" w:rsidP="004D2249">
            <w:pPr>
              <w:spacing w:after="80"/>
              <w:jc w:val="right"/>
              <w:rPr>
                <w:rFonts w:eastAsia="Calibri" w:cs="Times New Roman"/>
                <w:sz w:val="18"/>
                <w:szCs w:val="18"/>
                <w:lang w:val="cs-CZ" w:bidi="he-IL"/>
              </w:rPr>
            </w:pPr>
            <w:r w:rsidRPr="007C705C">
              <w:rPr>
                <w:rFonts w:eastAsia="Calibri" w:cs="Times New Roman"/>
                <w:color w:val="000000"/>
                <w:sz w:val="18"/>
                <w:szCs w:val="18"/>
                <w:lang w:val="cs-CZ"/>
              </w:rPr>
              <w:t>5.79</w:t>
            </w:r>
          </w:p>
        </w:tc>
        <w:tc>
          <w:tcPr>
            <w:tcW w:w="284" w:type="pct"/>
            <w:tcBorders>
              <w:left w:val="single" w:sz="4" w:space="0" w:color="4F81BD"/>
            </w:tcBorders>
            <w:shd w:val="clear" w:color="auto" w:fill="auto"/>
            <w:noWrap/>
            <w:vAlign w:val="center"/>
          </w:tcPr>
          <w:p w14:paraId="5603940A" w14:textId="77777777" w:rsidR="003E0F58" w:rsidRPr="007C705C" w:rsidRDefault="003E0F58" w:rsidP="004D2249">
            <w:pPr>
              <w:spacing w:after="80"/>
              <w:jc w:val="right"/>
              <w:rPr>
                <w:rFonts w:eastAsia="Calibri" w:cs="Times New Roman"/>
                <w:sz w:val="18"/>
                <w:szCs w:val="18"/>
                <w:lang w:val="cs-CZ" w:bidi="he-IL"/>
              </w:rPr>
            </w:pPr>
            <w:r w:rsidRPr="007C705C">
              <w:rPr>
                <w:rFonts w:eastAsia="Calibri" w:cs="Times New Roman"/>
                <w:color w:val="000000"/>
                <w:sz w:val="18"/>
                <w:szCs w:val="18"/>
                <w:lang w:val="cs-CZ"/>
              </w:rPr>
              <w:t>13.0</w:t>
            </w:r>
          </w:p>
        </w:tc>
        <w:tc>
          <w:tcPr>
            <w:tcW w:w="289" w:type="pct"/>
            <w:shd w:val="clear" w:color="auto" w:fill="auto"/>
            <w:noWrap/>
            <w:vAlign w:val="center"/>
          </w:tcPr>
          <w:p w14:paraId="62533140" w14:textId="77777777" w:rsidR="003E0F58" w:rsidRPr="007C705C" w:rsidRDefault="003E0F58" w:rsidP="004D2249">
            <w:pPr>
              <w:spacing w:after="80"/>
              <w:jc w:val="right"/>
              <w:rPr>
                <w:rFonts w:eastAsia="Calibri" w:cs="Times New Roman"/>
                <w:sz w:val="18"/>
                <w:szCs w:val="18"/>
                <w:lang w:val="cs-CZ" w:bidi="he-IL"/>
              </w:rPr>
            </w:pPr>
            <w:r w:rsidRPr="007C705C">
              <w:rPr>
                <w:rFonts w:eastAsia="Calibri" w:cs="Times New Roman"/>
                <w:color w:val="000000"/>
                <w:sz w:val="18"/>
                <w:szCs w:val="18"/>
                <w:lang w:val="cs-CZ"/>
              </w:rPr>
              <w:t>-1.98</w:t>
            </w:r>
          </w:p>
        </w:tc>
        <w:tc>
          <w:tcPr>
            <w:tcW w:w="289" w:type="pct"/>
            <w:shd w:val="clear" w:color="auto" w:fill="auto"/>
            <w:noWrap/>
            <w:vAlign w:val="center"/>
          </w:tcPr>
          <w:p w14:paraId="2C955A7D" w14:textId="77777777" w:rsidR="003E0F58" w:rsidRPr="007C705C" w:rsidRDefault="003E0F58" w:rsidP="004D2249">
            <w:pPr>
              <w:spacing w:after="80"/>
              <w:jc w:val="right"/>
              <w:rPr>
                <w:rFonts w:eastAsia="Calibri" w:cs="Times New Roman"/>
                <w:sz w:val="18"/>
                <w:szCs w:val="18"/>
                <w:lang w:val="cs-CZ" w:bidi="he-IL"/>
              </w:rPr>
            </w:pPr>
            <w:r w:rsidRPr="007C705C">
              <w:rPr>
                <w:rFonts w:eastAsia="Calibri" w:cs="Times New Roman"/>
                <w:color w:val="000000"/>
                <w:sz w:val="18"/>
                <w:szCs w:val="18"/>
                <w:lang w:val="cs-CZ"/>
              </w:rPr>
              <w:t>-7.19</w:t>
            </w:r>
          </w:p>
        </w:tc>
        <w:tc>
          <w:tcPr>
            <w:tcW w:w="290" w:type="pct"/>
            <w:shd w:val="clear" w:color="auto" w:fill="auto"/>
            <w:noWrap/>
            <w:vAlign w:val="center"/>
          </w:tcPr>
          <w:p w14:paraId="78BD3902" w14:textId="77777777" w:rsidR="003E0F58" w:rsidRPr="007C705C" w:rsidRDefault="003E0F58" w:rsidP="004D2249">
            <w:pPr>
              <w:spacing w:after="80"/>
              <w:jc w:val="right"/>
              <w:rPr>
                <w:rFonts w:eastAsia="Calibri" w:cs="Times New Roman"/>
                <w:sz w:val="18"/>
                <w:szCs w:val="18"/>
                <w:lang w:val="cs-CZ" w:bidi="he-IL"/>
              </w:rPr>
            </w:pPr>
            <w:r w:rsidRPr="007C705C">
              <w:rPr>
                <w:rFonts w:eastAsia="Calibri" w:cs="Times New Roman"/>
                <w:color w:val="000000"/>
                <w:sz w:val="18"/>
                <w:szCs w:val="18"/>
                <w:lang w:val="cs-CZ"/>
              </w:rPr>
              <w:t>-6.07</w:t>
            </w:r>
          </w:p>
        </w:tc>
        <w:tc>
          <w:tcPr>
            <w:tcW w:w="585" w:type="pct"/>
            <w:tcBorders>
              <w:left w:val="single" w:sz="4" w:space="0" w:color="4F81BD"/>
            </w:tcBorders>
            <w:shd w:val="clear" w:color="auto" w:fill="auto"/>
            <w:noWrap/>
          </w:tcPr>
          <w:p w14:paraId="0E410C7F"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18.6</w:t>
            </w:r>
          </w:p>
        </w:tc>
        <w:tc>
          <w:tcPr>
            <w:tcW w:w="585" w:type="pct"/>
            <w:shd w:val="clear" w:color="auto" w:fill="auto"/>
            <w:noWrap/>
          </w:tcPr>
          <w:p w14:paraId="708926E5"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3.70</w:t>
            </w:r>
          </w:p>
        </w:tc>
        <w:tc>
          <w:tcPr>
            <w:tcW w:w="585" w:type="pct"/>
            <w:shd w:val="clear" w:color="auto" w:fill="auto"/>
            <w:noWrap/>
          </w:tcPr>
          <w:p w14:paraId="58A61953"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-1.51</w:t>
            </w:r>
          </w:p>
        </w:tc>
        <w:tc>
          <w:tcPr>
            <w:tcW w:w="584" w:type="pct"/>
          </w:tcPr>
          <w:p w14:paraId="772661FC"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-0.39</w:t>
            </w:r>
          </w:p>
        </w:tc>
      </w:tr>
    </w:tbl>
    <w:p w14:paraId="5B6FCE69" w14:textId="626F4F16" w:rsidR="003E0F58" w:rsidRPr="007C2785" w:rsidRDefault="003E0F58" w:rsidP="007C2785">
      <w:pPr>
        <w:pStyle w:val="UZEIZdroj"/>
      </w:pPr>
      <w:r w:rsidRPr="007C705C">
        <w:t>Zdroj: Integrated reporting on greenhouse gas policies and measures and on projections in the Czech Republic, Reporting under the Art. 18 of the Regulation EU No. 2018/1999</w:t>
      </w:r>
    </w:p>
    <w:p w14:paraId="6B4E889B" w14:textId="0FA3ACD4" w:rsidR="003E0F58" w:rsidRPr="007C705C" w:rsidRDefault="00785725" w:rsidP="00785725">
      <w:pPr>
        <w:pStyle w:val="UZEITaB"/>
      </w:pPr>
      <w:bookmarkStart w:id="279" w:name="_Toc77245829"/>
      <w:r>
        <w:t xml:space="preserve">  </w:t>
      </w:r>
      <w:bookmarkStart w:id="280" w:name="_Toc94181589"/>
      <w:r w:rsidR="003E0F58" w:rsidRPr="007C705C">
        <w:t>Breakdown of reported and projected emissions of GHG by gases in 4. LULUCF sector - WEM scenario</w:t>
      </w:r>
      <w:bookmarkEnd w:id="279"/>
      <w:bookmarkEnd w:id="280"/>
    </w:p>
    <w:tbl>
      <w:tblPr>
        <w:tblW w:w="5000" w:type="pct"/>
        <w:tblBorders>
          <w:top w:val="single" w:sz="4" w:space="0" w:color="4F81BD"/>
          <w:left w:val="single" w:sz="4" w:space="0" w:color="4F81BD"/>
          <w:bottom w:val="single" w:sz="4" w:space="0" w:color="4F81BD"/>
          <w:right w:val="single" w:sz="4" w:space="0" w:color="4F81BD"/>
          <w:insideH w:val="single" w:sz="4" w:space="0" w:color="4F81BD"/>
        </w:tblBorders>
        <w:tblLayout w:type="fixed"/>
        <w:tblCellMar>
          <w:left w:w="70" w:type="dxa"/>
          <w:right w:w="70" w:type="dxa"/>
        </w:tblCellMar>
        <w:tblLook w:val="04A0" w:firstRow="1" w:lastRow="0" w:firstColumn="1" w:lastColumn="0" w:noHBand="0" w:noVBand="1"/>
      </w:tblPr>
      <w:tblGrid>
        <w:gridCol w:w="1130"/>
        <w:gridCol w:w="710"/>
        <w:gridCol w:w="710"/>
        <w:gridCol w:w="712"/>
        <w:gridCol w:w="712"/>
        <w:gridCol w:w="712"/>
        <w:gridCol w:w="712"/>
        <w:gridCol w:w="712"/>
        <w:gridCol w:w="738"/>
        <w:gridCol w:w="738"/>
        <w:gridCol w:w="738"/>
        <w:gridCol w:w="738"/>
      </w:tblGrid>
      <w:tr w:rsidR="003E0F58" w:rsidRPr="007C705C" w14:paraId="3622D3A3" w14:textId="77777777" w:rsidTr="004D2249">
        <w:trPr>
          <w:trHeight w:val="225"/>
        </w:trPr>
        <w:tc>
          <w:tcPr>
            <w:tcW w:w="623" w:type="pct"/>
            <w:vMerge w:val="restart"/>
            <w:tcBorders>
              <w:right w:val="single" w:sz="4" w:space="0" w:color="4F81BD"/>
            </w:tcBorders>
            <w:shd w:val="clear" w:color="auto" w:fill="DBE5F1"/>
            <w:noWrap/>
            <w:vAlign w:val="bottom"/>
          </w:tcPr>
          <w:p w14:paraId="3EDB82D1" w14:textId="77777777" w:rsidR="003E0F58" w:rsidRPr="007C705C" w:rsidRDefault="003E0F58" w:rsidP="004D2249">
            <w:pPr>
              <w:spacing w:after="80"/>
              <w:jc w:val="left"/>
              <w:rPr>
                <w:rFonts w:eastAsia="Calibri" w:cs="Times New Roman"/>
                <w:b/>
                <w:bCs/>
                <w:sz w:val="18"/>
                <w:szCs w:val="18"/>
                <w:lang w:val="cs-CZ" w:bidi="he-IL"/>
              </w:rPr>
            </w:pPr>
            <w:r w:rsidRPr="007C705C">
              <w:rPr>
                <w:rFonts w:eastAsia="Calibri" w:cs="Times New Roman"/>
                <w:b/>
                <w:bCs/>
                <w:sz w:val="18"/>
                <w:szCs w:val="18"/>
                <w:lang w:val="cs-CZ" w:bidi="he-IL"/>
              </w:rPr>
              <w:t>[Mt CO</w:t>
            </w:r>
            <w:r w:rsidRPr="007C705C">
              <w:rPr>
                <w:rFonts w:eastAsia="Calibri" w:cs="Times New Roman"/>
                <w:b/>
                <w:bCs/>
                <w:sz w:val="18"/>
                <w:szCs w:val="18"/>
                <w:vertAlign w:val="subscript"/>
                <w:lang w:val="cs-CZ" w:bidi="he-IL"/>
              </w:rPr>
              <w:t>2</w:t>
            </w:r>
            <w:r w:rsidRPr="007C705C">
              <w:rPr>
                <w:rFonts w:eastAsia="Calibri" w:cs="Times New Roman"/>
                <w:b/>
                <w:bCs/>
                <w:sz w:val="18"/>
                <w:szCs w:val="18"/>
                <w:lang w:val="cs-CZ" w:bidi="he-IL"/>
              </w:rPr>
              <w:t xml:space="preserve"> eq.]</w:t>
            </w:r>
          </w:p>
        </w:tc>
        <w:tc>
          <w:tcPr>
            <w:tcW w:w="1176" w:type="pct"/>
            <w:gridSpan w:val="3"/>
            <w:tcBorders>
              <w:left w:val="single" w:sz="4" w:space="0" w:color="4F81BD"/>
              <w:right w:val="single" w:sz="4" w:space="0" w:color="4F81BD"/>
            </w:tcBorders>
            <w:shd w:val="clear" w:color="auto" w:fill="DBE5F1"/>
            <w:noWrap/>
            <w:vAlign w:val="bottom"/>
          </w:tcPr>
          <w:p w14:paraId="063663F8" w14:textId="77777777" w:rsidR="003E0F58" w:rsidRPr="007C705C" w:rsidRDefault="003E0F58" w:rsidP="004D2249">
            <w:pPr>
              <w:spacing w:after="80"/>
              <w:jc w:val="center"/>
              <w:rPr>
                <w:rFonts w:eastAsia="Calibri" w:cs="Times New Roman"/>
                <w:b/>
                <w:bCs/>
                <w:sz w:val="18"/>
                <w:szCs w:val="18"/>
                <w:lang w:val="cs-CZ" w:bidi="he-IL"/>
              </w:rPr>
            </w:pPr>
            <w:r w:rsidRPr="007C705C">
              <w:rPr>
                <w:rFonts w:eastAsia="Calibri" w:cs="Times New Roman"/>
                <w:b/>
                <w:bCs/>
                <w:sz w:val="18"/>
                <w:szCs w:val="18"/>
                <w:lang w:val="cs-CZ" w:bidi="he-IL"/>
              </w:rPr>
              <w:t>Reported emissions</w:t>
            </w:r>
          </w:p>
        </w:tc>
        <w:tc>
          <w:tcPr>
            <w:tcW w:w="1571" w:type="pct"/>
            <w:gridSpan w:val="4"/>
            <w:tcBorders>
              <w:left w:val="single" w:sz="4" w:space="0" w:color="4F81BD"/>
              <w:right w:val="single" w:sz="4" w:space="0" w:color="4F81BD"/>
            </w:tcBorders>
            <w:shd w:val="clear" w:color="auto" w:fill="DBE5F1"/>
            <w:noWrap/>
            <w:vAlign w:val="bottom"/>
          </w:tcPr>
          <w:p w14:paraId="6FA5E4FA" w14:textId="77777777" w:rsidR="003E0F58" w:rsidRPr="007C705C" w:rsidRDefault="003E0F58" w:rsidP="004D2249">
            <w:pPr>
              <w:spacing w:after="80"/>
              <w:jc w:val="center"/>
              <w:rPr>
                <w:rFonts w:eastAsia="Calibri" w:cs="Times New Roman"/>
                <w:b/>
                <w:bCs/>
                <w:sz w:val="18"/>
                <w:szCs w:val="18"/>
                <w:lang w:val="cs-CZ" w:bidi="he-IL"/>
              </w:rPr>
            </w:pPr>
            <w:r w:rsidRPr="007C705C">
              <w:rPr>
                <w:rFonts w:eastAsia="Calibri" w:cs="Times New Roman"/>
                <w:b/>
                <w:bCs/>
                <w:sz w:val="18"/>
                <w:szCs w:val="18"/>
                <w:lang w:val="cs-CZ" w:bidi="he-IL"/>
              </w:rPr>
              <w:t>Projected emissions</w:t>
            </w:r>
          </w:p>
        </w:tc>
        <w:tc>
          <w:tcPr>
            <w:tcW w:w="1629" w:type="pct"/>
            <w:gridSpan w:val="4"/>
            <w:tcBorders>
              <w:left w:val="single" w:sz="4" w:space="0" w:color="4F81BD"/>
            </w:tcBorders>
            <w:shd w:val="clear" w:color="auto" w:fill="DBE5F1"/>
            <w:noWrap/>
            <w:vAlign w:val="bottom"/>
          </w:tcPr>
          <w:p w14:paraId="4A4E3A63" w14:textId="77777777" w:rsidR="003E0F58" w:rsidRPr="007C705C" w:rsidRDefault="003E0F58" w:rsidP="004D2249">
            <w:pPr>
              <w:spacing w:after="80"/>
              <w:jc w:val="center"/>
              <w:rPr>
                <w:rFonts w:eastAsia="Calibri" w:cs="Times New Roman"/>
                <w:b/>
                <w:bCs/>
                <w:sz w:val="18"/>
                <w:szCs w:val="18"/>
                <w:lang w:val="cs-CZ" w:bidi="he-IL"/>
              </w:rPr>
            </w:pPr>
            <w:r w:rsidRPr="007C705C">
              <w:rPr>
                <w:rFonts w:eastAsia="Calibri" w:cs="Times New Roman"/>
                <w:b/>
                <w:bCs/>
                <w:sz w:val="18"/>
                <w:szCs w:val="18"/>
                <w:lang w:val="cs-CZ" w:bidi="he-IL"/>
              </w:rPr>
              <w:t>Difference</w:t>
            </w:r>
          </w:p>
        </w:tc>
      </w:tr>
      <w:tr w:rsidR="003E0F58" w:rsidRPr="007C705C" w14:paraId="391CC345" w14:textId="77777777" w:rsidTr="004D2249">
        <w:trPr>
          <w:trHeight w:val="225"/>
        </w:trPr>
        <w:tc>
          <w:tcPr>
            <w:tcW w:w="623" w:type="pct"/>
            <w:vMerge/>
            <w:tcBorders>
              <w:right w:val="single" w:sz="4" w:space="0" w:color="4F81BD"/>
            </w:tcBorders>
            <w:shd w:val="clear" w:color="auto" w:fill="DBE5F1"/>
            <w:noWrap/>
            <w:vAlign w:val="bottom"/>
            <w:hideMark/>
          </w:tcPr>
          <w:p w14:paraId="711DEEBA" w14:textId="77777777" w:rsidR="003E0F58" w:rsidRPr="007C705C" w:rsidRDefault="003E0F58" w:rsidP="004D2249">
            <w:pPr>
              <w:spacing w:after="80"/>
              <w:jc w:val="left"/>
              <w:rPr>
                <w:rFonts w:eastAsia="Calibri" w:cs="Times New Roman"/>
                <w:b/>
                <w:bCs/>
                <w:sz w:val="18"/>
                <w:szCs w:val="18"/>
                <w:lang w:val="cs-CZ" w:bidi="he-IL"/>
              </w:rPr>
            </w:pPr>
          </w:p>
        </w:tc>
        <w:tc>
          <w:tcPr>
            <w:tcW w:w="392" w:type="pct"/>
            <w:tcBorders>
              <w:left w:val="single" w:sz="4" w:space="0" w:color="4F81BD"/>
            </w:tcBorders>
            <w:shd w:val="clear" w:color="auto" w:fill="DBE5F1"/>
            <w:noWrap/>
            <w:vAlign w:val="center"/>
            <w:hideMark/>
          </w:tcPr>
          <w:p w14:paraId="245C3F99" w14:textId="77777777" w:rsidR="003E0F58" w:rsidRPr="007C705C" w:rsidRDefault="003E0F58" w:rsidP="004D2249">
            <w:pPr>
              <w:spacing w:after="80"/>
              <w:jc w:val="center"/>
              <w:rPr>
                <w:rFonts w:eastAsia="Calibri" w:cs="Times New Roman"/>
                <w:b/>
                <w:bCs/>
                <w:sz w:val="18"/>
                <w:szCs w:val="18"/>
                <w:lang w:val="cs-CZ" w:bidi="he-IL"/>
              </w:rPr>
            </w:pPr>
            <w:r w:rsidRPr="007C705C">
              <w:rPr>
                <w:rFonts w:eastAsia="Calibri" w:cs="Times New Roman"/>
                <w:b/>
                <w:bCs/>
                <w:sz w:val="18"/>
                <w:szCs w:val="18"/>
                <w:lang w:val="cs-CZ" w:bidi="he-IL"/>
              </w:rPr>
              <w:t>1990</w:t>
            </w:r>
          </w:p>
        </w:tc>
        <w:tc>
          <w:tcPr>
            <w:tcW w:w="392" w:type="pct"/>
            <w:shd w:val="clear" w:color="auto" w:fill="DBE5F1"/>
            <w:noWrap/>
            <w:vAlign w:val="center"/>
            <w:hideMark/>
          </w:tcPr>
          <w:p w14:paraId="020084F6" w14:textId="77777777" w:rsidR="003E0F58" w:rsidRPr="007C705C" w:rsidRDefault="003E0F58" w:rsidP="004D2249">
            <w:pPr>
              <w:spacing w:after="80"/>
              <w:jc w:val="center"/>
              <w:rPr>
                <w:rFonts w:eastAsia="Calibri" w:cs="Times New Roman"/>
                <w:b/>
                <w:bCs/>
                <w:sz w:val="18"/>
                <w:szCs w:val="18"/>
                <w:lang w:val="cs-CZ" w:bidi="he-IL"/>
              </w:rPr>
            </w:pPr>
            <w:r w:rsidRPr="007C705C">
              <w:rPr>
                <w:rFonts w:eastAsia="Calibri" w:cs="Times New Roman"/>
                <w:b/>
                <w:bCs/>
                <w:sz w:val="18"/>
                <w:szCs w:val="18"/>
                <w:lang w:val="cs-CZ" w:bidi="he-IL"/>
              </w:rPr>
              <w:t>2015</w:t>
            </w:r>
          </w:p>
        </w:tc>
        <w:tc>
          <w:tcPr>
            <w:tcW w:w="393" w:type="pct"/>
            <w:tcBorders>
              <w:right w:val="single" w:sz="4" w:space="0" w:color="4F81BD"/>
            </w:tcBorders>
            <w:shd w:val="clear" w:color="auto" w:fill="DBE5F1"/>
            <w:noWrap/>
            <w:vAlign w:val="center"/>
            <w:hideMark/>
          </w:tcPr>
          <w:p w14:paraId="68F98391" w14:textId="77777777" w:rsidR="003E0F58" w:rsidRPr="007C705C" w:rsidRDefault="003E0F58" w:rsidP="004D2249">
            <w:pPr>
              <w:spacing w:after="80"/>
              <w:jc w:val="center"/>
              <w:rPr>
                <w:rFonts w:eastAsia="Calibri" w:cs="Times New Roman"/>
                <w:b/>
                <w:bCs/>
                <w:sz w:val="18"/>
                <w:szCs w:val="18"/>
                <w:lang w:val="cs-CZ" w:bidi="he-IL"/>
              </w:rPr>
            </w:pPr>
            <w:r w:rsidRPr="007C705C">
              <w:rPr>
                <w:rFonts w:eastAsia="Calibri" w:cs="Times New Roman"/>
                <w:b/>
                <w:bCs/>
                <w:sz w:val="18"/>
                <w:szCs w:val="18"/>
                <w:lang w:val="cs-CZ" w:bidi="he-IL"/>
              </w:rPr>
              <w:t>2018</w:t>
            </w:r>
          </w:p>
        </w:tc>
        <w:tc>
          <w:tcPr>
            <w:tcW w:w="393" w:type="pct"/>
            <w:tcBorders>
              <w:left w:val="single" w:sz="4" w:space="0" w:color="4F81BD"/>
            </w:tcBorders>
            <w:shd w:val="clear" w:color="auto" w:fill="DBE5F1"/>
            <w:noWrap/>
            <w:vAlign w:val="center"/>
            <w:hideMark/>
          </w:tcPr>
          <w:p w14:paraId="47394657" w14:textId="77777777" w:rsidR="003E0F58" w:rsidRPr="007C705C" w:rsidRDefault="003E0F58" w:rsidP="004D2249">
            <w:pPr>
              <w:spacing w:after="80"/>
              <w:jc w:val="center"/>
              <w:rPr>
                <w:rFonts w:eastAsia="Calibri" w:cs="Times New Roman"/>
                <w:b/>
                <w:bCs/>
                <w:sz w:val="18"/>
                <w:szCs w:val="18"/>
                <w:lang w:val="cs-CZ" w:bidi="he-IL"/>
              </w:rPr>
            </w:pPr>
            <w:r w:rsidRPr="007C705C">
              <w:rPr>
                <w:rFonts w:eastAsia="Calibri" w:cs="Times New Roman"/>
                <w:b/>
                <w:bCs/>
                <w:sz w:val="18"/>
                <w:szCs w:val="18"/>
                <w:lang w:val="cs-CZ" w:bidi="he-IL"/>
              </w:rPr>
              <w:t>2020</w:t>
            </w:r>
          </w:p>
        </w:tc>
        <w:tc>
          <w:tcPr>
            <w:tcW w:w="393" w:type="pct"/>
            <w:shd w:val="clear" w:color="auto" w:fill="DBE5F1"/>
            <w:noWrap/>
            <w:vAlign w:val="center"/>
            <w:hideMark/>
          </w:tcPr>
          <w:p w14:paraId="7B4C6153" w14:textId="77777777" w:rsidR="003E0F58" w:rsidRPr="007C705C" w:rsidRDefault="003E0F58" w:rsidP="004D2249">
            <w:pPr>
              <w:spacing w:after="80"/>
              <w:jc w:val="center"/>
              <w:rPr>
                <w:rFonts w:eastAsia="Calibri" w:cs="Times New Roman"/>
                <w:b/>
                <w:bCs/>
                <w:sz w:val="18"/>
                <w:szCs w:val="18"/>
                <w:lang w:val="cs-CZ" w:bidi="he-IL"/>
              </w:rPr>
            </w:pPr>
            <w:r w:rsidRPr="007C705C">
              <w:rPr>
                <w:rFonts w:eastAsia="Calibri" w:cs="Times New Roman"/>
                <w:b/>
                <w:bCs/>
                <w:sz w:val="18"/>
                <w:szCs w:val="18"/>
                <w:lang w:val="cs-CZ" w:bidi="he-IL"/>
              </w:rPr>
              <w:t>2030</w:t>
            </w:r>
          </w:p>
        </w:tc>
        <w:tc>
          <w:tcPr>
            <w:tcW w:w="393" w:type="pct"/>
            <w:shd w:val="clear" w:color="auto" w:fill="DBE5F1"/>
            <w:noWrap/>
            <w:vAlign w:val="center"/>
            <w:hideMark/>
          </w:tcPr>
          <w:p w14:paraId="3C3EB8AB" w14:textId="77777777" w:rsidR="003E0F58" w:rsidRPr="007C705C" w:rsidRDefault="003E0F58" w:rsidP="004D2249">
            <w:pPr>
              <w:spacing w:after="80"/>
              <w:jc w:val="center"/>
              <w:rPr>
                <w:rFonts w:eastAsia="Calibri" w:cs="Times New Roman"/>
                <w:b/>
                <w:bCs/>
                <w:sz w:val="18"/>
                <w:szCs w:val="18"/>
                <w:lang w:val="cs-CZ" w:bidi="he-IL"/>
              </w:rPr>
            </w:pPr>
            <w:r w:rsidRPr="007C705C">
              <w:rPr>
                <w:rFonts w:eastAsia="Calibri" w:cs="Times New Roman"/>
                <w:b/>
                <w:bCs/>
                <w:sz w:val="18"/>
                <w:szCs w:val="18"/>
                <w:lang w:val="cs-CZ" w:bidi="he-IL"/>
              </w:rPr>
              <w:t>2040</w:t>
            </w:r>
          </w:p>
        </w:tc>
        <w:tc>
          <w:tcPr>
            <w:tcW w:w="393" w:type="pct"/>
            <w:shd w:val="clear" w:color="auto" w:fill="DBE5F1"/>
            <w:noWrap/>
            <w:vAlign w:val="center"/>
            <w:hideMark/>
          </w:tcPr>
          <w:p w14:paraId="4D3F5A5A" w14:textId="77777777" w:rsidR="003E0F58" w:rsidRPr="007C705C" w:rsidRDefault="003E0F58" w:rsidP="004D2249">
            <w:pPr>
              <w:spacing w:after="80"/>
              <w:jc w:val="center"/>
              <w:rPr>
                <w:rFonts w:eastAsia="Calibri" w:cs="Times New Roman"/>
                <w:b/>
                <w:bCs/>
                <w:sz w:val="18"/>
                <w:szCs w:val="18"/>
                <w:lang w:val="cs-CZ" w:bidi="he-IL"/>
              </w:rPr>
            </w:pPr>
            <w:r w:rsidRPr="007C705C">
              <w:rPr>
                <w:rFonts w:eastAsia="Calibri" w:cs="Times New Roman"/>
                <w:b/>
                <w:bCs/>
                <w:sz w:val="18"/>
                <w:szCs w:val="18"/>
                <w:lang w:val="cs-CZ" w:bidi="he-IL"/>
              </w:rPr>
              <w:t>2050</w:t>
            </w:r>
          </w:p>
        </w:tc>
        <w:tc>
          <w:tcPr>
            <w:tcW w:w="407" w:type="pct"/>
            <w:tcBorders>
              <w:left w:val="single" w:sz="4" w:space="0" w:color="4F81BD"/>
            </w:tcBorders>
            <w:shd w:val="clear" w:color="auto" w:fill="DBE5F1"/>
            <w:noWrap/>
            <w:vAlign w:val="center"/>
            <w:hideMark/>
          </w:tcPr>
          <w:p w14:paraId="127A0D8F" w14:textId="77777777" w:rsidR="003E0F58" w:rsidRPr="007C705C" w:rsidRDefault="003E0F58" w:rsidP="004D2249">
            <w:pPr>
              <w:spacing w:after="80"/>
              <w:jc w:val="center"/>
              <w:rPr>
                <w:rFonts w:eastAsia="Calibri" w:cs="Times New Roman"/>
                <w:b/>
                <w:bCs/>
                <w:sz w:val="18"/>
                <w:szCs w:val="18"/>
                <w:lang w:val="cs-CZ" w:bidi="he-IL"/>
              </w:rPr>
            </w:pPr>
            <w:r w:rsidRPr="007C705C">
              <w:rPr>
                <w:rFonts w:eastAsia="Calibri" w:cs="Times New Roman"/>
                <w:b/>
                <w:bCs/>
                <w:sz w:val="18"/>
                <w:szCs w:val="18"/>
                <w:lang w:val="cs-CZ" w:bidi="he-IL"/>
              </w:rPr>
              <w:t>2020– 1990</w:t>
            </w:r>
          </w:p>
        </w:tc>
        <w:tc>
          <w:tcPr>
            <w:tcW w:w="407" w:type="pct"/>
            <w:shd w:val="clear" w:color="auto" w:fill="DBE5F1"/>
            <w:noWrap/>
            <w:vAlign w:val="center"/>
            <w:hideMark/>
          </w:tcPr>
          <w:p w14:paraId="6F66D8C6" w14:textId="77777777" w:rsidR="003E0F58" w:rsidRPr="007C705C" w:rsidRDefault="003E0F58" w:rsidP="004D2249">
            <w:pPr>
              <w:spacing w:after="80"/>
              <w:jc w:val="center"/>
              <w:rPr>
                <w:rFonts w:eastAsia="Calibri" w:cs="Times New Roman"/>
                <w:b/>
                <w:bCs/>
                <w:sz w:val="18"/>
                <w:szCs w:val="18"/>
                <w:lang w:val="cs-CZ" w:bidi="he-IL"/>
              </w:rPr>
            </w:pPr>
            <w:r w:rsidRPr="007C705C">
              <w:rPr>
                <w:rFonts w:eastAsia="Calibri" w:cs="Times New Roman"/>
                <w:b/>
                <w:bCs/>
                <w:sz w:val="18"/>
                <w:szCs w:val="18"/>
                <w:lang w:val="cs-CZ" w:bidi="he-IL"/>
              </w:rPr>
              <w:t>2030– 1990</w:t>
            </w:r>
          </w:p>
        </w:tc>
        <w:tc>
          <w:tcPr>
            <w:tcW w:w="407" w:type="pct"/>
            <w:shd w:val="clear" w:color="auto" w:fill="DBE5F1"/>
            <w:noWrap/>
            <w:vAlign w:val="center"/>
            <w:hideMark/>
          </w:tcPr>
          <w:p w14:paraId="57971C1D" w14:textId="77777777" w:rsidR="003E0F58" w:rsidRPr="007C705C" w:rsidRDefault="003E0F58" w:rsidP="004D2249">
            <w:pPr>
              <w:spacing w:after="80"/>
              <w:jc w:val="center"/>
              <w:rPr>
                <w:rFonts w:eastAsia="Calibri" w:cs="Times New Roman"/>
                <w:b/>
                <w:bCs/>
                <w:sz w:val="18"/>
                <w:szCs w:val="18"/>
                <w:lang w:val="cs-CZ" w:bidi="he-IL"/>
              </w:rPr>
            </w:pPr>
            <w:r w:rsidRPr="007C705C">
              <w:rPr>
                <w:rFonts w:eastAsia="Calibri" w:cs="Times New Roman"/>
                <w:b/>
                <w:bCs/>
                <w:sz w:val="18"/>
                <w:szCs w:val="18"/>
                <w:lang w:val="cs-CZ" w:bidi="he-IL"/>
              </w:rPr>
              <w:t>2040– 1990</w:t>
            </w:r>
          </w:p>
        </w:tc>
        <w:tc>
          <w:tcPr>
            <w:tcW w:w="407" w:type="pct"/>
            <w:shd w:val="clear" w:color="auto" w:fill="DBE5F1"/>
            <w:vAlign w:val="center"/>
          </w:tcPr>
          <w:p w14:paraId="5B1E6BDC" w14:textId="77777777" w:rsidR="003E0F58" w:rsidRPr="007C705C" w:rsidRDefault="003E0F58" w:rsidP="004D2249">
            <w:pPr>
              <w:spacing w:after="80"/>
              <w:jc w:val="center"/>
              <w:rPr>
                <w:rFonts w:eastAsia="Calibri" w:cs="Times New Roman"/>
                <w:b/>
                <w:bCs/>
                <w:sz w:val="18"/>
                <w:szCs w:val="18"/>
                <w:lang w:val="cs-CZ" w:bidi="he-IL"/>
              </w:rPr>
            </w:pPr>
            <w:r w:rsidRPr="007C705C">
              <w:rPr>
                <w:rFonts w:eastAsia="Calibri" w:cs="Times New Roman"/>
                <w:b/>
                <w:bCs/>
                <w:sz w:val="18"/>
                <w:szCs w:val="18"/>
                <w:lang w:val="cs-CZ" w:bidi="he-IL"/>
              </w:rPr>
              <w:t>2050– 1990</w:t>
            </w:r>
          </w:p>
        </w:tc>
      </w:tr>
      <w:tr w:rsidR="003E0F58" w:rsidRPr="007C705C" w14:paraId="13FEF6DC" w14:textId="77777777" w:rsidTr="004D2249">
        <w:trPr>
          <w:trHeight w:val="225"/>
        </w:trPr>
        <w:tc>
          <w:tcPr>
            <w:tcW w:w="623" w:type="pct"/>
            <w:tcBorders>
              <w:right w:val="single" w:sz="4" w:space="0" w:color="4F81BD"/>
            </w:tcBorders>
            <w:shd w:val="clear" w:color="auto" w:fill="DBE5F1"/>
            <w:noWrap/>
            <w:vAlign w:val="bottom"/>
            <w:hideMark/>
          </w:tcPr>
          <w:p w14:paraId="1F7BFA92" w14:textId="77777777" w:rsidR="003E0F58" w:rsidRPr="007C705C" w:rsidRDefault="003E0F58" w:rsidP="004D2249">
            <w:pPr>
              <w:spacing w:after="80"/>
              <w:jc w:val="left"/>
              <w:rPr>
                <w:rFonts w:eastAsia="Calibri" w:cs="Times New Roman"/>
                <w:b/>
                <w:sz w:val="18"/>
                <w:szCs w:val="18"/>
                <w:lang w:val="cs-CZ" w:bidi="he-IL"/>
              </w:rPr>
            </w:pPr>
            <w:r w:rsidRPr="007C705C">
              <w:rPr>
                <w:rFonts w:eastAsia="Calibri" w:cs="Times New Roman"/>
                <w:bCs/>
                <w:sz w:val="18"/>
                <w:szCs w:val="18"/>
                <w:lang w:val="cs-CZ" w:bidi="he-IL"/>
              </w:rPr>
              <w:t>CO</w:t>
            </w:r>
            <w:r w:rsidRPr="007C705C">
              <w:rPr>
                <w:rFonts w:eastAsia="Calibri" w:cs="Times New Roman"/>
                <w:bCs/>
                <w:sz w:val="18"/>
                <w:szCs w:val="18"/>
                <w:vertAlign w:val="subscript"/>
                <w:lang w:val="cs-CZ" w:bidi="he-IL"/>
              </w:rPr>
              <w:t>2</w:t>
            </w:r>
          </w:p>
        </w:tc>
        <w:tc>
          <w:tcPr>
            <w:tcW w:w="392" w:type="pct"/>
            <w:tcBorders>
              <w:left w:val="single" w:sz="4" w:space="0" w:color="4F81BD"/>
            </w:tcBorders>
            <w:shd w:val="clear" w:color="auto" w:fill="auto"/>
            <w:noWrap/>
          </w:tcPr>
          <w:p w14:paraId="724877F8" w14:textId="77777777" w:rsidR="003E0F58" w:rsidRPr="007C705C" w:rsidRDefault="003E0F58" w:rsidP="004D2249">
            <w:pPr>
              <w:spacing w:after="80"/>
              <w:jc w:val="right"/>
              <w:rPr>
                <w:rFonts w:eastAsia="Calibri" w:cs="Times New Roman"/>
                <w:sz w:val="18"/>
                <w:szCs w:val="18"/>
                <w:lang w:val="cs-CZ" w:bidi="he-IL"/>
              </w:rPr>
            </w:pPr>
            <w:r w:rsidRPr="007C705C">
              <w:rPr>
                <w:rFonts w:eastAsia="Calibri" w:cs="Times New Roman"/>
                <w:sz w:val="18"/>
                <w:szCs w:val="18"/>
                <w:lang w:val="cs-CZ"/>
              </w:rPr>
              <w:t>-5.77</w:t>
            </w:r>
          </w:p>
        </w:tc>
        <w:tc>
          <w:tcPr>
            <w:tcW w:w="392" w:type="pct"/>
            <w:shd w:val="clear" w:color="auto" w:fill="auto"/>
            <w:noWrap/>
          </w:tcPr>
          <w:p w14:paraId="612F697E" w14:textId="77777777" w:rsidR="003E0F58" w:rsidRPr="007C705C" w:rsidRDefault="003E0F58" w:rsidP="004D2249">
            <w:pPr>
              <w:spacing w:after="80"/>
              <w:jc w:val="right"/>
              <w:rPr>
                <w:rFonts w:eastAsia="Calibri" w:cs="Times New Roman"/>
                <w:sz w:val="18"/>
                <w:szCs w:val="18"/>
                <w:lang w:val="cs-CZ" w:bidi="he-IL"/>
              </w:rPr>
            </w:pPr>
            <w:r w:rsidRPr="007C705C">
              <w:rPr>
                <w:rFonts w:eastAsia="Calibri" w:cs="Times New Roman"/>
                <w:sz w:val="18"/>
                <w:szCs w:val="18"/>
                <w:lang w:val="cs-CZ"/>
              </w:rPr>
              <w:t>-5.87</w:t>
            </w:r>
          </w:p>
        </w:tc>
        <w:tc>
          <w:tcPr>
            <w:tcW w:w="393" w:type="pct"/>
            <w:tcBorders>
              <w:right w:val="single" w:sz="4" w:space="0" w:color="4F81BD"/>
            </w:tcBorders>
            <w:shd w:val="clear" w:color="auto" w:fill="auto"/>
            <w:noWrap/>
            <w:vAlign w:val="center"/>
          </w:tcPr>
          <w:p w14:paraId="72EEDF1C" w14:textId="77777777" w:rsidR="003E0F58" w:rsidRPr="007C705C" w:rsidRDefault="003E0F58" w:rsidP="004D2249">
            <w:pPr>
              <w:spacing w:after="80"/>
              <w:jc w:val="right"/>
              <w:rPr>
                <w:rFonts w:eastAsia="Calibri" w:cs="Times New Roman"/>
                <w:sz w:val="18"/>
                <w:szCs w:val="18"/>
                <w:lang w:val="cs-CZ" w:bidi="he-IL"/>
              </w:rPr>
            </w:pPr>
            <w:r w:rsidRPr="007C705C">
              <w:rPr>
                <w:rFonts w:eastAsia="Calibri" w:cs="Times New Roman"/>
                <w:color w:val="000000"/>
                <w:sz w:val="18"/>
                <w:szCs w:val="18"/>
                <w:lang w:val="cs-CZ"/>
              </w:rPr>
              <w:t>5.75</w:t>
            </w:r>
          </w:p>
        </w:tc>
        <w:tc>
          <w:tcPr>
            <w:tcW w:w="393" w:type="pct"/>
            <w:tcBorders>
              <w:left w:val="single" w:sz="4" w:space="0" w:color="4F81BD"/>
            </w:tcBorders>
            <w:shd w:val="clear" w:color="auto" w:fill="auto"/>
            <w:noWrap/>
            <w:vAlign w:val="center"/>
          </w:tcPr>
          <w:p w14:paraId="50F23B4B" w14:textId="77777777" w:rsidR="003E0F58" w:rsidRPr="007C705C" w:rsidRDefault="003E0F58" w:rsidP="004D2249">
            <w:pPr>
              <w:spacing w:after="80"/>
              <w:jc w:val="right"/>
              <w:rPr>
                <w:rFonts w:eastAsia="Calibri" w:cs="Times New Roman"/>
                <w:sz w:val="18"/>
                <w:szCs w:val="18"/>
                <w:lang w:val="cs-CZ" w:bidi="he-IL"/>
              </w:rPr>
            </w:pPr>
            <w:r w:rsidRPr="007C705C">
              <w:rPr>
                <w:rFonts w:eastAsia="Calibri" w:cs="Times New Roman"/>
                <w:color w:val="000000"/>
                <w:sz w:val="18"/>
                <w:szCs w:val="18"/>
                <w:lang w:val="cs-CZ"/>
              </w:rPr>
              <w:t>12.9</w:t>
            </w:r>
          </w:p>
        </w:tc>
        <w:tc>
          <w:tcPr>
            <w:tcW w:w="393" w:type="pct"/>
            <w:shd w:val="clear" w:color="auto" w:fill="auto"/>
            <w:noWrap/>
            <w:vAlign w:val="center"/>
          </w:tcPr>
          <w:p w14:paraId="77D98B7A" w14:textId="77777777" w:rsidR="003E0F58" w:rsidRPr="007C705C" w:rsidRDefault="003E0F58" w:rsidP="004D2249">
            <w:pPr>
              <w:spacing w:after="80"/>
              <w:jc w:val="right"/>
              <w:rPr>
                <w:rFonts w:eastAsia="Calibri" w:cs="Times New Roman"/>
                <w:sz w:val="18"/>
                <w:szCs w:val="18"/>
                <w:lang w:val="cs-CZ" w:bidi="he-IL"/>
              </w:rPr>
            </w:pPr>
            <w:r w:rsidRPr="007C705C">
              <w:rPr>
                <w:rFonts w:eastAsia="Calibri" w:cs="Times New Roman"/>
                <w:color w:val="000000"/>
                <w:sz w:val="18"/>
                <w:szCs w:val="18"/>
                <w:lang w:val="cs-CZ"/>
              </w:rPr>
              <w:t>-2.04</w:t>
            </w:r>
          </w:p>
        </w:tc>
        <w:tc>
          <w:tcPr>
            <w:tcW w:w="393" w:type="pct"/>
            <w:shd w:val="clear" w:color="auto" w:fill="auto"/>
            <w:noWrap/>
            <w:vAlign w:val="center"/>
          </w:tcPr>
          <w:p w14:paraId="6FC8C25A" w14:textId="77777777" w:rsidR="003E0F58" w:rsidRPr="007C705C" w:rsidRDefault="003E0F58" w:rsidP="004D2249">
            <w:pPr>
              <w:spacing w:after="80"/>
              <w:jc w:val="right"/>
              <w:rPr>
                <w:rFonts w:eastAsia="Calibri" w:cs="Times New Roman"/>
                <w:sz w:val="18"/>
                <w:szCs w:val="18"/>
                <w:lang w:val="cs-CZ" w:bidi="he-IL"/>
              </w:rPr>
            </w:pPr>
            <w:r w:rsidRPr="007C705C">
              <w:rPr>
                <w:rFonts w:eastAsia="Calibri" w:cs="Times New Roman"/>
                <w:color w:val="000000"/>
                <w:sz w:val="18"/>
                <w:szCs w:val="18"/>
                <w:lang w:val="cs-CZ"/>
              </w:rPr>
              <w:t>-7.25</w:t>
            </w:r>
          </w:p>
        </w:tc>
        <w:tc>
          <w:tcPr>
            <w:tcW w:w="393" w:type="pct"/>
            <w:shd w:val="clear" w:color="auto" w:fill="auto"/>
            <w:noWrap/>
            <w:vAlign w:val="center"/>
          </w:tcPr>
          <w:p w14:paraId="03D4DA6E" w14:textId="77777777" w:rsidR="003E0F58" w:rsidRPr="007C705C" w:rsidRDefault="003E0F58" w:rsidP="004D2249">
            <w:pPr>
              <w:spacing w:after="80"/>
              <w:jc w:val="right"/>
              <w:rPr>
                <w:rFonts w:eastAsia="Calibri" w:cs="Times New Roman"/>
                <w:sz w:val="18"/>
                <w:szCs w:val="18"/>
                <w:lang w:val="cs-CZ" w:bidi="he-IL"/>
              </w:rPr>
            </w:pPr>
            <w:r w:rsidRPr="007C705C">
              <w:rPr>
                <w:rFonts w:eastAsia="Calibri" w:cs="Times New Roman"/>
                <w:color w:val="000000"/>
                <w:sz w:val="18"/>
                <w:szCs w:val="18"/>
                <w:lang w:val="cs-CZ"/>
              </w:rPr>
              <w:t>-6.13</w:t>
            </w:r>
          </w:p>
        </w:tc>
        <w:tc>
          <w:tcPr>
            <w:tcW w:w="407" w:type="pct"/>
            <w:tcBorders>
              <w:left w:val="single" w:sz="4" w:space="0" w:color="4F81BD"/>
            </w:tcBorders>
            <w:shd w:val="clear" w:color="auto" w:fill="auto"/>
            <w:noWrap/>
          </w:tcPr>
          <w:p w14:paraId="17CC5873"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18.7</w:t>
            </w:r>
          </w:p>
        </w:tc>
        <w:tc>
          <w:tcPr>
            <w:tcW w:w="407" w:type="pct"/>
            <w:shd w:val="clear" w:color="auto" w:fill="auto"/>
            <w:noWrap/>
          </w:tcPr>
          <w:p w14:paraId="1569E6E2"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3.73</w:t>
            </w:r>
          </w:p>
        </w:tc>
        <w:tc>
          <w:tcPr>
            <w:tcW w:w="407" w:type="pct"/>
            <w:shd w:val="clear" w:color="auto" w:fill="auto"/>
            <w:noWrap/>
          </w:tcPr>
          <w:p w14:paraId="1ACB1AEF"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-1.48</w:t>
            </w:r>
          </w:p>
        </w:tc>
        <w:tc>
          <w:tcPr>
            <w:tcW w:w="407" w:type="pct"/>
          </w:tcPr>
          <w:p w14:paraId="7CD50A74"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-0.36</w:t>
            </w:r>
          </w:p>
        </w:tc>
      </w:tr>
      <w:tr w:rsidR="003E0F58" w:rsidRPr="007C705C" w14:paraId="4DC2DDE4" w14:textId="77777777" w:rsidTr="004D2249">
        <w:trPr>
          <w:trHeight w:val="225"/>
        </w:trPr>
        <w:tc>
          <w:tcPr>
            <w:tcW w:w="623" w:type="pct"/>
            <w:tcBorders>
              <w:right w:val="single" w:sz="4" w:space="0" w:color="4F81BD"/>
            </w:tcBorders>
            <w:shd w:val="clear" w:color="auto" w:fill="DBE5F1"/>
            <w:noWrap/>
            <w:vAlign w:val="bottom"/>
          </w:tcPr>
          <w:p w14:paraId="37510CFF" w14:textId="77777777" w:rsidR="003E0F58" w:rsidRPr="007C705C" w:rsidRDefault="003E0F58" w:rsidP="004D2249">
            <w:pPr>
              <w:spacing w:after="80"/>
              <w:jc w:val="left"/>
              <w:rPr>
                <w:rFonts w:eastAsia="Calibri" w:cs="Times New Roman"/>
                <w:b/>
                <w:sz w:val="18"/>
                <w:szCs w:val="18"/>
                <w:lang w:val="cs-CZ" w:bidi="he-IL"/>
              </w:rPr>
            </w:pPr>
            <w:r w:rsidRPr="007C705C">
              <w:rPr>
                <w:rFonts w:eastAsia="Calibri" w:cs="Times New Roman"/>
                <w:bCs/>
                <w:sz w:val="18"/>
                <w:szCs w:val="18"/>
                <w:lang w:val="cs-CZ" w:bidi="he-IL"/>
              </w:rPr>
              <w:t>CH</w:t>
            </w:r>
            <w:r w:rsidRPr="007C705C">
              <w:rPr>
                <w:rFonts w:eastAsia="Calibri" w:cs="Times New Roman"/>
                <w:bCs/>
                <w:sz w:val="18"/>
                <w:szCs w:val="18"/>
                <w:vertAlign w:val="subscript"/>
                <w:lang w:val="cs-CZ" w:bidi="he-IL"/>
              </w:rPr>
              <w:t>4</w:t>
            </w:r>
          </w:p>
        </w:tc>
        <w:tc>
          <w:tcPr>
            <w:tcW w:w="392" w:type="pct"/>
            <w:tcBorders>
              <w:left w:val="single" w:sz="4" w:space="0" w:color="4F81BD"/>
            </w:tcBorders>
            <w:shd w:val="clear" w:color="auto" w:fill="auto"/>
            <w:noWrap/>
          </w:tcPr>
          <w:p w14:paraId="3B6C5985"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sz w:val="18"/>
                <w:szCs w:val="18"/>
                <w:lang w:val="cs-CZ"/>
              </w:rPr>
              <w:t>0.04</w:t>
            </w:r>
          </w:p>
        </w:tc>
        <w:tc>
          <w:tcPr>
            <w:tcW w:w="392" w:type="pct"/>
            <w:shd w:val="clear" w:color="auto" w:fill="auto"/>
            <w:noWrap/>
          </w:tcPr>
          <w:p w14:paraId="46B316B6"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sz w:val="18"/>
                <w:szCs w:val="18"/>
                <w:lang w:val="cs-CZ"/>
              </w:rPr>
              <w:t>0.03</w:t>
            </w:r>
          </w:p>
        </w:tc>
        <w:tc>
          <w:tcPr>
            <w:tcW w:w="393" w:type="pct"/>
            <w:tcBorders>
              <w:right w:val="single" w:sz="4" w:space="0" w:color="4F81BD"/>
            </w:tcBorders>
            <w:shd w:val="clear" w:color="auto" w:fill="auto"/>
            <w:noWrap/>
            <w:vAlign w:val="center"/>
          </w:tcPr>
          <w:p w14:paraId="5F7B2453"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0.02</w:t>
            </w:r>
          </w:p>
        </w:tc>
        <w:tc>
          <w:tcPr>
            <w:tcW w:w="393" w:type="pct"/>
            <w:tcBorders>
              <w:left w:val="single" w:sz="4" w:space="0" w:color="4F81BD"/>
            </w:tcBorders>
            <w:shd w:val="clear" w:color="auto" w:fill="auto"/>
            <w:noWrap/>
            <w:vAlign w:val="center"/>
          </w:tcPr>
          <w:p w14:paraId="122D66B0"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sz w:val="18"/>
                <w:szCs w:val="18"/>
                <w:lang w:val="cs-CZ"/>
              </w:rPr>
              <w:t>0.03</w:t>
            </w:r>
          </w:p>
        </w:tc>
        <w:tc>
          <w:tcPr>
            <w:tcW w:w="393" w:type="pct"/>
            <w:shd w:val="clear" w:color="auto" w:fill="auto"/>
            <w:noWrap/>
            <w:vAlign w:val="center"/>
          </w:tcPr>
          <w:p w14:paraId="72C91BF1"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sz w:val="18"/>
                <w:szCs w:val="18"/>
                <w:lang w:val="cs-CZ"/>
              </w:rPr>
              <w:t>0.03</w:t>
            </w:r>
          </w:p>
        </w:tc>
        <w:tc>
          <w:tcPr>
            <w:tcW w:w="393" w:type="pct"/>
            <w:shd w:val="clear" w:color="auto" w:fill="auto"/>
            <w:noWrap/>
            <w:vAlign w:val="center"/>
          </w:tcPr>
          <w:p w14:paraId="2841DA9F"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sz w:val="18"/>
                <w:szCs w:val="18"/>
                <w:lang w:val="cs-CZ"/>
              </w:rPr>
              <w:t>0.03</w:t>
            </w:r>
          </w:p>
        </w:tc>
        <w:tc>
          <w:tcPr>
            <w:tcW w:w="393" w:type="pct"/>
            <w:shd w:val="clear" w:color="auto" w:fill="auto"/>
            <w:noWrap/>
            <w:vAlign w:val="center"/>
          </w:tcPr>
          <w:p w14:paraId="016CD929"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sz w:val="18"/>
                <w:szCs w:val="18"/>
                <w:lang w:val="cs-CZ"/>
              </w:rPr>
              <w:t>0.03</w:t>
            </w:r>
          </w:p>
        </w:tc>
        <w:tc>
          <w:tcPr>
            <w:tcW w:w="407" w:type="pct"/>
            <w:tcBorders>
              <w:left w:val="single" w:sz="4" w:space="0" w:color="4F81BD"/>
            </w:tcBorders>
            <w:shd w:val="clear" w:color="auto" w:fill="auto"/>
            <w:noWrap/>
          </w:tcPr>
          <w:p w14:paraId="47D3B3BD"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-0.01</w:t>
            </w:r>
          </w:p>
        </w:tc>
        <w:tc>
          <w:tcPr>
            <w:tcW w:w="407" w:type="pct"/>
            <w:shd w:val="clear" w:color="auto" w:fill="auto"/>
            <w:noWrap/>
          </w:tcPr>
          <w:p w14:paraId="1FA33C32"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-0.01</w:t>
            </w:r>
          </w:p>
        </w:tc>
        <w:tc>
          <w:tcPr>
            <w:tcW w:w="407" w:type="pct"/>
            <w:shd w:val="clear" w:color="auto" w:fill="auto"/>
            <w:noWrap/>
          </w:tcPr>
          <w:p w14:paraId="544903A2"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-0.01</w:t>
            </w:r>
          </w:p>
        </w:tc>
        <w:tc>
          <w:tcPr>
            <w:tcW w:w="407" w:type="pct"/>
          </w:tcPr>
          <w:p w14:paraId="101D43E8"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-0.01</w:t>
            </w:r>
          </w:p>
        </w:tc>
      </w:tr>
      <w:tr w:rsidR="003E0F58" w:rsidRPr="007C705C" w14:paraId="5D0B0607" w14:textId="77777777" w:rsidTr="004D2249">
        <w:trPr>
          <w:trHeight w:val="225"/>
        </w:trPr>
        <w:tc>
          <w:tcPr>
            <w:tcW w:w="623" w:type="pct"/>
            <w:tcBorders>
              <w:right w:val="single" w:sz="4" w:space="0" w:color="4F81BD"/>
            </w:tcBorders>
            <w:shd w:val="clear" w:color="auto" w:fill="DBE5F1"/>
            <w:noWrap/>
            <w:vAlign w:val="bottom"/>
          </w:tcPr>
          <w:p w14:paraId="47C76006" w14:textId="77777777" w:rsidR="003E0F58" w:rsidRPr="007C705C" w:rsidRDefault="003E0F58" w:rsidP="004D2249">
            <w:pPr>
              <w:spacing w:after="80"/>
              <w:jc w:val="left"/>
              <w:rPr>
                <w:rFonts w:eastAsia="Calibri" w:cs="Times New Roman"/>
                <w:b/>
                <w:sz w:val="18"/>
                <w:szCs w:val="18"/>
                <w:lang w:val="cs-CZ" w:bidi="he-IL"/>
              </w:rPr>
            </w:pPr>
            <w:r w:rsidRPr="007C705C">
              <w:rPr>
                <w:rFonts w:eastAsia="Calibri" w:cs="Times New Roman"/>
                <w:bCs/>
                <w:sz w:val="18"/>
                <w:szCs w:val="18"/>
                <w:lang w:val="cs-CZ" w:bidi="he-IL"/>
              </w:rPr>
              <w:t>N</w:t>
            </w:r>
            <w:r w:rsidRPr="007C705C">
              <w:rPr>
                <w:rFonts w:eastAsia="Calibri" w:cs="Times New Roman"/>
                <w:bCs/>
                <w:sz w:val="18"/>
                <w:szCs w:val="18"/>
                <w:vertAlign w:val="subscript"/>
                <w:lang w:val="cs-CZ" w:bidi="he-IL"/>
              </w:rPr>
              <w:t>2</w:t>
            </w:r>
            <w:r w:rsidRPr="007C705C">
              <w:rPr>
                <w:rFonts w:eastAsia="Calibri" w:cs="Times New Roman"/>
                <w:bCs/>
                <w:sz w:val="18"/>
                <w:szCs w:val="18"/>
                <w:lang w:val="cs-CZ" w:bidi="he-IL"/>
              </w:rPr>
              <w:t>O</w:t>
            </w:r>
          </w:p>
        </w:tc>
        <w:tc>
          <w:tcPr>
            <w:tcW w:w="392" w:type="pct"/>
            <w:tcBorders>
              <w:left w:val="single" w:sz="4" w:space="0" w:color="4F81BD"/>
            </w:tcBorders>
            <w:shd w:val="clear" w:color="auto" w:fill="auto"/>
            <w:noWrap/>
          </w:tcPr>
          <w:p w14:paraId="46BBAB1C"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sz w:val="18"/>
                <w:szCs w:val="18"/>
                <w:lang w:val="cs-CZ"/>
              </w:rPr>
              <w:t>0.04</w:t>
            </w:r>
          </w:p>
        </w:tc>
        <w:tc>
          <w:tcPr>
            <w:tcW w:w="392" w:type="pct"/>
            <w:shd w:val="clear" w:color="auto" w:fill="auto"/>
            <w:noWrap/>
          </w:tcPr>
          <w:p w14:paraId="28A01E5A"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sz w:val="18"/>
                <w:szCs w:val="18"/>
                <w:lang w:val="cs-CZ"/>
              </w:rPr>
              <w:t>0.03</w:t>
            </w:r>
          </w:p>
        </w:tc>
        <w:tc>
          <w:tcPr>
            <w:tcW w:w="393" w:type="pct"/>
            <w:tcBorders>
              <w:right w:val="single" w:sz="4" w:space="0" w:color="4F81BD"/>
            </w:tcBorders>
            <w:shd w:val="clear" w:color="auto" w:fill="auto"/>
            <w:noWrap/>
            <w:vAlign w:val="center"/>
          </w:tcPr>
          <w:p w14:paraId="21B9199F"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0.02</w:t>
            </w:r>
          </w:p>
        </w:tc>
        <w:tc>
          <w:tcPr>
            <w:tcW w:w="393" w:type="pct"/>
            <w:tcBorders>
              <w:left w:val="single" w:sz="4" w:space="0" w:color="4F81BD"/>
            </w:tcBorders>
            <w:shd w:val="clear" w:color="auto" w:fill="auto"/>
            <w:noWrap/>
          </w:tcPr>
          <w:p w14:paraId="5518A1B5"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sz w:val="18"/>
                <w:szCs w:val="18"/>
                <w:lang w:val="cs-CZ"/>
              </w:rPr>
              <w:t>0.03</w:t>
            </w:r>
          </w:p>
        </w:tc>
        <w:tc>
          <w:tcPr>
            <w:tcW w:w="393" w:type="pct"/>
            <w:shd w:val="clear" w:color="auto" w:fill="auto"/>
            <w:noWrap/>
          </w:tcPr>
          <w:p w14:paraId="2D007865"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sz w:val="18"/>
                <w:szCs w:val="18"/>
                <w:lang w:val="cs-CZ"/>
              </w:rPr>
              <w:t>0.03</w:t>
            </w:r>
          </w:p>
        </w:tc>
        <w:tc>
          <w:tcPr>
            <w:tcW w:w="393" w:type="pct"/>
            <w:shd w:val="clear" w:color="auto" w:fill="auto"/>
            <w:noWrap/>
          </w:tcPr>
          <w:p w14:paraId="061773CA"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sz w:val="18"/>
                <w:szCs w:val="18"/>
                <w:lang w:val="cs-CZ"/>
              </w:rPr>
              <w:t>0.03</w:t>
            </w:r>
          </w:p>
        </w:tc>
        <w:tc>
          <w:tcPr>
            <w:tcW w:w="393" w:type="pct"/>
            <w:shd w:val="clear" w:color="auto" w:fill="auto"/>
            <w:noWrap/>
          </w:tcPr>
          <w:p w14:paraId="4CC1CF98"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sz w:val="18"/>
                <w:szCs w:val="18"/>
                <w:lang w:val="cs-CZ"/>
              </w:rPr>
              <w:t>0.03</w:t>
            </w:r>
          </w:p>
        </w:tc>
        <w:tc>
          <w:tcPr>
            <w:tcW w:w="407" w:type="pct"/>
            <w:tcBorders>
              <w:left w:val="single" w:sz="4" w:space="0" w:color="4F81BD"/>
            </w:tcBorders>
            <w:shd w:val="clear" w:color="auto" w:fill="auto"/>
            <w:noWrap/>
          </w:tcPr>
          <w:p w14:paraId="4245D16F"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-0.01</w:t>
            </w:r>
          </w:p>
        </w:tc>
        <w:tc>
          <w:tcPr>
            <w:tcW w:w="407" w:type="pct"/>
            <w:shd w:val="clear" w:color="auto" w:fill="auto"/>
            <w:noWrap/>
          </w:tcPr>
          <w:p w14:paraId="0B8079A7"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-0.01</w:t>
            </w:r>
          </w:p>
        </w:tc>
        <w:tc>
          <w:tcPr>
            <w:tcW w:w="407" w:type="pct"/>
            <w:shd w:val="clear" w:color="auto" w:fill="auto"/>
            <w:noWrap/>
          </w:tcPr>
          <w:p w14:paraId="5AC7A57A"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-0.01</w:t>
            </w:r>
          </w:p>
        </w:tc>
        <w:tc>
          <w:tcPr>
            <w:tcW w:w="407" w:type="pct"/>
          </w:tcPr>
          <w:p w14:paraId="382420CC"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-0.01</w:t>
            </w:r>
          </w:p>
        </w:tc>
      </w:tr>
      <w:tr w:rsidR="003E0F58" w:rsidRPr="007C705C" w14:paraId="037D194D" w14:textId="77777777" w:rsidTr="004D2249">
        <w:trPr>
          <w:trHeight w:val="225"/>
        </w:trPr>
        <w:tc>
          <w:tcPr>
            <w:tcW w:w="623" w:type="pct"/>
            <w:tcBorders>
              <w:right w:val="single" w:sz="4" w:space="0" w:color="4F81BD"/>
            </w:tcBorders>
            <w:shd w:val="clear" w:color="auto" w:fill="DBE5F1"/>
            <w:noWrap/>
            <w:vAlign w:val="bottom"/>
          </w:tcPr>
          <w:p w14:paraId="0AF3252B" w14:textId="77777777" w:rsidR="003E0F58" w:rsidRPr="007C705C" w:rsidRDefault="003E0F58" w:rsidP="004D2249">
            <w:pPr>
              <w:spacing w:after="80"/>
              <w:jc w:val="left"/>
              <w:rPr>
                <w:rFonts w:eastAsia="Calibri" w:cs="Times New Roman"/>
                <w:b/>
                <w:sz w:val="18"/>
                <w:szCs w:val="18"/>
                <w:lang w:val="cs-CZ" w:bidi="he-IL"/>
              </w:rPr>
            </w:pPr>
            <w:r w:rsidRPr="007C705C">
              <w:rPr>
                <w:rFonts w:eastAsia="Calibri" w:cs="Times New Roman"/>
                <w:b/>
                <w:bCs/>
                <w:sz w:val="18"/>
                <w:szCs w:val="18"/>
                <w:lang w:val="cs-CZ" w:bidi="he-IL"/>
              </w:rPr>
              <w:t>Total</w:t>
            </w:r>
          </w:p>
        </w:tc>
        <w:tc>
          <w:tcPr>
            <w:tcW w:w="392" w:type="pct"/>
            <w:tcBorders>
              <w:left w:val="single" w:sz="4" w:space="0" w:color="4F81BD"/>
            </w:tcBorders>
            <w:shd w:val="clear" w:color="auto" w:fill="auto"/>
            <w:noWrap/>
            <w:vAlign w:val="center"/>
          </w:tcPr>
          <w:p w14:paraId="2CE5A84E" w14:textId="77777777" w:rsidR="003E0F58" w:rsidRPr="007C705C" w:rsidRDefault="003E0F58" w:rsidP="004D2249">
            <w:pPr>
              <w:spacing w:after="80"/>
              <w:jc w:val="right"/>
              <w:rPr>
                <w:rFonts w:eastAsia="Calibri" w:cs="Times New Roman"/>
                <w:b/>
                <w:bCs/>
                <w:color w:val="000000"/>
                <w:sz w:val="18"/>
                <w:szCs w:val="18"/>
                <w:lang w:val="cs-CZ"/>
              </w:rPr>
            </w:pPr>
            <w:r w:rsidRPr="007C705C">
              <w:rPr>
                <w:rFonts w:eastAsia="Calibri" w:cs="Times New Roman"/>
                <w:b/>
                <w:bCs/>
                <w:color w:val="000000"/>
                <w:sz w:val="18"/>
                <w:szCs w:val="18"/>
                <w:lang w:val="cs-CZ"/>
              </w:rPr>
              <w:t>-5.69</w:t>
            </w:r>
          </w:p>
        </w:tc>
        <w:tc>
          <w:tcPr>
            <w:tcW w:w="392" w:type="pct"/>
            <w:shd w:val="clear" w:color="auto" w:fill="auto"/>
            <w:noWrap/>
            <w:vAlign w:val="center"/>
          </w:tcPr>
          <w:p w14:paraId="01768F55" w14:textId="77777777" w:rsidR="003E0F58" w:rsidRPr="007C705C" w:rsidRDefault="003E0F58" w:rsidP="004D2249">
            <w:pPr>
              <w:spacing w:after="80"/>
              <w:jc w:val="right"/>
              <w:rPr>
                <w:rFonts w:eastAsia="Calibri" w:cs="Times New Roman"/>
                <w:b/>
                <w:bCs/>
                <w:color w:val="000000"/>
                <w:sz w:val="18"/>
                <w:szCs w:val="18"/>
                <w:lang w:val="cs-CZ"/>
              </w:rPr>
            </w:pPr>
            <w:r w:rsidRPr="007C705C">
              <w:rPr>
                <w:rFonts w:eastAsia="Calibri" w:cs="Times New Roman"/>
                <w:b/>
                <w:bCs/>
                <w:color w:val="000000"/>
                <w:sz w:val="18"/>
                <w:szCs w:val="18"/>
                <w:lang w:val="cs-CZ"/>
              </w:rPr>
              <w:t>-5.81</w:t>
            </w:r>
          </w:p>
        </w:tc>
        <w:tc>
          <w:tcPr>
            <w:tcW w:w="393" w:type="pct"/>
            <w:tcBorders>
              <w:right w:val="single" w:sz="4" w:space="0" w:color="4F81BD"/>
            </w:tcBorders>
            <w:shd w:val="clear" w:color="auto" w:fill="auto"/>
            <w:noWrap/>
            <w:vAlign w:val="center"/>
          </w:tcPr>
          <w:p w14:paraId="3C655EEF" w14:textId="77777777" w:rsidR="003E0F58" w:rsidRPr="007C705C" w:rsidRDefault="003E0F58" w:rsidP="004D2249">
            <w:pPr>
              <w:spacing w:after="80"/>
              <w:jc w:val="right"/>
              <w:rPr>
                <w:rFonts w:eastAsia="Calibri" w:cs="Times New Roman"/>
                <w:b/>
                <w:bCs/>
                <w:color w:val="000000"/>
                <w:sz w:val="18"/>
                <w:szCs w:val="18"/>
                <w:lang w:val="cs-CZ"/>
              </w:rPr>
            </w:pPr>
            <w:r w:rsidRPr="007C705C">
              <w:rPr>
                <w:rFonts w:eastAsia="Calibri" w:cs="Times New Roman"/>
                <w:b/>
                <w:bCs/>
                <w:color w:val="000000"/>
                <w:sz w:val="18"/>
                <w:szCs w:val="18"/>
                <w:lang w:val="cs-CZ"/>
              </w:rPr>
              <w:t>5.79</w:t>
            </w:r>
          </w:p>
        </w:tc>
        <w:tc>
          <w:tcPr>
            <w:tcW w:w="393" w:type="pct"/>
            <w:tcBorders>
              <w:left w:val="single" w:sz="4" w:space="0" w:color="4F81BD"/>
            </w:tcBorders>
            <w:shd w:val="clear" w:color="auto" w:fill="auto"/>
            <w:noWrap/>
            <w:vAlign w:val="center"/>
          </w:tcPr>
          <w:p w14:paraId="17F7D35D" w14:textId="77777777" w:rsidR="003E0F58" w:rsidRPr="007C705C" w:rsidRDefault="003E0F58" w:rsidP="004D2249">
            <w:pPr>
              <w:spacing w:after="80"/>
              <w:jc w:val="right"/>
              <w:rPr>
                <w:rFonts w:eastAsia="Calibri" w:cs="Times New Roman"/>
                <w:b/>
                <w:bCs/>
                <w:color w:val="000000"/>
                <w:sz w:val="18"/>
                <w:szCs w:val="18"/>
                <w:lang w:val="cs-CZ"/>
              </w:rPr>
            </w:pPr>
            <w:r w:rsidRPr="007C705C">
              <w:rPr>
                <w:rFonts w:eastAsia="Calibri" w:cs="Times New Roman"/>
                <w:b/>
                <w:bCs/>
                <w:color w:val="000000"/>
                <w:sz w:val="18"/>
                <w:szCs w:val="18"/>
                <w:lang w:val="cs-CZ"/>
              </w:rPr>
              <w:t>13.0</w:t>
            </w:r>
          </w:p>
        </w:tc>
        <w:tc>
          <w:tcPr>
            <w:tcW w:w="393" w:type="pct"/>
            <w:shd w:val="clear" w:color="auto" w:fill="auto"/>
            <w:noWrap/>
            <w:vAlign w:val="center"/>
          </w:tcPr>
          <w:p w14:paraId="1974623E" w14:textId="77777777" w:rsidR="003E0F58" w:rsidRPr="007C705C" w:rsidRDefault="003E0F58" w:rsidP="004D2249">
            <w:pPr>
              <w:spacing w:after="80"/>
              <w:jc w:val="right"/>
              <w:rPr>
                <w:rFonts w:eastAsia="Calibri" w:cs="Times New Roman"/>
                <w:b/>
                <w:bCs/>
                <w:color w:val="000000"/>
                <w:sz w:val="18"/>
                <w:szCs w:val="18"/>
                <w:lang w:val="cs-CZ"/>
              </w:rPr>
            </w:pPr>
            <w:r w:rsidRPr="007C705C">
              <w:rPr>
                <w:rFonts w:eastAsia="Calibri" w:cs="Times New Roman"/>
                <w:b/>
                <w:bCs/>
                <w:color w:val="000000"/>
                <w:sz w:val="18"/>
                <w:szCs w:val="18"/>
                <w:lang w:val="cs-CZ"/>
              </w:rPr>
              <w:t>-1.98</w:t>
            </w:r>
          </w:p>
        </w:tc>
        <w:tc>
          <w:tcPr>
            <w:tcW w:w="393" w:type="pct"/>
            <w:shd w:val="clear" w:color="auto" w:fill="auto"/>
            <w:noWrap/>
            <w:vAlign w:val="center"/>
          </w:tcPr>
          <w:p w14:paraId="20E994A1" w14:textId="77777777" w:rsidR="003E0F58" w:rsidRPr="007C705C" w:rsidRDefault="003E0F58" w:rsidP="004D2249">
            <w:pPr>
              <w:spacing w:after="80"/>
              <w:jc w:val="right"/>
              <w:rPr>
                <w:rFonts w:eastAsia="Calibri" w:cs="Times New Roman"/>
                <w:b/>
                <w:bCs/>
                <w:color w:val="000000"/>
                <w:sz w:val="18"/>
                <w:szCs w:val="18"/>
                <w:lang w:val="cs-CZ"/>
              </w:rPr>
            </w:pPr>
            <w:r w:rsidRPr="007C705C">
              <w:rPr>
                <w:rFonts w:eastAsia="Calibri" w:cs="Times New Roman"/>
                <w:b/>
                <w:bCs/>
                <w:color w:val="000000"/>
                <w:sz w:val="18"/>
                <w:szCs w:val="18"/>
                <w:lang w:val="cs-CZ"/>
              </w:rPr>
              <w:t>-7.19</w:t>
            </w:r>
          </w:p>
        </w:tc>
        <w:tc>
          <w:tcPr>
            <w:tcW w:w="393" w:type="pct"/>
            <w:shd w:val="clear" w:color="auto" w:fill="auto"/>
            <w:noWrap/>
            <w:vAlign w:val="center"/>
          </w:tcPr>
          <w:p w14:paraId="3BF7AF7E" w14:textId="77777777" w:rsidR="003E0F58" w:rsidRPr="007C705C" w:rsidRDefault="003E0F58" w:rsidP="004D2249">
            <w:pPr>
              <w:spacing w:after="80"/>
              <w:jc w:val="right"/>
              <w:rPr>
                <w:rFonts w:eastAsia="Calibri" w:cs="Times New Roman"/>
                <w:b/>
                <w:bCs/>
                <w:color w:val="000000"/>
                <w:sz w:val="18"/>
                <w:szCs w:val="18"/>
                <w:lang w:val="cs-CZ"/>
              </w:rPr>
            </w:pPr>
            <w:r w:rsidRPr="007C705C">
              <w:rPr>
                <w:rFonts w:eastAsia="Calibri" w:cs="Times New Roman"/>
                <w:b/>
                <w:bCs/>
                <w:color w:val="000000"/>
                <w:sz w:val="18"/>
                <w:szCs w:val="18"/>
                <w:lang w:val="cs-CZ"/>
              </w:rPr>
              <w:t>-6.07</w:t>
            </w:r>
          </w:p>
        </w:tc>
        <w:tc>
          <w:tcPr>
            <w:tcW w:w="407" w:type="pct"/>
            <w:tcBorders>
              <w:left w:val="single" w:sz="4" w:space="0" w:color="4F81BD"/>
            </w:tcBorders>
            <w:shd w:val="clear" w:color="auto" w:fill="auto"/>
            <w:noWrap/>
          </w:tcPr>
          <w:p w14:paraId="281447CC" w14:textId="77777777" w:rsidR="003E0F58" w:rsidRPr="007C705C" w:rsidRDefault="003E0F58" w:rsidP="004D2249">
            <w:pPr>
              <w:spacing w:after="80"/>
              <w:jc w:val="right"/>
              <w:rPr>
                <w:rFonts w:eastAsia="Calibri" w:cs="Times New Roman"/>
                <w:b/>
                <w:bCs/>
                <w:color w:val="000000"/>
                <w:sz w:val="18"/>
                <w:szCs w:val="18"/>
                <w:lang w:val="cs-CZ"/>
              </w:rPr>
            </w:pPr>
            <w:r w:rsidRPr="007C705C">
              <w:rPr>
                <w:rFonts w:eastAsia="Calibri" w:cs="Times New Roman"/>
                <w:b/>
                <w:bCs/>
                <w:color w:val="000000"/>
                <w:sz w:val="18"/>
                <w:szCs w:val="18"/>
                <w:lang w:val="cs-CZ"/>
              </w:rPr>
              <w:t>18.6</w:t>
            </w:r>
          </w:p>
        </w:tc>
        <w:tc>
          <w:tcPr>
            <w:tcW w:w="407" w:type="pct"/>
            <w:shd w:val="clear" w:color="auto" w:fill="auto"/>
            <w:noWrap/>
          </w:tcPr>
          <w:p w14:paraId="2D131A7A" w14:textId="77777777" w:rsidR="003E0F58" w:rsidRPr="007C705C" w:rsidRDefault="003E0F58" w:rsidP="004D2249">
            <w:pPr>
              <w:spacing w:after="80"/>
              <w:jc w:val="right"/>
              <w:rPr>
                <w:rFonts w:eastAsia="Calibri" w:cs="Times New Roman"/>
                <w:b/>
                <w:bCs/>
                <w:color w:val="000000"/>
                <w:sz w:val="18"/>
                <w:szCs w:val="18"/>
                <w:lang w:val="cs-CZ"/>
              </w:rPr>
            </w:pPr>
            <w:r w:rsidRPr="007C705C">
              <w:rPr>
                <w:rFonts w:eastAsia="Calibri" w:cs="Times New Roman"/>
                <w:b/>
                <w:bCs/>
                <w:color w:val="000000"/>
                <w:sz w:val="18"/>
                <w:szCs w:val="18"/>
                <w:lang w:val="cs-CZ"/>
              </w:rPr>
              <w:t>3.70</w:t>
            </w:r>
          </w:p>
        </w:tc>
        <w:tc>
          <w:tcPr>
            <w:tcW w:w="407" w:type="pct"/>
            <w:shd w:val="clear" w:color="auto" w:fill="auto"/>
            <w:noWrap/>
          </w:tcPr>
          <w:p w14:paraId="50EB8B18" w14:textId="77777777" w:rsidR="003E0F58" w:rsidRPr="007C705C" w:rsidRDefault="003E0F58" w:rsidP="004D2249">
            <w:pPr>
              <w:spacing w:after="80"/>
              <w:jc w:val="right"/>
              <w:rPr>
                <w:rFonts w:eastAsia="Calibri" w:cs="Times New Roman"/>
                <w:b/>
                <w:bCs/>
                <w:color w:val="000000"/>
                <w:sz w:val="18"/>
                <w:szCs w:val="18"/>
                <w:lang w:val="cs-CZ"/>
              </w:rPr>
            </w:pPr>
            <w:r w:rsidRPr="007C705C">
              <w:rPr>
                <w:rFonts w:eastAsia="Calibri" w:cs="Times New Roman"/>
                <w:b/>
                <w:bCs/>
                <w:color w:val="000000"/>
                <w:sz w:val="18"/>
                <w:szCs w:val="18"/>
                <w:lang w:val="cs-CZ"/>
              </w:rPr>
              <w:t>-1.51</w:t>
            </w:r>
          </w:p>
        </w:tc>
        <w:tc>
          <w:tcPr>
            <w:tcW w:w="407" w:type="pct"/>
          </w:tcPr>
          <w:p w14:paraId="7743EA36" w14:textId="77777777" w:rsidR="003E0F58" w:rsidRPr="007C705C" w:rsidRDefault="003E0F58" w:rsidP="004D2249">
            <w:pPr>
              <w:spacing w:after="80"/>
              <w:jc w:val="right"/>
              <w:rPr>
                <w:rFonts w:eastAsia="Calibri" w:cs="Times New Roman"/>
                <w:b/>
                <w:bCs/>
                <w:color w:val="000000"/>
                <w:sz w:val="18"/>
                <w:szCs w:val="18"/>
                <w:lang w:val="cs-CZ"/>
              </w:rPr>
            </w:pPr>
            <w:r w:rsidRPr="007C705C">
              <w:rPr>
                <w:rFonts w:eastAsia="Calibri" w:cs="Times New Roman"/>
                <w:b/>
                <w:bCs/>
                <w:color w:val="000000"/>
                <w:sz w:val="18"/>
                <w:szCs w:val="18"/>
                <w:lang w:val="cs-CZ"/>
              </w:rPr>
              <w:t>-0.39</w:t>
            </w:r>
          </w:p>
        </w:tc>
      </w:tr>
    </w:tbl>
    <w:p w14:paraId="48DEF786" w14:textId="6A7E460B" w:rsidR="003E0F58" w:rsidRPr="007C2785" w:rsidRDefault="003E0F58" w:rsidP="007C2785">
      <w:pPr>
        <w:pStyle w:val="UZEIZdroj"/>
      </w:pPr>
      <w:r w:rsidRPr="007C705C">
        <w:t xml:space="preserve">Zdroj: Integrated reporting on greenhouse gas policies and measures and on projections in the Czech Republic, Reporting under the Art. 18 of the Regulation EU No. 2018/1999 + </w:t>
      </w:r>
      <w:r w:rsidRPr="007C705C">
        <w:rPr>
          <w:sz w:val="18"/>
        </w:rPr>
        <w:t>(CHMI, 2020)</w:t>
      </w:r>
    </w:p>
    <w:p w14:paraId="2CCA9B6F" w14:textId="288F60C8" w:rsidR="003E0F58" w:rsidRPr="007C705C" w:rsidRDefault="007C2785" w:rsidP="007C2785">
      <w:pPr>
        <w:pStyle w:val="UZEITaB"/>
      </w:pPr>
      <w:bookmarkStart w:id="281" w:name="_Toc77245830"/>
      <w:r>
        <w:t xml:space="preserve"> </w:t>
      </w:r>
      <w:bookmarkStart w:id="282" w:name="_Toc94181590"/>
      <w:r w:rsidR="003E0F58" w:rsidRPr="007C705C">
        <w:t>Breakdown of reported and projected emissions of GHG by categories in 4. LULUCF sector - WEM scenario</w:t>
      </w:r>
      <w:bookmarkEnd w:id="281"/>
      <w:bookmarkEnd w:id="282"/>
    </w:p>
    <w:tbl>
      <w:tblPr>
        <w:tblW w:w="5000" w:type="pct"/>
        <w:tblBorders>
          <w:top w:val="single" w:sz="4" w:space="0" w:color="4F81BD"/>
          <w:left w:val="single" w:sz="4" w:space="0" w:color="4F81BD"/>
          <w:bottom w:val="single" w:sz="4" w:space="0" w:color="4F81BD"/>
          <w:right w:val="single" w:sz="4" w:space="0" w:color="4F81BD"/>
          <w:insideH w:val="single" w:sz="4" w:space="0" w:color="4F81BD"/>
        </w:tblBorders>
        <w:tblLayout w:type="fixed"/>
        <w:tblCellMar>
          <w:left w:w="70" w:type="dxa"/>
          <w:right w:w="70" w:type="dxa"/>
        </w:tblCellMar>
        <w:tblLook w:val="04A0" w:firstRow="1" w:lastRow="0" w:firstColumn="1" w:lastColumn="0" w:noHBand="0" w:noVBand="1"/>
      </w:tblPr>
      <w:tblGrid>
        <w:gridCol w:w="1416"/>
        <w:gridCol w:w="695"/>
        <w:gridCol w:w="694"/>
        <w:gridCol w:w="736"/>
        <w:gridCol w:w="652"/>
        <w:gridCol w:w="694"/>
        <w:gridCol w:w="696"/>
        <w:gridCol w:w="649"/>
        <w:gridCol w:w="739"/>
        <w:gridCol w:w="694"/>
        <w:gridCol w:w="694"/>
        <w:gridCol w:w="703"/>
      </w:tblGrid>
      <w:tr w:rsidR="003E0F58" w:rsidRPr="007C705C" w14:paraId="6A0BD89C" w14:textId="77777777" w:rsidTr="004D2249">
        <w:trPr>
          <w:trHeight w:val="225"/>
        </w:trPr>
        <w:tc>
          <w:tcPr>
            <w:tcW w:w="781" w:type="pct"/>
            <w:vMerge w:val="restart"/>
            <w:tcBorders>
              <w:right w:val="single" w:sz="4" w:space="0" w:color="4F81BD"/>
            </w:tcBorders>
            <w:shd w:val="clear" w:color="auto" w:fill="DBE5F1"/>
            <w:noWrap/>
            <w:vAlign w:val="bottom"/>
          </w:tcPr>
          <w:p w14:paraId="73B9BD4C" w14:textId="77777777" w:rsidR="003E0F58" w:rsidRPr="007C705C" w:rsidRDefault="003E0F58" w:rsidP="004D2249">
            <w:pPr>
              <w:spacing w:after="80"/>
              <w:jc w:val="left"/>
              <w:rPr>
                <w:rFonts w:eastAsia="Calibri" w:cs="Times New Roman"/>
                <w:b/>
                <w:bCs/>
                <w:sz w:val="18"/>
                <w:szCs w:val="18"/>
                <w:lang w:val="cs-CZ" w:bidi="he-IL"/>
              </w:rPr>
            </w:pPr>
            <w:r w:rsidRPr="007C705C">
              <w:rPr>
                <w:rFonts w:eastAsia="Calibri" w:cs="Times New Roman"/>
                <w:b/>
                <w:bCs/>
                <w:sz w:val="18"/>
                <w:szCs w:val="18"/>
                <w:lang w:val="cs-CZ" w:bidi="he-IL"/>
              </w:rPr>
              <w:t>[Mt CO</w:t>
            </w:r>
            <w:r w:rsidRPr="007C705C">
              <w:rPr>
                <w:rFonts w:eastAsia="Calibri" w:cs="Times New Roman"/>
                <w:b/>
                <w:bCs/>
                <w:sz w:val="18"/>
                <w:szCs w:val="18"/>
                <w:vertAlign w:val="subscript"/>
                <w:lang w:val="cs-CZ" w:bidi="he-IL"/>
              </w:rPr>
              <w:t>2</w:t>
            </w:r>
            <w:r w:rsidRPr="007C705C">
              <w:rPr>
                <w:rFonts w:eastAsia="Calibri" w:cs="Times New Roman"/>
                <w:b/>
                <w:bCs/>
                <w:sz w:val="18"/>
                <w:szCs w:val="18"/>
                <w:lang w:val="cs-CZ" w:bidi="he-IL"/>
              </w:rPr>
              <w:t xml:space="preserve"> eq.]</w:t>
            </w:r>
          </w:p>
        </w:tc>
        <w:tc>
          <w:tcPr>
            <w:tcW w:w="1172" w:type="pct"/>
            <w:gridSpan w:val="3"/>
            <w:tcBorders>
              <w:left w:val="single" w:sz="4" w:space="0" w:color="4F81BD"/>
              <w:right w:val="single" w:sz="4" w:space="0" w:color="4F81BD"/>
            </w:tcBorders>
            <w:shd w:val="clear" w:color="auto" w:fill="DBE5F1"/>
            <w:noWrap/>
            <w:vAlign w:val="bottom"/>
          </w:tcPr>
          <w:p w14:paraId="37A013DB" w14:textId="77777777" w:rsidR="003E0F58" w:rsidRPr="007C705C" w:rsidRDefault="003E0F58" w:rsidP="004D2249">
            <w:pPr>
              <w:spacing w:after="80"/>
              <w:jc w:val="center"/>
              <w:rPr>
                <w:rFonts w:eastAsia="Calibri" w:cs="Times New Roman"/>
                <w:b/>
                <w:bCs/>
                <w:sz w:val="18"/>
                <w:szCs w:val="18"/>
                <w:lang w:val="cs-CZ" w:bidi="he-IL"/>
              </w:rPr>
            </w:pPr>
            <w:r w:rsidRPr="007C705C">
              <w:rPr>
                <w:rFonts w:eastAsia="Calibri" w:cs="Times New Roman"/>
                <w:b/>
                <w:bCs/>
                <w:sz w:val="18"/>
                <w:szCs w:val="18"/>
                <w:lang w:val="cs-CZ" w:bidi="he-IL"/>
              </w:rPr>
              <w:t>Reported emissions</w:t>
            </w:r>
          </w:p>
        </w:tc>
        <w:tc>
          <w:tcPr>
            <w:tcW w:w="1485" w:type="pct"/>
            <w:gridSpan w:val="4"/>
            <w:tcBorders>
              <w:left w:val="single" w:sz="4" w:space="0" w:color="4F81BD"/>
              <w:right w:val="single" w:sz="4" w:space="0" w:color="4F81BD"/>
            </w:tcBorders>
            <w:shd w:val="clear" w:color="auto" w:fill="DBE5F1"/>
            <w:noWrap/>
            <w:vAlign w:val="bottom"/>
          </w:tcPr>
          <w:p w14:paraId="13268D28" w14:textId="77777777" w:rsidR="003E0F58" w:rsidRPr="007C705C" w:rsidRDefault="003E0F58" w:rsidP="004D2249">
            <w:pPr>
              <w:spacing w:after="80"/>
              <w:jc w:val="center"/>
              <w:rPr>
                <w:rFonts w:eastAsia="Calibri" w:cs="Times New Roman"/>
                <w:b/>
                <w:bCs/>
                <w:sz w:val="18"/>
                <w:szCs w:val="18"/>
                <w:lang w:val="cs-CZ" w:bidi="he-IL"/>
              </w:rPr>
            </w:pPr>
            <w:r w:rsidRPr="007C705C">
              <w:rPr>
                <w:rFonts w:eastAsia="Calibri" w:cs="Times New Roman"/>
                <w:b/>
                <w:bCs/>
                <w:sz w:val="18"/>
                <w:szCs w:val="18"/>
                <w:lang w:val="cs-CZ" w:bidi="he-IL"/>
              </w:rPr>
              <w:t>Projected emissions</w:t>
            </w:r>
          </w:p>
        </w:tc>
        <w:tc>
          <w:tcPr>
            <w:tcW w:w="1561" w:type="pct"/>
            <w:gridSpan w:val="4"/>
            <w:tcBorders>
              <w:left w:val="single" w:sz="4" w:space="0" w:color="4F81BD"/>
            </w:tcBorders>
            <w:shd w:val="clear" w:color="auto" w:fill="DBE5F1"/>
            <w:noWrap/>
            <w:vAlign w:val="bottom"/>
          </w:tcPr>
          <w:p w14:paraId="4901EDC7" w14:textId="77777777" w:rsidR="003E0F58" w:rsidRPr="007C705C" w:rsidRDefault="003E0F58" w:rsidP="004D2249">
            <w:pPr>
              <w:spacing w:after="80"/>
              <w:jc w:val="center"/>
              <w:rPr>
                <w:rFonts w:eastAsia="Calibri" w:cs="Times New Roman"/>
                <w:b/>
                <w:bCs/>
                <w:sz w:val="18"/>
                <w:szCs w:val="18"/>
                <w:lang w:val="cs-CZ" w:bidi="he-IL"/>
              </w:rPr>
            </w:pPr>
            <w:r w:rsidRPr="007C705C">
              <w:rPr>
                <w:rFonts w:eastAsia="Calibri" w:cs="Times New Roman"/>
                <w:b/>
                <w:bCs/>
                <w:sz w:val="18"/>
                <w:szCs w:val="18"/>
                <w:lang w:val="cs-CZ" w:bidi="he-IL"/>
              </w:rPr>
              <w:t>Difference</w:t>
            </w:r>
          </w:p>
        </w:tc>
      </w:tr>
      <w:tr w:rsidR="003E0F58" w:rsidRPr="007C705C" w14:paraId="15B5858B" w14:textId="77777777" w:rsidTr="004D2249">
        <w:trPr>
          <w:trHeight w:val="225"/>
        </w:trPr>
        <w:tc>
          <w:tcPr>
            <w:tcW w:w="781" w:type="pct"/>
            <w:vMerge/>
            <w:tcBorders>
              <w:right w:val="single" w:sz="4" w:space="0" w:color="4F81BD"/>
            </w:tcBorders>
            <w:shd w:val="clear" w:color="auto" w:fill="DBE5F1"/>
            <w:noWrap/>
            <w:vAlign w:val="bottom"/>
            <w:hideMark/>
          </w:tcPr>
          <w:p w14:paraId="6381D966" w14:textId="77777777" w:rsidR="003E0F58" w:rsidRPr="007C705C" w:rsidRDefault="003E0F58" w:rsidP="004D2249">
            <w:pPr>
              <w:spacing w:after="80"/>
              <w:jc w:val="left"/>
              <w:rPr>
                <w:rFonts w:eastAsia="Calibri" w:cs="Times New Roman"/>
                <w:b/>
                <w:bCs/>
                <w:sz w:val="18"/>
                <w:szCs w:val="18"/>
                <w:lang w:val="cs-CZ" w:bidi="he-IL"/>
              </w:rPr>
            </w:pPr>
          </w:p>
        </w:tc>
        <w:tc>
          <w:tcPr>
            <w:tcW w:w="383" w:type="pct"/>
            <w:tcBorders>
              <w:left w:val="single" w:sz="4" w:space="0" w:color="4F81BD"/>
            </w:tcBorders>
            <w:shd w:val="clear" w:color="auto" w:fill="DBE5F1"/>
            <w:noWrap/>
            <w:vAlign w:val="center"/>
            <w:hideMark/>
          </w:tcPr>
          <w:p w14:paraId="077DFA25" w14:textId="77777777" w:rsidR="003E0F58" w:rsidRPr="007C705C" w:rsidRDefault="003E0F58" w:rsidP="004D2249">
            <w:pPr>
              <w:spacing w:after="80"/>
              <w:jc w:val="center"/>
              <w:rPr>
                <w:rFonts w:eastAsia="Calibri" w:cs="Times New Roman"/>
                <w:b/>
                <w:bCs/>
                <w:sz w:val="18"/>
                <w:szCs w:val="18"/>
                <w:lang w:val="cs-CZ" w:bidi="he-IL"/>
              </w:rPr>
            </w:pPr>
            <w:r w:rsidRPr="007C705C">
              <w:rPr>
                <w:rFonts w:eastAsia="Calibri" w:cs="Times New Roman"/>
                <w:b/>
                <w:bCs/>
                <w:sz w:val="18"/>
                <w:szCs w:val="18"/>
                <w:lang w:val="cs-CZ" w:bidi="he-IL"/>
              </w:rPr>
              <w:t>1990</w:t>
            </w:r>
          </w:p>
        </w:tc>
        <w:tc>
          <w:tcPr>
            <w:tcW w:w="383" w:type="pct"/>
            <w:shd w:val="clear" w:color="auto" w:fill="DBE5F1"/>
            <w:noWrap/>
            <w:vAlign w:val="center"/>
            <w:hideMark/>
          </w:tcPr>
          <w:p w14:paraId="06F219FD" w14:textId="77777777" w:rsidR="003E0F58" w:rsidRPr="007C705C" w:rsidRDefault="003E0F58" w:rsidP="004D2249">
            <w:pPr>
              <w:spacing w:after="80"/>
              <w:jc w:val="center"/>
              <w:rPr>
                <w:rFonts w:eastAsia="Calibri" w:cs="Times New Roman"/>
                <w:b/>
                <w:bCs/>
                <w:sz w:val="18"/>
                <w:szCs w:val="18"/>
                <w:lang w:val="cs-CZ" w:bidi="he-IL"/>
              </w:rPr>
            </w:pPr>
            <w:r w:rsidRPr="007C705C">
              <w:rPr>
                <w:rFonts w:eastAsia="Calibri" w:cs="Times New Roman"/>
                <w:b/>
                <w:bCs/>
                <w:sz w:val="18"/>
                <w:szCs w:val="18"/>
                <w:lang w:val="cs-CZ" w:bidi="he-IL"/>
              </w:rPr>
              <w:t>2015</w:t>
            </w:r>
          </w:p>
        </w:tc>
        <w:tc>
          <w:tcPr>
            <w:tcW w:w="406" w:type="pct"/>
            <w:tcBorders>
              <w:right w:val="single" w:sz="4" w:space="0" w:color="4F81BD"/>
            </w:tcBorders>
            <w:shd w:val="clear" w:color="auto" w:fill="DBE5F1"/>
            <w:noWrap/>
            <w:vAlign w:val="center"/>
            <w:hideMark/>
          </w:tcPr>
          <w:p w14:paraId="10DBA966" w14:textId="77777777" w:rsidR="003E0F58" w:rsidRPr="007C705C" w:rsidRDefault="003E0F58" w:rsidP="004D2249">
            <w:pPr>
              <w:spacing w:after="80"/>
              <w:jc w:val="center"/>
              <w:rPr>
                <w:rFonts w:eastAsia="Calibri" w:cs="Times New Roman"/>
                <w:b/>
                <w:bCs/>
                <w:sz w:val="18"/>
                <w:szCs w:val="18"/>
                <w:lang w:val="cs-CZ" w:bidi="he-IL"/>
              </w:rPr>
            </w:pPr>
            <w:r w:rsidRPr="007C705C">
              <w:rPr>
                <w:rFonts w:eastAsia="Calibri" w:cs="Times New Roman"/>
                <w:b/>
                <w:bCs/>
                <w:sz w:val="18"/>
                <w:szCs w:val="18"/>
                <w:lang w:val="cs-CZ" w:bidi="he-IL"/>
              </w:rPr>
              <w:t>2018</w:t>
            </w:r>
          </w:p>
        </w:tc>
        <w:tc>
          <w:tcPr>
            <w:tcW w:w="360" w:type="pct"/>
            <w:tcBorders>
              <w:left w:val="single" w:sz="4" w:space="0" w:color="4F81BD"/>
            </w:tcBorders>
            <w:shd w:val="clear" w:color="auto" w:fill="DBE5F1"/>
            <w:noWrap/>
            <w:vAlign w:val="center"/>
            <w:hideMark/>
          </w:tcPr>
          <w:p w14:paraId="55FE6128" w14:textId="77777777" w:rsidR="003E0F58" w:rsidRPr="007C705C" w:rsidRDefault="003E0F58" w:rsidP="004D2249">
            <w:pPr>
              <w:spacing w:after="80"/>
              <w:jc w:val="center"/>
              <w:rPr>
                <w:rFonts w:eastAsia="Calibri" w:cs="Times New Roman"/>
                <w:b/>
                <w:bCs/>
                <w:sz w:val="18"/>
                <w:szCs w:val="18"/>
                <w:lang w:val="cs-CZ" w:bidi="he-IL"/>
              </w:rPr>
            </w:pPr>
            <w:r w:rsidRPr="007C705C">
              <w:rPr>
                <w:rFonts w:eastAsia="Calibri" w:cs="Times New Roman"/>
                <w:b/>
                <w:bCs/>
                <w:sz w:val="18"/>
                <w:szCs w:val="18"/>
                <w:lang w:val="cs-CZ" w:bidi="he-IL"/>
              </w:rPr>
              <w:t>2020</w:t>
            </w:r>
          </w:p>
        </w:tc>
        <w:tc>
          <w:tcPr>
            <w:tcW w:w="383" w:type="pct"/>
            <w:shd w:val="clear" w:color="auto" w:fill="DBE5F1"/>
            <w:noWrap/>
            <w:vAlign w:val="center"/>
            <w:hideMark/>
          </w:tcPr>
          <w:p w14:paraId="1AE210BA" w14:textId="77777777" w:rsidR="003E0F58" w:rsidRPr="007C705C" w:rsidRDefault="003E0F58" w:rsidP="004D2249">
            <w:pPr>
              <w:spacing w:after="80"/>
              <w:jc w:val="center"/>
              <w:rPr>
                <w:rFonts w:eastAsia="Calibri" w:cs="Times New Roman"/>
                <w:b/>
                <w:bCs/>
                <w:sz w:val="18"/>
                <w:szCs w:val="18"/>
                <w:lang w:val="cs-CZ" w:bidi="he-IL"/>
              </w:rPr>
            </w:pPr>
            <w:r w:rsidRPr="007C705C">
              <w:rPr>
                <w:rFonts w:eastAsia="Calibri" w:cs="Times New Roman"/>
                <w:b/>
                <w:bCs/>
                <w:sz w:val="18"/>
                <w:szCs w:val="18"/>
                <w:lang w:val="cs-CZ" w:bidi="he-IL"/>
              </w:rPr>
              <w:t>2030</w:t>
            </w:r>
          </w:p>
        </w:tc>
        <w:tc>
          <w:tcPr>
            <w:tcW w:w="384" w:type="pct"/>
            <w:shd w:val="clear" w:color="auto" w:fill="DBE5F1"/>
            <w:noWrap/>
            <w:vAlign w:val="center"/>
            <w:hideMark/>
          </w:tcPr>
          <w:p w14:paraId="6DA87733" w14:textId="77777777" w:rsidR="003E0F58" w:rsidRPr="007C705C" w:rsidRDefault="003E0F58" w:rsidP="004D2249">
            <w:pPr>
              <w:spacing w:after="80"/>
              <w:jc w:val="center"/>
              <w:rPr>
                <w:rFonts w:eastAsia="Calibri" w:cs="Times New Roman"/>
                <w:b/>
                <w:bCs/>
                <w:sz w:val="18"/>
                <w:szCs w:val="18"/>
                <w:lang w:val="cs-CZ" w:bidi="he-IL"/>
              </w:rPr>
            </w:pPr>
            <w:r w:rsidRPr="007C705C">
              <w:rPr>
                <w:rFonts w:eastAsia="Calibri" w:cs="Times New Roman"/>
                <w:b/>
                <w:bCs/>
                <w:sz w:val="18"/>
                <w:szCs w:val="18"/>
                <w:lang w:val="cs-CZ" w:bidi="he-IL"/>
              </w:rPr>
              <w:t>2040</w:t>
            </w:r>
          </w:p>
        </w:tc>
        <w:tc>
          <w:tcPr>
            <w:tcW w:w="358" w:type="pct"/>
            <w:shd w:val="clear" w:color="auto" w:fill="DBE5F1"/>
            <w:noWrap/>
            <w:vAlign w:val="center"/>
            <w:hideMark/>
          </w:tcPr>
          <w:p w14:paraId="72F1D23D" w14:textId="77777777" w:rsidR="003E0F58" w:rsidRPr="007C705C" w:rsidRDefault="003E0F58" w:rsidP="004D2249">
            <w:pPr>
              <w:spacing w:after="80"/>
              <w:jc w:val="center"/>
              <w:rPr>
                <w:rFonts w:eastAsia="Calibri" w:cs="Times New Roman"/>
                <w:b/>
                <w:bCs/>
                <w:sz w:val="18"/>
                <w:szCs w:val="18"/>
                <w:lang w:val="cs-CZ" w:bidi="he-IL"/>
              </w:rPr>
            </w:pPr>
            <w:r w:rsidRPr="007C705C">
              <w:rPr>
                <w:rFonts w:eastAsia="Calibri" w:cs="Times New Roman"/>
                <w:b/>
                <w:bCs/>
                <w:sz w:val="18"/>
                <w:szCs w:val="18"/>
                <w:lang w:val="cs-CZ" w:bidi="he-IL"/>
              </w:rPr>
              <w:t>2050</w:t>
            </w:r>
          </w:p>
        </w:tc>
        <w:tc>
          <w:tcPr>
            <w:tcW w:w="408" w:type="pct"/>
            <w:tcBorders>
              <w:left w:val="single" w:sz="4" w:space="0" w:color="4F81BD"/>
            </w:tcBorders>
            <w:shd w:val="clear" w:color="auto" w:fill="DBE5F1"/>
            <w:noWrap/>
            <w:vAlign w:val="center"/>
            <w:hideMark/>
          </w:tcPr>
          <w:p w14:paraId="421B71F6" w14:textId="77777777" w:rsidR="003E0F58" w:rsidRPr="007C705C" w:rsidRDefault="003E0F58" w:rsidP="004D2249">
            <w:pPr>
              <w:spacing w:after="80"/>
              <w:jc w:val="center"/>
              <w:rPr>
                <w:rFonts w:eastAsia="Calibri" w:cs="Times New Roman"/>
                <w:b/>
                <w:bCs/>
                <w:sz w:val="18"/>
                <w:szCs w:val="18"/>
                <w:lang w:val="cs-CZ" w:bidi="he-IL"/>
              </w:rPr>
            </w:pPr>
            <w:r w:rsidRPr="007C705C">
              <w:rPr>
                <w:rFonts w:eastAsia="Calibri" w:cs="Times New Roman"/>
                <w:b/>
                <w:bCs/>
                <w:sz w:val="18"/>
                <w:szCs w:val="18"/>
                <w:lang w:val="cs-CZ" w:bidi="he-IL"/>
              </w:rPr>
              <w:t>2020– 1990</w:t>
            </w:r>
          </w:p>
        </w:tc>
        <w:tc>
          <w:tcPr>
            <w:tcW w:w="383" w:type="pct"/>
            <w:shd w:val="clear" w:color="auto" w:fill="DBE5F1"/>
            <w:noWrap/>
            <w:vAlign w:val="center"/>
            <w:hideMark/>
          </w:tcPr>
          <w:p w14:paraId="31EFB153" w14:textId="77777777" w:rsidR="003E0F58" w:rsidRPr="007C705C" w:rsidRDefault="003E0F58" w:rsidP="004D2249">
            <w:pPr>
              <w:spacing w:after="80"/>
              <w:jc w:val="center"/>
              <w:rPr>
                <w:rFonts w:eastAsia="Calibri" w:cs="Times New Roman"/>
                <w:b/>
                <w:bCs/>
                <w:sz w:val="18"/>
                <w:szCs w:val="18"/>
                <w:lang w:val="cs-CZ" w:bidi="he-IL"/>
              </w:rPr>
            </w:pPr>
            <w:r w:rsidRPr="007C705C">
              <w:rPr>
                <w:rFonts w:eastAsia="Calibri" w:cs="Times New Roman"/>
                <w:b/>
                <w:bCs/>
                <w:sz w:val="18"/>
                <w:szCs w:val="18"/>
                <w:lang w:val="cs-CZ" w:bidi="he-IL"/>
              </w:rPr>
              <w:t>2030– 1990</w:t>
            </w:r>
          </w:p>
        </w:tc>
        <w:tc>
          <w:tcPr>
            <w:tcW w:w="383" w:type="pct"/>
            <w:shd w:val="clear" w:color="auto" w:fill="DBE5F1"/>
            <w:noWrap/>
            <w:vAlign w:val="center"/>
            <w:hideMark/>
          </w:tcPr>
          <w:p w14:paraId="53729784" w14:textId="77777777" w:rsidR="003E0F58" w:rsidRPr="007C705C" w:rsidRDefault="003E0F58" w:rsidP="004D2249">
            <w:pPr>
              <w:spacing w:after="80"/>
              <w:jc w:val="center"/>
              <w:rPr>
                <w:rFonts w:eastAsia="Calibri" w:cs="Times New Roman"/>
                <w:b/>
                <w:bCs/>
                <w:sz w:val="18"/>
                <w:szCs w:val="18"/>
                <w:lang w:val="cs-CZ" w:bidi="he-IL"/>
              </w:rPr>
            </w:pPr>
            <w:r w:rsidRPr="007C705C">
              <w:rPr>
                <w:rFonts w:eastAsia="Calibri" w:cs="Times New Roman"/>
                <w:b/>
                <w:bCs/>
                <w:sz w:val="18"/>
                <w:szCs w:val="18"/>
                <w:lang w:val="cs-CZ" w:bidi="he-IL"/>
              </w:rPr>
              <w:t>2040– 1990</w:t>
            </w:r>
          </w:p>
        </w:tc>
        <w:tc>
          <w:tcPr>
            <w:tcW w:w="388" w:type="pct"/>
            <w:shd w:val="clear" w:color="auto" w:fill="DBE5F1"/>
            <w:vAlign w:val="center"/>
          </w:tcPr>
          <w:p w14:paraId="6E2B7F0A" w14:textId="77777777" w:rsidR="003E0F58" w:rsidRPr="007C705C" w:rsidRDefault="003E0F58" w:rsidP="004D2249">
            <w:pPr>
              <w:spacing w:after="80"/>
              <w:jc w:val="center"/>
              <w:rPr>
                <w:rFonts w:eastAsia="Calibri" w:cs="Times New Roman"/>
                <w:b/>
                <w:bCs/>
                <w:sz w:val="18"/>
                <w:szCs w:val="18"/>
                <w:lang w:val="cs-CZ" w:bidi="he-IL"/>
              </w:rPr>
            </w:pPr>
            <w:r w:rsidRPr="007C705C">
              <w:rPr>
                <w:rFonts w:eastAsia="Calibri" w:cs="Times New Roman"/>
                <w:b/>
                <w:bCs/>
                <w:sz w:val="18"/>
                <w:szCs w:val="18"/>
                <w:lang w:val="cs-CZ" w:bidi="he-IL"/>
              </w:rPr>
              <w:t>2050– 1990</w:t>
            </w:r>
          </w:p>
        </w:tc>
      </w:tr>
      <w:tr w:rsidR="003E0F58" w:rsidRPr="007C705C" w14:paraId="259353A5" w14:textId="77777777" w:rsidTr="004D2249">
        <w:trPr>
          <w:trHeight w:val="225"/>
        </w:trPr>
        <w:tc>
          <w:tcPr>
            <w:tcW w:w="781" w:type="pct"/>
            <w:tcBorders>
              <w:right w:val="single" w:sz="4" w:space="0" w:color="4F81BD"/>
            </w:tcBorders>
            <w:shd w:val="clear" w:color="auto" w:fill="DBE5F1"/>
            <w:noWrap/>
            <w:vAlign w:val="bottom"/>
            <w:hideMark/>
          </w:tcPr>
          <w:p w14:paraId="6FD0CFFA" w14:textId="77777777" w:rsidR="003E0F58" w:rsidRPr="007C705C" w:rsidRDefault="003E0F58" w:rsidP="004D2249">
            <w:pPr>
              <w:spacing w:after="80"/>
              <w:jc w:val="left"/>
              <w:rPr>
                <w:rFonts w:eastAsia="Calibri" w:cs="Times New Roman"/>
                <w:b/>
                <w:sz w:val="18"/>
                <w:szCs w:val="18"/>
                <w:lang w:val="cs-CZ" w:bidi="he-IL"/>
              </w:rPr>
            </w:pPr>
            <w:r w:rsidRPr="007C705C">
              <w:rPr>
                <w:rFonts w:eastAsia="Calibri" w:cs="Times New Roman"/>
                <w:bCs/>
                <w:sz w:val="18"/>
                <w:szCs w:val="18"/>
                <w:lang w:val="cs-CZ" w:bidi="he-IL"/>
              </w:rPr>
              <w:t xml:space="preserve">4.A Forest land </w:t>
            </w:r>
          </w:p>
        </w:tc>
        <w:tc>
          <w:tcPr>
            <w:tcW w:w="383" w:type="pct"/>
            <w:tcBorders>
              <w:left w:val="single" w:sz="4" w:space="0" w:color="4F81BD"/>
            </w:tcBorders>
            <w:shd w:val="clear" w:color="auto" w:fill="auto"/>
            <w:noWrap/>
          </w:tcPr>
          <w:p w14:paraId="38C7A9A6" w14:textId="77777777" w:rsidR="003E0F58" w:rsidRPr="007C705C" w:rsidRDefault="003E0F58" w:rsidP="004D2249">
            <w:pPr>
              <w:spacing w:after="80"/>
              <w:jc w:val="right"/>
              <w:rPr>
                <w:rFonts w:eastAsia="Calibri" w:cs="Times New Roman"/>
                <w:sz w:val="18"/>
                <w:szCs w:val="18"/>
                <w:lang w:val="cs-CZ" w:bidi="he-IL"/>
              </w:rPr>
            </w:pPr>
            <w:r w:rsidRPr="007C705C">
              <w:rPr>
                <w:rFonts w:eastAsia="Calibri" w:cs="Times New Roman"/>
                <w:sz w:val="18"/>
                <w:szCs w:val="18"/>
                <w:lang w:val="cs-CZ"/>
              </w:rPr>
              <w:t>-4.37</w:t>
            </w:r>
          </w:p>
        </w:tc>
        <w:tc>
          <w:tcPr>
            <w:tcW w:w="383" w:type="pct"/>
            <w:shd w:val="clear" w:color="auto" w:fill="auto"/>
            <w:noWrap/>
          </w:tcPr>
          <w:p w14:paraId="5EC41AA5" w14:textId="77777777" w:rsidR="003E0F58" w:rsidRPr="007C705C" w:rsidRDefault="003E0F58" w:rsidP="004D2249">
            <w:pPr>
              <w:spacing w:after="80"/>
              <w:jc w:val="right"/>
              <w:rPr>
                <w:rFonts w:eastAsia="Calibri" w:cs="Times New Roman"/>
                <w:sz w:val="18"/>
                <w:szCs w:val="18"/>
                <w:lang w:val="cs-CZ" w:bidi="he-IL"/>
              </w:rPr>
            </w:pPr>
            <w:r w:rsidRPr="007C705C">
              <w:rPr>
                <w:rFonts w:eastAsia="Calibri" w:cs="Times New Roman"/>
                <w:sz w:val="18"/>
                <w:szCs w:val="18"/>
                <w:lang w:val="cs-CZ"/>
              </w:rPr>
              <w:t>-5.32</w:t>
            </w:r>
          </w:p>
        </w:tc>
        <w:tc>
          <w:tcPr>
            <w:tcW w:w="406" w:type="pct"/>
            <w:tcBorders>
              <w:right w:val="single" w:sz="4" w:space="0" w:color="4F81BD"/>
            </w:tcBorders>
            <w:shd w:val="clear" w:color="auto" w:fill="auto"/>
            <w:noWrap/>
            <w:vAlign w:val="center"/>
          </w:tcPr>
          <w:p w14:paraId="243F27E0" w14:textId="77777777" w:rsidR="003E0F58" w:rsidRPr="007C705C" w:rsidRDefault="003E0F58" w:rsidP="004D2249">
            <w:pPr>
              <w:spacing w:after="80"/>
              <w:jc w:val="right"/>
              <w:rPr>
                <w:rFonts w:eastAsia="Calibri" w:cs="Times New Roman"/>
                <w:sz w:val="18"/>
                <w:szCs w:val="18"/>
                <w:lang w:val="cs-CZ" w:bidi="he-IL"/>
              </w:rPr>
            </w:pPr>
            <w:r w:rsidRPr="007C705C">
              <w:rPr>
                <w:rFonts w:eastAsia="Calibri" w:cs="Times New Roman"/>
                <w:color w:val="000000"/>
                <w:sz w:val="18"/>
                <w:szCs w:val="18"/>
                <w:lang w:val="cs-CZ"/>
              </w:rPr>
              <w:t>7.32</w:t>
            </w:r>
          </w:p>
        </w:tc>
        <w:tc>
          <w:tcPr>
            <w:tcW w:w="360" w:type="pct"/>
            <w:tcBorders>
              <w:left w:val="single" w:sz="4" w:space="0" w:color="4F81BD"/>
            </w:tcBorders>
            <w:shd w:val="clear" w:color="auto" w:fill="auto"/>
            <w:noWrap/>
            <w:vAlign w:val="center"/>
          </w:tcPr>
          <w:p w14:paraId="25E9807D" w14:textId="77777777" w:rsidR="003E0F58" w:rsidRPr="007C705C" w:rsidRDefault="003E0F58" w:rsidP="004D2249">
            <w:pPr>
              <w:spacing w:after="80"/>
              <w:jc w:val="right"/>
              <w:rPr>
                <w:rFonts w:eastAsia="Calibri" w:cs="Times New Roman"/>
                <w:sz w:val="18"/>
                <w:szCs w:val="18"/>
                <w:lang w:val="cs-CZ" w:bidi="he-IL"/>
              </w:rPr>
            </w:pPr>
            <w:r w:rsidRPr="007C705C">
              <w:rPr>
                <w:rFonts w:eastAsia="Calibri" w:cs="Times New Roman"/>
                <w:color w:val="000000"/>
                <w:sz w:val="18"/>
                <w:szCs w:val="18"/>
                <w:lang w:val="cs-CZ"/>
              </w:rPr>
              <w:t>19.5</w:t>
            </w:r>
          </w:p>
        </w:tc>
        <w:tc>
          <w:tcPr>
            <w:tcW w:w="383" w:type="pct"/>
            <w:shd w:val="clear" w:color="auto" w:fill="auto"/>
            <w:noWrap/>
            <w:vAlign w:val="center"/>
          </w:tcPr>
          <w:p w14:paraId="09F2F329" w14:textId="77777777" w:rsidR="003E0F58" w:rsidRPr="007C705C" w:rsidRDefault="003E0F58" w:rsidP="004D2249">
            <w:pPr>
              <w:spacing w:after="80"/>
              <w:jc w:val="right"/>
              <w:rPr>
                <w:rFonts w:eastAsia="Calibri" w:cs="Times New Roman"/>
                <w:sz w:val="18"/>
                <w:szCs w:val="18"/>
                <w:lang w:val="cs-CZ" w:bidi="he-IL"/>
              </w:rPr>
            </w:pPr>
            <w:r w:rsidRPr="007C705C">
              <w:rPr>
                <w:rFonts w:eastAsia="Calibri" w:cs="Times New Roman"/>
                <w:color w:val="000000"/>
                <w:sz w:val="18"/>
                <w:szCs w:val="18"/>
                <w:lang w:val="cs-CZ"/>
              </w:rPr>
              <w:t>-0.71</w:t>
            </w:r>
          </w:p>
        </w:tc>
        <w:tc>
          <w:tcPr>
            <w:tcW w:w="384" w:type="pct"/>
            <w:shd w:val="clear" w:color="auto" w:fill="auto"/>
            <w:noWrap/>
            <w:vAlign w:val="center"/>
          </w:tcPr>
          <w:p w14:paraId="486724C4" w14:textId="77777777" w:rsidR="003E0F58" w:rsidRPr="007C705C" w:rsidRDefault="003E0F58" w:rsidP="004D2249">
            <w:pPr>
              <w:spacing w:after="80"/>
              <w:jc w:val="right"/>
              <w:rPr>
                <w:rFonts w:eastAsia="Calibri" w:cs="Times New Roman"/>
                <w:sz w:val="18"/>
                <w:szCs w:val="18"/>
                <w:lang w:val="cs-CZ" w:bidi="he-IL"/>
              </w:rPr>
            </w:pPr>
            <w:r w:rsidRPr="007C705C">
              <w:rPr>
                <w:rFonts w:eastAsia="Calibri" w:cs="Times New Roman"/>
                <w:color w:val="000000"/>
                <w:sz w:val="18"/>
                <w:szCs w:val="18"/>
                <w:lang w:val="cs-CZ"/>
              </w:rPr>
              <w:t>-7.10</w:t>
            </w:r>
          </w:p>
        </w:tc>
        <w:tc>
          <w:tcPr>
            <w:tcW w:w="358" w:type="pct"/>
            <w:shd w:val="clear" w:color="auto" w:fill="auto"/>
            <w:noWrap/>
            <w:vAlign w:val="center"/>
          </w:tcPr>
          <w:p w14:paraId="37FA47DF" w14:textId="77777777" w:rsidR="003E0F58" w:rsidRPr="007C705C" w:rsidRDefault="003E0F58" w:rsidP="004D2249">
            <w:pPr>
              <w:spacing w:after="80"/>
              <w:jc w:val="right"/>
              <w:rPr>
                <w:rFonts w:eastAsia="Calibri" w:cs="Times New Roman"/>
                <w:sz w:val="18"/>
                <w:szCs w:val="18"/>
                <w:lang w:val="cs-CZ" w:bidi="he-IL"/>
              </w:rPr>
            </w:pPr>
            <w:r w:rsidRPr="007C705C">
              <w:rPr>
                <w:rFonts w:eastAsia="Calibri" w:cs="Times New Roman"/>
                <w:color w:val="000000"/>
                <w:sz w:val="18"/>
                <w:szCs w:val="18"/>
                <w:lang w:val="cs-CZ"/>
              </w:rPr>
              <w:t>-5.75</w:t>
            </w:r>
          </w:p>
        </w:tc>
        <w:tc>
          <w:tcPr>
            <w:tcW w:w="408" w:type="pct"/>
            <w:tcBorders>
              <w:left w:val="single" w:sz="4" w:space="0" w:color="4F81BD"/>
            </w:tcBorders>
            <w:shd w:val="clear" w:color="auto" w:fill="auto"/>
            <w:noWrap/>
          </w:tcPr>
          <w:p w14:paraId="17A41998"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23.8</w:t>
            </w:r>
          </w:p>
        </w:tc>
        <w:tc>
          <w:tcPr>
            <w:tcW w:w="383" w:type="pct"/>
            <w:shd w:val="clear" w:color="auto" w:fill="auto"/>
            <w:noWrap/>
          </w:tcPr>
          <w:p w14:paraId="0D769F0F"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3.66</w:t>
            </w:r>
          </w:p>
        </w:tc>
        <w:tc>
          <w:tcPr>
            <w:tcW w:w="383" w:type="pct"/>
            <w:shd w:val="clear" w:color="auto" w:fill="auto"/>
            <w:noWrap/>
          </w:tcPr>
          <w:p w14:paraId="1AC0B6D4"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-2.72</w:t>
            </w:r>
          </w:p>
        </w:tc>
        <w:tc>
          <w:tcPr>
            <w:tcW w:w="388" w:type="pct"/>
          </w:tcPr>
          <w:p w14:paraId="6E329537"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-1.38</w:t>
            </w:r>
          </w:p>
        </w:tc>
      </w:tr>
      <w:tr w:rsidR="003E0F58" w:rsidRPr="007C705C" w14:paraId="538A5336" w14:textId="77777777" w:rsidTr="004D2249">
        <w:trPr>
          <w:trHeight w:val="225"/>
        </w:trPr>
        <w:tc>
          <w:tcPr>
            <w:tcW w:w="781" w:type="pct"/>
            <w:tcBorders>
              <w:right w:val="single" w:sz="4" w:space="0" w:color="4F81BD"/>
            </w:tcBorders>
            <w:shd w:val="clear" w:color="auto" w:fill="DBE5F1"/>
            <w:noWrap/>
            <w:vAlign w:val="bottom"/>
          </w:tcPr>
          <w:p w14:paraId="1FFCB3BD" w14:textId="77777777" w:rsidR="003E0F58" w:rsidRPr="007C705C" w:rsidRDefault="003E0F58" w:rsidP="004D2249">
            <w:pPr>
              <w:spacing w:after="80"/>
              <w:jc w:val="left"/>
              <w:rPr>
                <w:rFonts w:eastAsia="Calibri" w:cs="Times New Roman"/>
                <w:bCs/>
                <w:sz w:val="18"/>
                <w:szCs w:val="18"/>
                <w:lang w:val="cs-CZ" w:bidi="he-IL"/>
              </w:rPr>
            </w:pPr>
            <w:r w:rsidRPr="007C705C">
              <w:rPr>
                <w:rFonts w:eastAsia="Calibri" w:cs="Times New Roman"/>
                <w:bCs/>
                <w:sz w:val="18"/>
                <w:szCs w:val="18"/>
                <w:lang w:val="cs-CZ" w:bidi="he-IL"/>
              </w:rPr>
              <w:t>4.B. Cropland</w:t>
            </w:r>
          </w:p>
        </w:tc>
        <w:tc>
          <w:tcPr>
            <w:tcW w:w="383" w:type="pct"/>
            <w:tcBorders>
              <w:left w:val="single" w:sz="4" w:space="0" w:color="4F81BD"/>
            </w:tcBorders>
            <w:shd w:val="clear" w:color="auto" w:fill="auto"/>
            <w:noWrap/>
          </w:tcPr>
          <w:p w14:paraId="3C88287C"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sz w:val="18"/>
                <w:szCs w:val="18"/>
                <w:lang w:val="cs-CZ"/>
              </w:rPr>
              <w:t>0.21</w:t>
            </w:r>
          </w:p>
        </w:tc>
        <w:tc>
          <w:tcPr>
            <w:tcW w:w="383" w:type="pct"/>
            <w:shd w:val="clear" w:color="auto" w:fill="auto"/>
            <w:noWrap/>
          </w:tcPr>
          <w:p w14:paraId="4E85FA2F"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sz w:val="18"/>
                <w:szCs w:val="18"/>
                <w:lang w:val="cs-CZ"/>
              </w:rPr>
              <w:t>0.17</w:t>
            </w:r>
          </w:p>
        </w:tc>
        <w:tc>
          <w:tcPr>
            <w:tcW w:w="406" w:type="pct"/>
            <w:tcBorders>
              <w:right w:val="single" w:sz="4" w:space="0" w:color="4F81BD"/>
            </w:tcBorders>
            <w:shd w:val="clear" w:color="auto" w:fill="auto"/>
            <w:noWrap/>
            <w:vAlign w:val="center"/>
          </w:tcPr>
          <w:p w14:paraId="04DBAE73"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0.10</w:t>
            </w:r>
          </w:p>
        </w:tc>
        <w:tc>
          <w:tcPr>
            <w:tcW w:w="360" w:type="pct"/>
            <w:tcBorders>
              <w:left w:val="single" w:sz="4" w:space="0" w:color="4F81BD"/>
            </w:tcBorders>
            <w:shd w:val="clear" w:color="auto" w:fill="auto"/>
            <w:noWrap/>
            <w:vAlign w:val="center"/>
          </w:tcPr>
          <w:p w14:paraId="7AC02F4A"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sz w:val="18"/>
                <w:szCs w:val="18"/>
                <w:lang w:val="cs-CZ"/>
              </w:rPr>
              <w:t>0.16</w:t>
            </w:r>
          </w:p>
        </w:tc>
        <w:tc>
          <w:tcPr>
            <w:tcW w:w="383" w:type="pct"/>
            <w:shd w:val="clear" w:color="auto" w:fill="auto"/>
            <w:noWrap/>
            <w:vAlign w:val="center"/>
          </w:tcPr>
          <w:p w14:paraId="39E32EF5"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sz w:val="18"/>
                <w:szCs w:val="18"/>
                <w:lang w:val="cs-CZ"/>
              </w:rPr>
              <w:t>0.16</w:t>
            </w:r>
          </w:p>
        </w:tc>
        <w:tc>
          <w:tcPr>
            <w:tcW w:w="384" w:type="pct"/>
            <w:shd w:val="clear" w:color="auto" w:fill="auto"/>
            <w:noWrap/>
            <w:vAlign w:val="center"/>
          </w:tcPr>
          <w:p w14:paraId="5B8D3742"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sz w:val="18"/>
                <w:szCs w:val="18"/>
                <w:lang w:val="cs-CZ"/>
              </w:rPr>
              <w:t>0.16</w:t>
            </w:r>
          </w:p>
        </w:tc>
        <w:tc>
          <w:tcPr>
            <w:tcW w:w="358" w:type="pct"/>
            <w:shd w:val="clear" w:color="auto" w:fill="auto"/>
            <w:noWrap/>
            <w:vAlign w:val="center"/>
          </w:tcPr>
          <w:p w14:paraId="538DB90A"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sz w:val="18"/>
                <w:szCs w:val="18"/>
                <w:lang w:val="cs-CZ"/>
              </w:rPr>
              <w:t>0.16</w:t>
            </w:r>
          </w:p>
        </w:tc>
        <w:tc>
          <w:tcPr>
            <w:tcW w:w="408" w:type="pct"/>
            <w:tcBorders>
              <w:left w:val="single" w:sz="4" w:space="0" w:color="4F81BD"/>
            </w:tcBorders>
            <w:shd w:val="clear" w:color="auto" w:fill="auto"/>
            <w:noWrap/>
          </w:tcPr>
          <w:p w14:paraId="7F009B35"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-0.05</w:t>
            </w:r>
          </w:p>
        </w:tc>
        <w:tc>
          <w:tcPr>
            <w:tcW w:w="383" w:type="pct"/>
            <w:shd w:val="clear" w:color="auto" w:fill="auto"/>
            <w:noWrap/>
          </w:tcPr>
          <w:p w14:paraId="554F33A4"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-0.05</w:t>
            </w:r>
          </w:p>
        </w:tc>
        <w:tc>
          <w:tcPr>
            <w:tcW w:w="383" w:type="pct"/>
            <w:shd w:val="clear" w:color="auto" w:fill="auto"/>
            <w:noWrap/>
          </w:tcPr>
          <w:p w14:paraId="5A7D104A"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-0.06</w:t>
            </w:r>
          </w:p>
        </w:tc>
        <w:tc>
          <w:tcPr>
            <w:tcW w:w="388" w:type="pct"/>
          </w:tcPr>
          <w:p w14:paraId="0AE6CE70"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-0.06</w:t>
            </w:r>
          </w:p>
        </w:tc>
      </w:tr>
      <w:tr w:rsidR="003E0F58" w:rsidRPr="007C705C" w14:paraId="74C6A28E" w14:textId="77777777" w:rsidTr="004D2249">
        <w:trPr>
          <w:trHeight w:val="225"/>
        </w:trPr>
        <w:tc>
          <w:tcPr>
            <w:tcW w:w="781" w:type="pct"/>
            <w:tcBorders>
              <w:right w:val="single" w:sz="4" w:space="0" w:color="4F81BD"/>
            </w:tcBorders>
            <w:shd w:val="clear" w:color="auto" w:fill="DBE5F1"/>
            <w:noWrap/>
            <w:vAlign w:val="bottom"/>
          </w:tcPr>
          <w:p w14:paraId="7CA7251E" w14:textId="77777777" w:rsidR="003E0F58" w:rsidRPr="007C705C" w:rsidRDefault="003E0F58" w:rsidP="004D2249">
            <w:pPr>
              <w:spacing w:after="80"/>
              <w:jc w:val="left"/>
              <w:rPr>
                <w:rFonts w:eastAsia="Calibri" w:cs="Times New Roman"/>
                <w:bCs/>
                <w:sz w:val="18"/>
                <w:szCs w:val="18"/>
                <w:lang w:val="cs-CZ" w:bidi="he-IL"/>
              </w:rPr>
            </w:pPr>
            <w:r w:rsidRPr="007C705C">
              <w:rPr>
                <w:rFonts w:eastAsia="Calibri" w:cs="Times New Roman"/>
                <w:bCs/>
                <w:sz w:val="18"/>
                <w:szCs w:val="18"/>
                <w:lang w:val="cs-CZ" w:bidi="he-IL"/>
              </w:rPr>
              <w:t xml:space="preserve">4.C Grassland </w:t>
            </w:r>
          </w:p>
        </w:tc>
        <w:tc>
          <w:tcPr>
            <w:tcW w:w="383" w:type="pct"/>
            <w:tcBorders>
              <w:left w:val="single" w:sz="4" w:space="0" w:color="4F81BD"/>
            </w:tcBorders>
            <w:shd w:val="clear" w:color="auto" w:fill="auto"/>
            <w:noWrap/>
          </w:tcPr>
          <w:p w14:paraId="3347DC52"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sz w:val="18"/>
                <w:szCs w:val="18"/>
                <w:lang w:val="cs-CZ"/>
              </w:rPr>
              <w:t>-0.11</w:t>
            </w:r>
          </w:p>
        </w:tc>
        <w:tc>
          <w:tcPr>
            <w:tcW w:w="383" w:type="pct"/>
            <w:shd w:val="clear" w:color="auto" w:fill="auto"/>
            <w:noWrap/>
          </w:tcPr>
          <w:p w14:paraId="66DC0955"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sz w:val="18"/>
                <w:szCs w:val="18"/>
                <w:lang w:val="cs-CZ"/>
              </w:rPr>
              <w:t>-0.34</w:t>
            </w:r>
          </w:p>
        </w:tc>
        <w:tc>
          <w:tcPr>
            <w:tcW w:w="406" w:type="pct"/>
            <w:tcBorders>
              <w:right w:val="single" w:sz="4" w:space="0" w:color="4F81BD"/>
            </w:tcBorders>
            <w:shd w:val="clear" w:color="auto" w:fill="auto"/>
            <w:noWrap/>
            <w:vAlign w:val="center"/>
          </w:tcPr>
          <w:p w14:paraId="225EF007"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-0.28</w:t>
            </w:r>
          </w:p>
        </w:tc>
        <w:tc>
          <w:tcPr>
            <w:tcW w:w="360" w:type="pct"/>
            <w:tcBorders>
              <w:left w:val="single" w:sz="4" w:space="0" w:color="4F81BD"/>
            </w:tcBorders>
            <w:shd w:val="clear" w:color="auto" w:fill="auto"/>
            <w:noWrap/>
          </w:tcPr>
          <w:p w14:paraId="2F2AF078"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sz w:val="18"/>
                <w:szCs w:val="18"/>
                <w:lang w:val="cs-CZ"/>
              </w:rPr>
              <w:t>-0.37</w:t>
            </w:r>
          </w:p>
        </w:tc>
        <w:tc>
          <w:tcPr>
            <w:tcW w:w="383" w:type="pct"/>
            <w:shd w:val="clear" w:color="auto" w:fill="auto"/>
            <w:noWrap/>
          </w:tcPr>
          <w:p w14:paraId="1D5800B7"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sz w:val="18"/>
                <w:szCs w:val="18"/>
                <w:lang w:val="cs-CZ"/>
              </w:rPr>
              <w:t>-0.36</w:t>
            </w:r>
          </w:p>
        </w:tc>
        <w:tc>
          <w:tcPr>
            <w:tcW w:w="384" w:type="pct"/>
            <w:shd w:val="clear" w:color="auto" w:fill="auto"/>
            <w:noWrap/>
          </w:tcPr>
          <w:p w14:paraId="54202D25"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sz w:val="18"/>
                <w:szCs w:val="18"/>
                <w:lang w:val="cs-CZ"/>
              </w:rPr>
              <w:t>-0.36</w:t>
            </w:r>
          </w:p>
        </w:tc>
        <w:tc>
          <w:tcPr>
            <w:tcW w:w="358" w:type="pct"/>
            <w:shd w:val="clear" w:color="auto" w:fill="auto"/>
            <w:noWrap/>
          </w:tcPr>
          <w:p w14:paraId="7170B4E9"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sz w:val="18"/>
                <w:szCs w:val="18"/>
                <w:lang w:val="cs-CZ"/>
              </w:rPr>
              <w:t>-0.37</w:t>
            </w:r>
          </w:p>
        </w:tc>
        <w:tc>
          <w:tcPr>
            <w:tcW w:w="408" w:type="pct"/>
            <w:tcBorders>
              <w:left w:val="single" w:sz="4" w:space="0" w:color="4F81BD"/>
            </w:tcBorders>
            <w:shd w:val="clear" w:color="auto" w:fill="auto"/>
            <w:noWrap/>
          </w:tcPr>
          <w:p w14:paraId="0BD951FF"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-0.24</w:t>
            </w:r>
          </w:p>
        </w:tc>
        <w:tc>
          <w:tcPr>
            <w:tcW w:w="383" w:type="pct"/>
            <w:shd w:val="clear" w:color="auto" w:fill="auto"/>
            <w:noWrap/>
          </w:tcPr>
          <w:p w14:paraId="2B2B6726"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-0.25</w:t>
            </w:r>
          </w:p>
        </w:tc>
        <w:tc>
          <w:tcPr>
            <w:tcW w:w="383" w:type="pct"/>
            <w:shd w:val="clear" w:color="auto" w:fill="auto"/>
            <w:noWrap/>
          </w:tcPr>
          <w:p w14:paraId="3B20E988"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-0.25</w:t>
            </w:r>
          </w:p>
        </w:tc>
        <w:tc>
          <w:tcPr>
            <w:tcW w:w="388" w:type="pct"/>
          </w:tcPr>
          <w:p w14:paraId="78ABE03E"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-0.26</w:t>
            </w:r>
          </w:p>
        </w:tc>
      </w:tr>
      <w:tr w:rsidR="003E0F58" w:rsidRPr="007C705C" w14:paraId="2A54E0D4" w14:textId="77777777" w:rsidTr="004D2249">
        <w:trPr>
          <w:trHeight w:val="225"/>
        </w:trPr>
        <w:tc>
          <w:tcPr>
            <w:tcW w:w="781" w:type="pct"/>
            <w:tcBorders>
              <w:right w:val="single" w:sz="4" w:space="0" w:color="4F81BD"/>
            </w:tcBorders>
            <w:shd w:val="clear" w:color="auto" w:fill="DBE5F1"/>
            <w:noWrap/>
            <w:vAlign w:val="bottom"/>
          </w:tcPr>
          <w:p w14:paraId="0357217E" w14:textId="77777777" w:rsidR="003E0F58" w:rsidRPr="007C705C" w:rsidRDefault="003E0F58" w:rsidP="004D2249">
            <w:pPr>
              <w:spacing w:after="80"/>
              <w:jc w:val="left"/>
              <w:rPr>
                <w:rFonts w:eastAsia="Calibri" w:cs="Times New Roman"/>
                <w:sz w:val="18"/>
                <w:szCs w:val="18"/>
                <w:lang w:val="cs-CZ" w:bidi="he-IL"/>
              </w:rPr>
            </w:pPr>
            <w:r w:rsidRPr="007C705C">
              <w:rPr>
                <w:rFonts w:eastAsia="Calibri" w:cs="Times New Roman"/>
                <w:sz w:val="18"/>
                <w:szCs w:val="18"/>
                <w:lang w:val="cs-CZ" w:bidi="he-IL"/>
              </w:rPr>
              <w:t>4.D Wetlands</w:t>
            </w:r>
          </w:p>
        </w:tc>
        <w:tc>
          <w:tcPr>
            <w:tcW w:w="383" w:type="pct"/>
            <w:tcBorders>
              <w:left w:val="single" w:sz="4" w:space="0" w:color="4F81BD"/>
            </w:tcBorders>
            <w:shd w:val="clear" w:color="auto" w:fill="auto"/>
            <w:noWrap/>
            <w:vAlign w:val="center"/>
          </w:tcPr>
          <w:p w14:paraId="40AC94A6"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0.02</w:t>
            </w:r>
          </w:p>
        </w:tc>
        <w:tc>
          <w:tcPr>
            <w:tcW w:w="383" w:type="pct"/>
            <w:shd w:val="clear" w:color="auto" w:fill="auto"/>
            <w:noWrap/>
            <w:vAlign w:val="center"/>
          </w:tcPr>
          <w:p w14:paraId="37CF6EC9"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0.03</w:t>
            </w:r>
          </w:p>
        </w:tc>
        <w:tc>
          <w:tcPr>
            <w:tcW w:w="406" w:type="pct"/>
            <w:tcBorders>
              <w:right w:val="single" w:sz="4" w:space="0" w:color="4F81BD"/>
            </w:tcBorders>
            <w:shd w:val="clear" w:color="auto" w:fill="auto"/>
            <w:noWrap/>
            <w:vAlign w:val="center"/>
          </w:tcPr>
          <w:p w14:paraId="2BD9DDA0"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0.02</w:t>
            </w:r>
          </w:p>
        </w:tc>
        <w:tc>
          <w:tcPr>
            <w:tcW w:w="360" w:type="pct"/>
            <w:tcBorders>
              <w:left w:val="single" w:sz="4" w:space="0" w:color="4F81BD"/>
            </w:tcBorders>
            <w:shd w:val="clear" w:color="auto" w:fill="auto"/>
            <w:noWrap/>
            <w:vAlign w:val="center"/>
          </w:tcPr>
          <w:p w14:paraId="60181D56"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0.03</w:t>
            </w:r>
          </w:p>
        </w:tc>
        <w:tc>
          <w:tcPr>
            <w:tcW w:w="383" w:type="pct"/>
            <w:shd w:val="clear" w:color="auto" w:fill="auto"/>
            <w:noWrap/>
            <w:vAlign w:val="center"/>
          </w:tcPr>
          <w:p w14:paraId="182A60C2"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0.03</w:t>
            </w:r>
          </w:p>
        </w:tc>
        <w:tc>
          <w:tcPr>
            <w:tcW w:w="384" w:type="pct"/>
            <w:shd w:val="clear" w:color="auto" w:fill="auto"/>
            <w:noWrap/>
            <w:vAlign w:val="center"/>
          </w:tcPr>
          <w:p w14:paraId="2CCEB743"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0.03</w:t>
            </w:r>
          </w:p>
        </w:tc>
        <w:tc>
          <w:tcPr>
            <w:tcW w:w="358" w:type="pct"/>
            <w:shd w:val="clear" w:color="auto" w:fill="auto"/>
            <w:noWrap/>
            <w:vAlign w:val="center"/>
          </w:tcPr>
          <w:p w14:paraId="11595571"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0.03</w:t>
            </w:r>
          </w:p>
        </w:tc>
        <w:tc>
          <w:tcPr>
            <w:tcW w:w="408" w:type="pct"/>
            <w:tcBorders>
              <w:left w:val="single" w:sz="4" w:space="0" w:color="4F81BD"/>
            </w:tcBorders>
            <w:shd w:val="clear" w:color="auto" w:fill="auto"/>
            <w:noWrap/>
          </w:tcPr>
          <w:p w14:paraId="2B2F8A32"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0.00</w:t>
            </w:r>
          </w:p>
        </w:tc>
        <w:tc>
          <w:tcPr>
            <w:tcW w:w="383" w:type="pct"/>
            <w:shd w:val="clear" w:color="auto" w:fill="auto"/>
            <w:noWrap/>
          </w:tcPr>
          <w:p w14:paraId="59D57834"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0.00</w:t>
            </w:r>
          </w:p>
        </w:tc>
        <w:tc>
          <w:tcPr>
            <w:tcW w:w="383" w:type="pct"/>
            <w:shd w:val="clear" w:color="auto" w:fill="auto"/>
            <w:noWrap/>
          </w:tcPr>
          <w:p w14:paraId="6D714D23"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0.01</w:t>
            </w:r>
          </w:p>
        </w:tc>
        <w:tc>
          <w:tcPr>
            <w:tcW w:w="388" w:type="pct"/>
          </w:tcPr>
          <w:p w14:paraId="2EA92749"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0.01</w:t>
            </w:r>
          </w:p>
        </w:tc>
      </w:tr>
      <w:tr w:rsidR="003E0F58" w:rsidRPr="007C705C" w14:paraId="2C5E1396" w14:textId="77777777" w:rsidTr="004D2249">
        <w:trPr>
          <w:trHeight w:val="225"/>
        </w:trPr>
        <w:tc>
          <w:tcPr>
            <w:tcW w:w="781" w:type="pct"/>
            <w:tcBorders>
              <w:right w:val="single" w:sz="4" w:space="0" w:color="4F81BD"/>
            </w:tcBorders>
            <w:shd w:val="clear" w:color="auto" w:fill="DBE5F1"/>
            <w:noWrap/>
            <w:vAlign w:val="bottom"/>
          </w:tcPr>
          <w:p w14:paraId="1541FF88" w14:textId="77777777" w:rsidR="003E0F58" w:rsidRPr="007C705C" w:rsidRDefault="003E0F58" w:rsidP="004D2249">
            <w:pPr>
              <w:spacing w:after="80"/>
              <w:jc w:val="left"/>
              <w:rPr>
                <w:rFonts w:eastAsia="Calibri" w:cs="Times New Roman"/>
                <w:sz w:val="18"/>
                <w:szCs w:val="18"/>
                <w:lang w:val="cs-CZ" w:bidi="he-IL"/>
              </w:rPr>
            </w:pPr>
            <w:r w:rsidRPr="007C705C">
              <w:rPr>
                <w:rFonts w:eastAsia="Calibri" w:cs="Times New Roman"/>
                <w:sz w:val="18"/>
                <w:szCs w:val="18"/>
                <w:lang w:val="cs-CZ" w:bidi="he-IL"/>
              </w:rPr>
              <w:t>4.E Settlements</w:t>
            </w:r>
          </w:p>
        </w:tc>
        <w:tc>
          <w:tcPr>
            <w:tcW w:w="383" w:type="pct"/>
            <w:tcBorders>
              <w:left w:val="single" w:sz="4" w:space="0" w:color="4F81BD"/>
            </w:tcBorders>
            <w:shd w:val="clear" w:color="auto" w:fill="auto"/>
            <w:noWrap/>
            <w:vAlign w:val="center"/>
          </w:tcPr>
          <w:p w14:paraId="1FF4C812"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0.27</w:t>
            </w:r>
          </w:p>
        </w:tc>
        <w:tc>
          <w:tcPr>
            <w:tcW w:w="383" w:type="pct"/>
            <w:shd w:val="clear" w:color="auto" w:fill="auto"/>
            <w:noWrap/>
            <w:vAlign w:val="center"/>
          </w:tcPr>
          <w:p w14:paraId="0CAC0ED8"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0.14</w:t>
            </w:r>
          </w:p>
        </w:tc>
        <w:tc>
          <w:tcPr>
            <w:tcW w:w="406" w:type="pct"/>
            <w:tcBorders>
              <w:right w:val="single" w:sz="4" w:space="0" w:color="4F81BD"/>
            </w:tcBorders>
            <w:shd w:val="clear" w:color="auto" w:fill="auto"/>
            <w:noWrap/>
            <w:vAlign w:val="center"/>
          </w:tcPr>
          <w:p w14:paraId="3FC21FB4"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0.12</w:t>
            </w:r>
          </w:p>
        </w:tc>
        <w:tc>
          <w:tcPr>
            <w:tcW w:w="360" w:type="pct"/>
            <w:tcBorders>
              <w:left w:val="single" w:sz="4" w:space="0" w:color="4F81BD"/>
            </w:tcBorders>
            <w:shd w:val="clear" w:color="auto" w:fill="auto"/>
            <w:noWrap/>
            <w:vAlign w:val="center"/>
          </w:tcPr>
          <w:p w14:paraId="15470ED1"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0.15</w:t>
            </w:r>
          </w:p>
        </w:tc>
        <w:tc>
          <w:tcPr>
            <w:tcW w:w="383" w:type="pct"/>
            <w:shd w:val="clear" w:color="auto" w:fill="auto"/>
            <w:noWrap/>
            <w:vAlign w:val="center"/>
          </w:tcPr>
          <w:p w14:paraId="621013E8"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0.15</w:t>
            </w:r>
          </w:p>
        </w:tc>
        <w:tc>
          <w:tcPr>
            <w:tcW w:w="384" w:type="pct"/>
            <w:shd w:val="clear" w:color="auto" w:fill="auto"/>
            <w:noWrap/>
            <w:vAlign w:val="center"/>
          </w:tcPr>
          <w:p w14:paraId="1DD89D06"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0.15</w:t>
            </w:r>
          </w:p>
        </w:tc>
        <w:tc>
          <w:tcPr>
            <w:tcW w:w="358" w:type="pct"/>
            <w:shd w:val="clear" w:color="auto" w:fill="auto"/>
            <w:noWrap/>
            <w:vAlign w:val="center"/>
          </w:tcPr>
          <w:p w14:paraId="1A0CBEAE"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0.15</w:t>
            </w:r>
          </w:p>
        </w:tc>
        <w:tc>
          <w:tcPr>
            <w:tcW w:w="408" w:type="pct"/>
            <w:tcBorders>
              <w:left w:val="single" w:sz="4" w:space="0" w:color="4F81BD"/>
            </w:tcBorders>
            <w:shd w:val="clear" w:color="auto" w:fill="auto"/>
            <w:noWrap/>
          </w:tcPr>
          <w:p w14:paraId="75FBE855"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-0.13</w:t>
            </w:r>
          </w:p>
        </w:tc>
        <w:tc>
          <w:tcPr>
            <w:tcW w:w="383" w:type="pct"/>
            <w:shd w:val="clear" w:color="auto" w:fill="auto"/>
            <w:noWrap/>
          </w:tcPr>
          <w:p w14:paraId="5C0CFDE3"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-0.12</w:t>
            </w:r>
          </w:p>
        </w:tc>
        <w:tc>
          <w:tcPr>
            <w:tcW w:w="383" w:type="pct"/>
            <w:shd w:val="clear" w:color="auto" w:fill="auto"/>
            <w:noWrap/>
          </w:tcPr>
          <w:p w14:paraId="7974D4CA"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-0.12</w:t>
            </w:r>
          </w:p>
        </w:tc>
        <w:tc>
          <w:tcPr>
            <w:tcW w:w="388" w:type="pct"/>
          </w:tcPr>
          <w:p w14:paraId="121435BB" w14:textId="77777777" w:rsidR="003E0F58" w:rsidRPr="007C705C" w:rsidRDefault="003E0F58" w:rsidP="004D2249">
            <w:pPr>
              <w:spacing w:after="80"/>
              <w:jc w:val="right"/>
              <w:rPr>
                <w:rFonts w:eastAsia="Calibri" w:cs="Times New Roman"/>
                <w:color w:val="000000"/>
                <w:sz w:val="18"/>
                <w:szCs w:val="18"/>
                <w:lang w:val="cs-CZ"/>
              </w:rPr>
            </w:pPr>
            <w:r w:rsidRPr="007C705C">
              <w:rPr>
                <w:rFonts w:eastAsia="Calibri" w:cs="Times New Roman"/>
                <w:color w:val="000000"/>
                <w:sz w:val="18"/>
                <w:szCs w:val="18"/>
                <w:lang w:val="cs-CZ"/>
              </w:rPr>
              <w:t>-0.12</w:t>
            </w:r>
          </w:p>
        </w:tc>
      </w:tr>
    </w:tbl>
    <w:p w14:paraId="2B3FA994" w14:textId="636497C5" w:rsidR="003E0F58" w:rsidRPr="00DD3B19" w:rsidRDefault="003E0F58" w:rsidP="00DD3B19">
      <w:pPr>
        <w:pStyle w:val="UZEIZdroj"/>
      </w:pPr>
      <w:r w:rsidRPr="007C705C">
        <w:t xml:space="preserve">Zdroj: Integrated reporting on greenhouse gas policies and measures and on projections in the Czech Republic, Reporting under the Art. 18 of the Regulation EU No. 2018/1999 + </w:t>
      </w:r>
      <w:r w:rsidRPr="007C705C">
        <w:rPr>
          <w:sz w:val="18"/>
        </w:rPr>
        <w:t>(CHMI, 2020)</w:t>
      </w:r>
    </w:p>
    <w:p w14:paraId="44596BC8" w14:textId="1F809CFE" w:rsidR="003E0F58" w:rsidRPr="007C705C" w:rsidRDefault="003E0F58" w:rsidP="005D1920">
      <w:pPr>
        <w:pStyle w:val="UZEIOdrky"/>
        <w:keepNext/>
        <w:ind w:left="714" w:hanging="357"/>
        <w:rPr>
          <w:rFonts w:eastAsiaTheme="minorEastAsia"/>
          <w:u w:val="single"/>
        </w:rPr>
      </w:pPr>
      <w:r w:rsidRPr="007C705C">
        <w:rPr>
          <w:rFonts w:eastAsiaTheme="minorEastAsia"/>
        </w:rPr>
        <w:t>Vysoké emise CO</w:t>
      </w:r>
      <w:r w:rsidRPr="007C705C">
        <w:rPr>
          <w:rFonts w:eastAsiaTheme="minorEastAsia"/>
          <w:vertAlign w:val="subscript"/>
        </w:rPr>
        <w:t>2</w:t>
      </w:r>
      <w:r w:rsidRPr="007C705C">
        <w:rPr>
          <w:rFonts w:eastAsiaTheme="minorEastAsia"/>
        </w:rPr>
        <w:t>, NO</w:t>
      </w:r>
      <w:r w:rsidRPr="007C705C">
        <w:rPr>
          <w:rFonts w:eastAsiaTheme="minorEastAsia"/>
          <w:vertAlign w:val="subscript"/>
        </w:rPr>
        <w:t>x</w:t>
      </w:r>
      <w:r w:rsidRPr="007C705C">
        <w:rPr>
          <w:rFonts w:eastAsiaTheme="minorEastAsia"/>
        </w:rPr>
        <w:t>, CH</w:t>
      </w:r>
      <w:r w:rsidRPr="007C705C">
        <w:rPr>
          <w:rFonts w:eastAsiaTheme="minorEastAsia"/>
          <w:vertAlign w:val="subscript"/>
        </w:rPr>
        <w:t>4</w:t>
      </w:r>
      <w:r w:rsidRPr="007C705C">
        <w:rPr>
          <w:rFonts w:eastAsiaTheme="minorEastAsia"/>
        </w:rPr>
        <w:t>, NH</w:t>
      </w:r>
      <w:r w:rsidRPr="007C705C">
        <w:rPr>
          <w:rFonts w:eastAsiaTheme="minorEastAsia"/>
          <w:vertAlign w:val="subscript"/>
        </w:rPr>
        <w:t>3</w:t>
      </w:r>
      <w:r w:rsidRPr="007C705C">
        <w:rPr>
          <w:rFonts w:eastAsiaTheme="minorEastAsia"/>
        </w:rPr>
        <w:t xml:space="preserve"> ze zemědělské půdy</w:t>
      </w:r>
      <w:bookmarkEnd w:id="274"/>
    </w:p>
    <w:p w14:paraId="4F9D9D88" w14:textId="77777777" w:rsidR="0020191D" w:rsidRDefault="0020191D" w:rsidP="00DD3B19">
      <w:pPr>
        <w:pStyle w:val="UZEINormaln"/>
        <w:rPr>
          <w:rFonts w:eastAsiaTheme="minorEastAsia"/>
        </w:rPr>
      </w:pPr>
    </w:p>
    <w:p w14:paraId="61CA06D6" w14:textId="77777777" w:rsidR="0065394F" w:rsidRDefault="0020191D" w:rsidP="0065394F">
      <w:pPr>
        <w:pStyle w:val="UZEIOdrky"/>
        <w:numPr>
          <w:ilvl w:val="0"/>
          <w:numId w:val="0"/>
        </w:numPr>
      </w:pPr>
      <w:r w:rsidRPr="00B96B9F">
        <w:lastRenderedPageBreak/>
        <w:t xml:space="preserve">Emise oxidu dusného ze zemědělství v ČR mírně poklesly, především v poslední dekádě minulého století, vzhledem ke snížení spotřeby minerálních hnojiv (podle ČSÚ bylo v roce 1989 spotřebováno 233,7 kg čistých živin na ha zemědělské půdy, v roce 2000 pouze 84,4 kg). V současné době ale zůstávají poměrně stabilní, přičemž spotřeba minerálních hnojiv v posledních letech </w:t>
      </w:r>
      <w:r>
        <w:t>kolísá mezi 130 a 140 kg</w:t>
      </w:r>
      <w:r w:rsidRPr="00B96B9F">
        <w:t xml:space="preserve"> (v </w:t>
      </w:r>
      <w:r>
        <w:t xml:space="preserve">posledním </w:t>
      </w:r>
      <w:r w:rsidRPr="00B96B9F">
        <w:t xml:space="preserve">roce </w:t>
      </w:r>
      <w:r>
        <w:t>2019/</w:t>
      </w:r>
      <w:r w:rsidRPr="00B96B9F">
        <w:t>20</w:t>
      </w:r>
      <w:r>
        <w:t>20</w:t>
      </w:r>
      <w:r w:rsidRPr="00B96B9F">
        <w:t xml:space="preserve"> bylo spotřebováno 13</w:t>
      </w:r>
      <w:r>
        <w:t>4</w:t>
      </w:r>
      <w:r w:rsidRPr="00B96B9F">
        <w:t> kg minerálních hnojiv na 1 ha obhospodařované zemědělské půdy). Období sucha a vysokých teplot snižují produkci zemědělských plodin a tím také využitelnost dusíku dodávaného v minerální formě.</w:t>
      </w:r>
      <w:r w:rsidR="00A96E2A">
        <w:t xml:space="preserve"> </w:t>
      </w:r>
    </w:p>
    <w:p w14:paraId="68600D60" w14:textId="1059C6A1" w:rsidR="0020191D" w:rsidRPr="00B96B9F" w:rsidRDefault="00A96E2A" w:rsidP="0065394F">
      <w:pPr>
        <w:pStyle w:val="UZEIOdrky"/>
        <w:numPr>
          <w:ilvl w:val="0"/>
          <w:numId w:val="0"/>
        </w:numPr>
      </w:pPr>
      <w:r>
        <w:t>Co se týče dusíkatých minerálních hnojiv, spotřeba</w:t>
      </w:r>
      <w:r w:rsidR="002E6D60">
        <w:t xml:space="preserve"> </w:t>
      </w:r>
      <w:r w:rsidR="0020191D" w:rsidRPr="00B96B9F">
        <w:t>v </w:t>
      </w:r>
      <w:r w:rsidR="007C3100">
        <w:t>mezidobí</w:t>
      </w:r>
      <w:r w:rsidR="0020191D" w:rsidRPr="00B96B9F">
        <w:t xml:space="preserve"> mezi hospodářskými roky 2002/2003 a 201</w:t>
      </w:r>
      <w:r w:rsidR="0020191D">
        <w:t>9</w:t>
      </w:r>
      <w:r w:rsidR="0020191D" w:rsidRPr="00B96B9F">
        <w:t>/20</w:t>
      </w:r>
      <w:r w:rsidR="0020191D">
        <w:t>20</w:t>
      </w:r>
      <w:r w:rsidR="0020191D" w:rsidRPr="00B96B9F">
        <w:t xml:space="preserve"> </w:t>
      </w:r>
      <w:r w:rsidR="007C3100">
        <w:t>se zvýšila</w:t>
      </w:r>
      <w:r w:rsidR="0020191D" w:rsidRPr="00B96B9F">
        <w:t xml:space="preserve"> o 5</w:t>
      </w:r>
      <w:r w:rsidR="0020191D">
        <w:t>3</w:t>
      </w:r>
      <w:r w:rsidR="0020191D" w:rsidRPr="00B96B9F">
        <w:t xml:space="preserve"> % na hektar obhospodařované zemědělské </w:t>
      </w:r>
      <w:r w:rsidR="007C3100" w:rsidRPr="00B96B9F">
        <w:t>půdy</w:t>
      </w:r>
      <w:r w:rsidR="007C3100" w:rsidRPr="00B96B9F">
        <w:t xml:space="preserve"> </w:t>
      </w:r>
      <w:r w:rsidR="007C3100" w:rsidRPr="00B96B9F">
        <w:t>(podle ČSÚ</w:t>
      </w:r>
      <w:r w:rsidR="007C3100">
        <w:t>)</w:t>
      </w:r>
      <w:r w:rsidR="0020191D" w:rsidRPr="00B96B9F">
        <w:t xml:space="preserve">. S tím souvisí také problematika kontaminace povrchových a podpovrchových vod, neboť dusičnany jsou hlavními zdroji plošného znečištění vod ze zemědělství. </w:t>
      </w:r>
      <w:r w:rsidR="0020191D" w:rsidRPr="00B96B9F">
        <w:rPr>
          <w:szCs w:val="22"/>
        </w:rPr>
        <w:t>Do p</w:t>
      </w:r>
      <w:r w:rsidR="0020191D" w:rsidRPr="00B96B9F">
        <w:rPr>
          <w:rFonts w:asciiTheme="minorHAnsi" w:hAnsiTheme="minorHAnsi" w:cstheme="minorBidi"/>
          <w:szCs w:val="22"/>
        </w:rPr>
        <w:t>ů</w:t>
      </w:r>
      <w:r w:rsidR="0020191D" w:rsidRPr="00B96B9F">
        <w:rPr>
          <w:szCs w:val="22"/>
        </w:rPr>
        <w:t>dy se dusík dostává hlavn</w:t>
      </w:r>
      <w:r w:rsidR="0020191D" w:rsidRPr="00B96B9F">
        <w:rPr>
          <w:rFonts w:asciiTheme="minorHAnsi" w:hAnsiTheme="minorHAnsi" w:cstheme="minorBidi"/>
          <w:szCs w:val="22"/>
        </w:rPr>
        <w:t>ě</w:t>
      </w:r>
      <w:r w:rsidR="0020191D" w:rsidRPr="00B96B9F">
        <w:rPr>
          <w:szCs w:val="22"/>
        </w:rPr>
        <w:t xml:space="preserve"> aplikací dusíkatých hnojiv.</w:t>
      </w:r>
      <w:r w:rsidR="0020191D" w:rsidRPr="00B96B9F">
        <w:t xml:space="preserve"> </w:t>
      </w:r>
      <w:r w:rsidR="0020191D" w:rsidRPr="00B96B9F">
        <w:rPr>
          <w:szCs w:val="22"/>
        </w:rPr>
        <w:t>Významným zdrojem organických i anorganických slou</w:t>
      </w:r>
      <w:r w:rsidR="0020191D" w:rsidRPr="00B96B9F">
        <w:rPr>
          <w:rFonts w:asciiTheme="minorHAnsi" w:hAnsiTheme="minorHAnsi" w:cstheme="minorBidi"/>
          <w:szCs w:val="22"/>
        </w:rPr>
        <w:t>č</w:t>
      </w:r>
      <w:r w:rsidR="0020191D" w:rsidRPr="00B96B9F">
        <w:rPr>
          <w:szCs w:val="22"/>
        </w:rPr>
        <w:t>enin dusíku ve vodách jsou odpady ze zem</w:t>
      </w:r>
      <w:r w:rsidR="0020191D" w:rsidRPr="00B96B9F">
        <w:rPr>
          <w:rFonts w:asciiTheme="minorHAnsi" w:hAnsiTheme="minorHAnsi" w:cstheme="minorBidi"/>
          <w:szCs w:val="22"/>
        </w:rPr>
        <w:t>ě</w:t>
      </w:r>
      <w:r w:rsidR="0020191D" w:rsidRPr="00B96B9F">
        <w:rPr>
          <w:szCs w:val="22"/>
        </w:rPr>
        <w:t>d</w:t>
      </w:r>
      <w:r w:rsidR="0020191D" w:rsidRPr="00B96B9F">
        <w:rPr>
          <w:rFonts w:asciiTheme="minorHAnsi" w:hAnsiTheme="minorHAnsi" w:cstheme="minorBidi"/>
          <w:szCs w:val="22"/>
        </w:rPr>
        <w:t>ě</w:t>
      </w:r>
      <w:r w:rsidR="0020191D" w:rsidRPr="00B96B9F">
        <w:rPr>
          <w:szCs w:val="22"/>
        </w:rPr>
        <w:t>lství (z živo</w:t>
      </w:r>
      <w:r w:rsidR="0020191D" w:rsidRPr="00B96B9F">
        <w:rPr>
          <w:rFonts w:asciiTheme="minorHAnsi" w:hAnsiTheme="minorHAnsi" w:cstheme="minorBidi"/>
          <w:szCs w:val="22"/>
        </w:rPr>
        <w:t>č</w:t>
      </w:r>
      <w:r w:rsidR="0020191D" w:rsidRPr="00B96B9F">
        <w:rPr>
          <w:szCs w:val="22"/>
        </w:rPr>
        <w:t>išné výroby a splachy z obd</w:t>
      </w:r>
      <w:r w:rsidR="0020191D" w:rsidRPr="00B96B9F">
        <w:rPr>
          <w:rFonts w:asciiTheme="minorHAnsi" w:hAnsiTheme="minorHAnsi" w:cstheme="minorBidi"/>
          <w:szCs w:val="22"/>
        </w:rPr>
        <w:t>ě</w:t>
      </w:r>
      <w:r w:rsidR="0020191D" w:rsidRPr="00B96B9F">
        <w:rPr>
          <w:szCs w:val="22"/>
        </w:rPr>
        <w:t>lávané p</w:t>
      </w:r>
      <w:r w:rsidR="0020191D" w:rsidRPr="00B96B9F">
        <w:rPr>
          <w:rFonts w:asciiTheme="minorHAnsi" w:hAnsiTheme="minorHAnsi" w:cstheme="minorBidi"/>
          <w:szCs w:val="22"/>
        </w:rPr>
        <w:t>ů</w:t>
      </w:r>
      <w:r w:rsidR="0020191D" w:rsidRPr="00B96B9F">
        <w:rPr>
          <w:szCs w:val="22"/>
        </w:rPr>
        <w:t>dy hnojené dusíkatými hnojivy)</w:t>
      </w:r>
      <w:r w:rsidR="0020191D" w:rsidRPr="00B96B9F">
        <w:t>. Vyšší úroveň minerálního hnojení znamená také vyšší ztráty živin, ať vyplavením do spodních vrstev půdy, anebo tvorbou nerozpustných sloučenin, z nichž rostliny nemohou potřebné živiny čerpat. Vyplavení nadbytečných živin může způsobit i kontaminaci vodních zdrojů (Vrba a Huleš, 2007).</w:t>
      </w:r>
    </w:p>
    <w:p w14:paraId="47EE03A7" w14:textId="2A4B5619" w:rsidR="0020191D" w:rsidRPr="00B96B9F" w:rsidRDefault="0020191D" w:rsidP="0065394F">
      <w:pPr>
        <w:pStyle w:val="UZEIOdrky"/>
        <w:numPr>
          <w:ilvl w:val="0"/>
          <w:numId w:val="0"/>
        </w:numPr>
      </w:pPr>
      <w:r w:rsidRPr="00B96B9F">
        <w:t>Celkové roční emise methanu (CH</w:t>
      </w:r>
      <w:r w:rsidRPr="00B96B9F">
        <w:rPr>
          <w:vertAlign w:val="subscript"/>
        </w:rPr>
        <w:t>4</w:t>
      </w:r>
      <w:r w:rsidRPr="00B96B9F">
        <w:t>) a oxidu dusného (N</w:t>
      </w:r>
      <w:r w:rsidRPr="00B96B9F">
        <w:rPr>
          <w:vertAlign w:val="subscript"/>
        </w:rPr>
        <w:t>2</w:t>
      </w:r>
      <w:r w:rsidRPr="00B96B9F">
        <w:t>O) ze zemědělství (UNFCCC sektor 4) v roce 2017 činily 8 149,67 kt CO</w:t>
      </w:r>
      <w:r w:rsidRPr="00B96B9F">
        <w:rPr>
          <w:vertAlign w:val="subscript"/>
        </w:rPr>
        <w:t xml:space="preserve">2ekv. </w:t>
      </w:r>
      <w:r w:rsidRPr="00B96B9F">
        <w:t xml:space="preserve">Podíl zemědělství (včetně půd) na celkových čistých emisích v roce 2017 dosáhl 6,66 % (Výsledky národních inventarizací (NIR a CRF pro státy Dodatku I) dostupné na </w:t>
      </w:r>
      <w:hyperlink r:id="rId22" w:history="1">
        <w:r w:rsidRPr="00B96B9F">
          <w:rPr>
            <w:rStyle w:val="Hypertextovodkaz"/>
            <w:rFonts w:eastAsiaTheme="minorEastAsia"/>
          </w:rPr>
          <w:t>https://unfccc.int/</w:t>
        </w:r>
      </w:hyperlink>
      <w:r w:rsidRPr="00B96B9F">
        <w:t>)</w:t>
      </w:r>
    </w:p>
    <w:p w14:paraId="110EE71A" w14:textId="77777777" w:rsidR="0020191D" w:rsidRPr="00B96B9F" w:rsidRDefault="0020191D" w:rsidP="0065394F">
      <w:pPr>
        <w:pStyle w:val="UZEIOdrky"/>
        <w:numPr>
          <w:ilvl w:val="0"/>
          <w:numId w:val="0"/>
        </w:numPr>
      </w:pPr>
      <w:r w:rsidRPr="00B96B9F">
        <w:t>Emise NH</w:t>
      </w:r>
      <w:r w:rsidRPr="00B96B9F">
        <w:rPr>
          <w:vertAlign w:val="subscript"/>
        </w:rPr>
        <w:t>3</w:t>
      </w:r>
      <w:r w:rsidRPr="00B96B9F">
        <w:t xml:space="preserve"> se od roku 1990 výrazně snížily (o 62 %) především z důvodu velkého poklesu stavů hospodářských zvířat (v porovnání s rokem 1990 je podle ČSÚ populace skotu k 1. 4. 2019 na úrovni 40 %, populace prasat dosahuje pouze 32 % a stavy drůbeže dosahují 72 %) a dále aplikací nejlepších dostupných technik. V České republice se ročně uvolní okolo 70 tis. tun emisí amoniaku – v roce 2017 dosáhlo celkové množství emisí hodnoty 67,0 kt a v roce 2018 to bylo 71,8 kt.</w:t>
      </w:r>
    </w:p>
    <w:p w14:paraId="03C4843A" w14:textId="77777777" w:rsidR="0020191D" w:rsidRPr="00B96B9F" w:rsidRDefault="0020191D" w:rsidP="0065394F">
      <w:pPr>
        <w:pStyle w:val="UZEIOdrky"/>
        <w:numPr>
          <w:ilvl w:val="0"/>
          <w:numId w:val="0"/>
        </w:numPr>
      </w:pPr>
      <w:r w:rsidRPr="00B96B9F">
        <w:t>V posledních letech se stavy zvířat stabilizovaly, ale je potřeba výrazné podpory – podle tiskové zprávy MZe ze dne 7. 11. 2018 k tomuto účelu vznikly nové národní dotace směřující na rozvoj živočišné výroby (např. dotační titul 20.C. Zlepšení životních podmínek v chovu prasat), dále významně vzrostla podpora welfare hospodářských zvířat a alokované finanční prostředky byly významně navýšeny, což předpovídá navýšení stavů.</w:t>
      </w:r>
    </w:p>
    <w:p w14:paraId="251145E4" w14:textId="77777777" w:rsidR="0020191D" w:rsidRPr="00B96B9F" w:rsidRDefault="0020191D" w:rsidP="0065394F">
      <w:pPr>
        <w:pStyle w:val="UZEIOdrky"/>
        <w:numPr>
          <w:ilvl w:val="0"/>
          <w:numId w:val="0"/>
        </w:numPr>
      </w:pPr>
      <w:r w:rsidRPr="00B96B9F">
        <w:t xml:space="preserve">V roce 2016 činil podíl sektorů „chovy hospodářských zvířat a živočišná hnojiva aplikovaná na půdu“ na celkových emisích amoniaku 62 %, přičemž klesl ze 77 % v roce 2000. V důsledku toho se zvýšil podíl sektoru „aplikace minerálních dusíkatých hnojiv“ ze 17 % v roce 2000 na 28 % v roce 2016. </w:t>
      </w:r>
    </w:p>
    <w:p w14:paraId="22B304BC" w14:textId="6F314AFA" w:rsidR="0020191D" w:rsidRPr="00B96B9F" w:rsidRDefault="0020191D" w:rsidP="0065394F">
      <w:pPr>
        <w:pStyle w:val="UZEIOdrky"/>
        <w:numPr>
          <w:ilvl w:val="0"/>
          <w:numId w:val="0"/>
        </w:numPr>
      </w:pPr>
      <w:r w:rsidRPr="00B96B9F">
        <w:t>Vývoj emisí NH</w:t>
      </w:r>
      <w:r w:rsidRPr="00B96B9F">
        <w:rPr>
          <w:vertAlign w:val="subscript"/>
        </w:rPr>
        <w:t>3</w:t>
      </w:r>
      <w:r w:rsidRPr="00B96B9F">
        <w:t xml:space="preserve"> a podíl jednotlivých sektorů je vyčíslen v tabulkách </w:t>
      </w:r>
      <w:r>
        <w:t>40</w:t>
      </w:r>
      <w:r w:rsidRPr="00B96B9F">
        <w:t>–</w:t>
      </w:r>
      <w:r>
        <w:t>42</w:t>
      </w:r>
      <w:r w:rsidRPr="00B96B9F">
        <w:t>.</w:t>
      </w:r>
    </w:p>
    <w:p w14:paraId="048B7EA3" w14:textId="25EC66E6" w:rsidR="0020191D" w:rsidRPr="00B96B9F" w:rsidRDefault="0020191D" w:rsidP="0020191D">
      <w:pPr>
        <w:pStyle w:val="UZEITaB"/>
        <w:keepNext/>
      </w:pPr>
      <w:bookmarkStart w:id="283" w:name="_Toc81088057"/>
      <w:bookmarkStart w:id="284" w:name="_Toc81749899"/>
      <w:bookmarkStart w:id="285" w:name="_Toc94181591"/>
      <w:r w:rsidRPr="00B96B9F">
        <w:t>Celkové národní emise amoniaku v ČR v letech 2009-2019 (v tunách za rok)</w:t>
      </w:r>
      <w:bookmarkEnd w:id="283"/>
      <w:bookmarkEnd w:id="284"/>
      <w:bookmarkEnd w:id="285"/>
    </w:p>
    <w:tbl>
      <w:tblPr>
        <w:tblW w:w="9981" w:type="dxa"/>
        <w:tblInd w:w="-25" w:type="dxa"/>
        <w:tblLayout w:type="fixed"/>
        <w:tblCellMar>
          <w:left w:w="70" w:type="dxa"/>
          <w:right w:w="70" w:type="dxa"/>
        </w:tblCellMar>
        <w:tblLook w:val="04A0" w:firstRow="1" w:lastRow="0" w:firstColumn="1" w:lastColumn="0" w:noHBand="0" w:noVBand="1"/>
      </w:tblPr>
      <w:tblGrid>
        <w:gridCol w:w="1246"/>
        <w:gridCol w:w="794"/>
        <w:gridCol w:w="794"/>
        <w:gridCol w:w="794"/>
        <w:gridCol w:w="794"/>
        <w:gridCol w:w="794"/>
        <w:gridCol w:w="794"/>
        <w:gridCol w:w="794"/>
        <w:gridCol w:w="794"/>
        <w:gridCol w:w="794"/>
        <w:gridCol w:w="695"/>
        <w:gridCol w:w="100"/>
        <w:gridCol w:w="794"/>
      </w:tblGrid>
      <w:tr w:rsidR="0020191D" w:rsidRPr="00B96B9F" w14:paraId="307F4ECC" w14:textId="77777777" w:rsidTr="007C4202">
        <w:trPr>
          <w:trHeight w:val="566"/>
        </w:trPr>
        <w:tc>
          <w:tcPr>
            <w:tcW w:w="1246" w:type="dxa"/>
            <w:tcBorders>
              <w:top w:val="single" w:sz="4" w:space="0" w:color="auto"/>
              <w:left w:val="single" w:sz="8" w:space="0" w:color="auto"/>
              <w:bottom w:val="single" w:sz="4" w:space="0" w:color="auto"/>
              <w:right w:val="single" w:sz="4" w:space="0" w:color="auto"/>
            </w:tcBorders>
            <w:shd w:val="clear" w:color="auto" w:fill="D9D9D9"/>
            <w:noWrap/>
            <w:vAlign w:val="center"/>
          </w:tcPr>
          <w:p w14:paraId="7685E291" w14:textId="77777777" w:rsidR="0020191D" w:rsidRPr="00DF2196" w:rsidRDefault="0020191D" w:rsidP="007C4202">
            <w:pPr>
              <w:pStyle w:val="UZEINormaln"/>
              <w:keepNext/>
              <w:spacing w:before="0" w:after="0"/>
              <w:rPr>
                <w:b/>
                <w:sz w:val="22"/>
                <w:szCs w:val="22"/>
              </w:rPr>
            </w:pPr>
            <w:r w:rsidRPr="00DF2196">
              <w:rPr>
                <w:b/>
                <w:sz w:val="22"/>
                <w:szCs w:val="22"/>
              </w:rPr>
              <w:t>Emise / rok (t)</w:t>
            </w:r>
          </w:p>
        </w:tc>
        <w:tc>
          <w:tcPr>
            <w:tcW w:w="794" w:type="dxa"/>
            <w:tcBorders>
              <w:top w:val="single" w:sz="4" w:space="0" w:color="auto"/>
              <w:left w:val="nil"/>
              <w:bottom w:val="single" w:sz="4" w:space="0" w:color="auto"/>
              <w:right w:val="single" w:sz="4" w:space="0" w:color="auto"/>
            </w:tcBorders>
            <w:shd w:val="clear" w:color="auto" w:fill="D9D9D9"/>
            <w:vAlign w:val="center"/>
          </w:tcPr>
          <w:p w14:paraId="0951CD17" w14:textId="77777777" w:rsidR="0020191D" w:rsidRPr="00DF2196" w:rsidRDefault="0020191D" w:rsidP="007C4202">
            <w:pPr>
              <w:pStyle w:val="UZEINormaln"/>
              <w:keepNext/>
              <w:spacing w:before="0" w:after="0"/>
              <w:rPr>
                <w:b/>
                <w:sz w:val="22"/>
                <w:szCs w:val="22"/>
              </w:rPr>
            </w:pPr>
            <w:r w:rsidRPr="00DF2196">
              <w:rPr>
                <w:b/>
                <w:sz w:val="22"/>
                <w:szCs w:val="22"/>
              </w:rPr>
              <w:t>2009</w:t>
            </w:r>
          </w:p>
        </w:tc>
        <w:tc>
          <w:tcPr>
            <w:tcW w:w="794" w:type="dxa"/>
            <w:tcBorders>
              <w:top w:val="single" w:sz="4" w:space="0" w:color="auto"/>
              <w:left w:val="single" w:sz="4" w:space="0" w:color="auto"/>
              <w:bottom w:val="single" w:sz="4" w:space="0" w:color="auto"/>
              <w:right w:val="single" w:sz="4" w:space="0" w:color="auto"/>
            </w:tcBorders>
            <w:shd w:val="clear" w:color="auto" w:fill="D9D9D9"/>
            <w:noWrap/>
            <w:vAlign w:val="center"/>
          </w:tcPr>
          <w:p w14:paraId="22359AF0" w14:textId="77777777" w:rsidR="0020191D" w:rsidRPr="00DF2196" w:rsidRDefault="0020191D" w:rsidP="007C4202">
            <w:pPr>
              <w:pStyle w:val="UZEINormaln"/>
              <w:keepNext/>
              <w:spacing w:before="0" w:after="0"/>
              <w:rPr>
                <w:b/>
                <w:sz w:val="22"/>
                <w:szCs w:val="22"/>
              </w:rPr>
            </w:pPr>
            <w:r w:rsidRPr="00DF2196">
              <w:rPr>
                <w:b/>
                <w:sz w:val="22"/>
                <w:szCs w:val="22"/>
              </w:rPr>
              <w:t>2010</w:t>
            </w:r>
          </w:p>
        </w:tc>
        <w:tc>
          <w:tcPr>
            <w:tcW w:w="794" w:type="dxa"/>
            <w:tcBorders>
              <w:top w:val="single" w:sz="4" w:space="0" w:color="auto"/>
              <w:left w:val="nil"/>
              <w:bottom w:val="single" w:sz="4" w:space="0" w:color="auto"/>
              <w:right w:val="single" w:sz="4" w:space="0" w:color="auto"/>
            </w:tcBorders>
            <w:shd w:val="clear" w:color="auto" w:fill="D9D9D9"/>
            <w:noWrap/>
            <w:vAlign w:val="center"/>
          </w:tcPr>
          <w:p w14:paraId="7D85A9C6" w14:textId="77777777" w:rsidR="0020191D" w:rsidRPr="00DF2196" w:rsidRDefault="0020191D" w:rsidP="007C4202">
            <w:pPr>
              <w:pStyle w:val="UZEINormaln"/>
              <w:keepNext/>
              <w:spacing w:before="0" w:after="0"/>
              <w:rPr>
                <w:b/>
                <w:sz w:val="22"/>
                <w:szCs w:val="22"/>
              </w:rPr>
            </w:pPr>
            <w:r w:rsidRPr="00DF2196">
              <w:rPr>
                <w:b/>
                <w:sz w:val="22"/>
                <w:szCs w:val="22"/>
              </w:rPr>
              <w:t>2011</w:t>
            </w:r>
          </w:p>
        </w:tc>
        <w:tc>
          <w:tcPr>
            <w:tcW w:w="794" w:type="dxa"/>
            <w:tcBorders>
              <w:top w:val="single" w:sz="4" w:space="0" w:color="auto"/>
              <w:left w:val="nil"/>
              <w:bottom w:val="single" w:sz="4" w:space="0" w:color="auto"/>
              <w:right w:val="single" w:sz="4" w:space="0" w:color="auto"/>
            </w:tcBorders>
            <w:shd w:val="clear" w:color="auto" w:fill="D9D9D9"/>
            <w:noWrap/>
            <w:vAlign w:val="center"/>
          </w:tcPr>
          <w:p w14:paraId="0BCF00CD" w14:textId="77777777" w:rsidR="0020191D" w:rsidRPr="00DF2196" w:rsidRDefault="0020191D" w:rsidP="007C4202">
            <w:pPr>
              <w:pStyle w:val="UZEINormaln"/>
              <w:keepNext/>
              <w:spacing w:before="0" w:after="0"/>
              <w:rPr>
                <w:b/>
                <w:sz w:val="22"/>
                <w:szCs w:val="22"/>
              </w:rPr>
            </w:pPr>
            <w:r w:rsidRPr="00DF2196">
              <w:rPr>
                <w:b/>
                <w:sz w:val="22"/>
                <w:szCs w:val="22"/>
              </w:rPr>
              <w:t>2012</w:t>
            </w:r>
          </w:p>
        </w:tc>
        <w:tc>
          <w:tcPr>
            <w:tcW w:w="794" w:type="dxa"/>
            <w:tcBorders>
              <w:top w:val="single" w:sz="4" w:space="0" w:color="auto"/>
              <w:left w:val="nil"/>
              <w:bottom w:val="single" w:sz="4" w:space="0" w:color="auto"/>
              <w:right w:val="single" w:sz="4" w:space="0" w:color="auto"/>
            </w:tcBorders>
            <w:shd w:val="clear" w:color="auto" w:fill="D9D9D9"/>
            <w:noWrap/>
            <w:vAlign w:val="center"/>
          </w:tcPr>
          <w:p w14:paraId="1F5E734B" w14:textId="77777777" w:rsidR="0020191D" w:rsidRPr="00DF2196" w:rsidRDefault="0020191D" w:rsidP="007C4202">
            <w:pPr>
              <w:pStyle w:val="UZEINormaln"/>
              <w:keepNext/>
              <w:spacing w:before="0" w:after="0"/>
              <w:rPr>
                <w:b/>
                <w:sz w:val="22"/>
                <w:szCs w:val="22"/>
              </w:rPr>
            </w:pPr>
            <w:r w:rsidRPr="00DF2196">
              <w:rPr>
                <w:b/>
                <w:sz w:val="22"/>
                <w:szCs w:val="22"/>
              </w:rPr>
              <w:t>2013</w:t>
            </w:r>
          </w:p>
        </w:tc>
        <w:tc>
          <w:tcPr>
            <w:tcW w:w="794" w:type="dxa"/>
            <w:tcBorders>
              <w:top w:val="single" w:sz="4" w:space="0" w:color="auto"/>
              <w:left w:val="nil"/>
              <w:bottom w:val="single" w:sz="4" w:space="0" w:color="auto"/>
              <w:right w:val="single" w:sz="4" w:space="0" w:color="auto"/>
            </w:tcBorders>
            <w:shd w:val="clear" w:color="auto" w:fill="D9D9D9"/>
            <w:noWrap/>
            <w:vAlign w:val="center"/>
          </w:tcPr>
          <w:p w14:paraId="0579CE47" w14:textId="77777777" w:rsidR="0020191D" w:rsidRPr="00DF2196" w:rsidRDefault="0020191D" w:rsidP="007C4202">
            <w:pPr>
              <w:pStyle w:val="UZEINormaln"/>
              <w:keepNext/>
              <w:spacing w:before="0" w:after="0"/>
              <w:rPr>
                <w:b/>
                <w:sz w:val="22"/>
                <w:szCs w:val="22"/>
              </w:rPr>
            </w:pPr>
            <w:r w:rsidRPr="00DF2196">
              <w:rPr>
                <w:b/>
                <w:sz w:val="22"/>
                <w:szCs w:val="22"/>
              </w:rPr>
              <w:t>2014</w:t>
            </w:r>
          </w:p>
        </w:tc>
        <w:tc>
          <w:tcPr>
            <w:tcW w:w="794" w:type="dxa"/>
            <w:tcBorders>
              <w:top w:val="single" w:sz="4" w:space="0" w:color="auto"/>
              <w:left w:val="nil"/>
              <w:bottom w:val="single" w:sz="4" w:space="0" w:color="auto"/>
              <w:right w:val="single" w:sz="4" w:space="0" w:color="auto"/>
            </w:tcBorders>
            <w:shd w:val="clear" w:color="auto" w:fill="D9D9D9"/>
            <w:noWrap/>
            <w:vAlign w:val="center"/>
          </w:tcPr>
          <w:p w14:paraId="2CEB3EF4" w14:textId="77777777" w:rsidR="0020191D" w:rsidRPr="00DF2196" w:rsidRDefault="0020191D" w:rsidP="007C4202">
            <w:pPr>
              <w:pStyle w:val="UZEINormaln"/>
              <w:keepNext/>
              <w:spacing w:before="0" w:after="0"/>
              <w:rPr>
                <w:b/>
                <w:sz w:val="22"/>
                <w:szCs w:val="22"/>
              </w:rPr>
            </w:pPr>
            <w:r w:rsidRPr="00DF2196">
              <w:rPr>
                <w:b/>
                <w:sz w:val="22"/>
                <w:szCs w:val="22"/>
              </w:rPr>
              <w:t>2015</w:t>
            </w:r>
          </w:p>
        </w:tc>
        <w:tc>
          <w:tcPr>
            <w:tcW w:w="794" w:type="dxa"/>
            <w:tcBorders>
              <w:top w:val="single" w:sz="4" w:space="0" w:color="auto"/>
              <w:left w:val="nil"/>
              <w:bottom w:val="single" w:sz="4" w:space="0" w:color="auto"/>
              <w:right w:val="single" w:sz="4" w:space="0" w:color="auto"/>
            </w:tcBorders>
            <w:shd w:val="clear" w:color="auto" w:fill="D9D9D9"/>
            <w:noWrap/>
            <w:vAlign w:val="center"/>
          </w:tcPr>
          <w:p w14:paraId="57DAE337" w14:textId="77777777" w:rsidR="0020191D" w:rsidRPr="00DF2196" w:rsidRDefault="0020191D" w:rsidP="007C4202">
            <w:pPr>
              <w:pStyle w:val="UZEINormaln"/>
              <w:keepNext/>
              <w:spacing w:before="0" w:after="0"/>
              <w:rPr>
                <w:b/>
                <w:sz w:val="22"/>
                <w:szCs w:val="22"/>
              </w:rPr>
            </w:pPr>
            <w:r w:rsidRPr="00DF2196">
              <w:rPr>
                <w:b/>
                <w:sz w:val="22"/>
                <w:szCs w:val="22"/>
              </w:rPr>
              <w:t>2016</w:t>
            </w:r>
          </w:p>
        </w:tc>
        <w:tc>
          <w:tcPr>
            <w:tcW w:w="794" w:type="dxa"/>
            <w:tcBorders>
              <w:top w:val="single" w:sz="4" w:space="0" w:color="auto"/>
              <w:left w:val="nil"/>
              <w:bottom w:val="single" w:sz="4" w:space="0" w:color="auto"/>
              <w:right w:val="single" w:sz="4" w:space="0" w:color="auto"/>
            </w:tcBorders>
            <w:shd w:val="clear" w:color="auto" w:fill="D9D9D9"/>
            <w:noWrap/>
            <w:vAlign w:val="center"/>
          </w:tcPr>
          <w:p w14:paraId="034BA740" w14:textId="77777777" w:rsidR="0020191D" w:rsidRPr="00DF2196" w:rsidRDefault="0020191D" w:rsidP="007C4202">
            <w:pPr>
              <w:pStyle w:val="UZEINormaln"/>
              <w:keepNext/>
              <w:spacing w:before="0" w:after="0"/>
              <w:rPr>
                <w:b/>
                <w:sz w:val="22"/>
                <w:szCs w:val="22"/>
              </w:rPr>
            </w:pPr>
            <w:r w:rsidRPr="00DF2196">
              <w:rPr>
                <w:b/>
                <w:sz w:val="22"/>
                <w:szCs w:val="22"/>
              </w:rPr>
              <w:t>2017</w:t>
            </w:r>
          </w:p>
        </w:tc>
        <w:tc>
          <w:tcPr>
            <w:tcW w:w="795" w:type="dxa"/>
            <w:gridSpan w:val="2"/>
            <w:tcBorders>
              <w:top w:val="single" w:sz="4" w:space="0" w:color="auto"/>
              <w:left w:val="nil"/>
              <w:bottom w:val="single" w:sz="4" w:space="0" w:color="auto"/>
              <w:right w:val="single" w:sz="8" w:space="0" w:color="auto"/>
            </w:tcBorders>
            <w:shd w:val="clear" w:color="auto" w:fill="D9D9D9"/>
            <w:noWrap/>
            <w:vAlign w:val="center"/>
          </w:tcPr>
          <w:p w14:paraId="085BF5CE" w14:textId="77777777" w:rsidR="0020191D" w:rsidRPr="00DF2196" w:rsidRDefault="0020191D" w:rsidP="007C4202">
            <w:pPr>
              <w:pStyle w:val="UZEINormaln"/>
              <w:keepNext/>
              <w:spacing w:before="0" w:after="0"/>
              <w:rPr>
                <w:b/>
                <w:sz w:val="22"/>
                <w:szCs w:val="22"/>
              </w:rPr>
            </w:pPr>
            <w:r w:rsidRPr="00DF2196">
              <w:rPr>
                <w:b/>
                <w:sz w:val="22"/>
                <w:szCs w:val="22"/>
              </w:rPr>
              <w:t>2018</w:t>
            </w:r>
          </w:p>
        </w:tc>
        <w:tc>
          <w:tcPr>
            <w:tcW w:w="794" w:type="dxa"/>
            <w:tcBorders>
              <w:top w:val="single" w:sz="4" w:space="0" w:color="auto"/>
              <w:left w:val="nil"/>
              <w:bottom w:val="single" w:sz="4" w:space="0" w:color="auto"/>
              <w:right w:val="single" w:sz="8" w:space="0" w:color="auto"/>
            </w:tcBorders>
            <w:shd w:val="clear" w:color="auto" w:fill="D9D9D9"/>
            <w:vAlign w:val="center"/>
          </w:tcPr>
          <w:p w14:paraId="4AF1921D" w14:textId="77777777" w:rsidR="0020191D" w:rsidRPr="00DF2196" w:rsidRDefault="0020191D" w:rsidP="007C4202">
            <w:pPr>
              <w:pStyle w:val="UZEINormaln"/>
              <w:keepNext/>
              <w:spacing w:before="0" w:after="0"/>
              <w:rPr>
                <w:b/>
                <w:sz w:val="22"/>
                <w:szCs w:val="22"/>
              </w:rPr>
            </w:pPr>
            <w:r w:rsidRPr="00DF2196">
              <w:rPr>
                <w:b/>
                <w:sz w:val="22"/>
                <w:szCs w:val="22"/>
              </w:rPr>
              <w:t>2019</w:t>
            </w:r>
            <w:r w:rsidRPr="00DF2196">
              <w:rPr>
                <w:b/>
                <w:sz w:val="22"/>
                <w:szCs w:val="22"/>
                <w:vertAlign w:val="superscript"/>
              </w:rPr>
              <w:t>1)</w:t>
            </w:r>
          </w:p>
        </w:tc>
      </w:tr>
      <w:tr w:rsidR="0020191D" w:rsidRPr="00B96B9F" w14:paraId="70CAB035" w14:textId="77777777" w:rsidTr="007C4202">
        <w:trPr>
          <w:trHeight w:val="566"/>
        </w:trPr>
        <w:tc>
          <w:tcPr>
            <w:tcW w:w="1246" w:type="dxa"/>
            <w:tcBorders>
              <w:top w:val="nil"/>
              <w:left w:val="single" w:sz="8" w:space="0" w:color="auto"/>
              <w:bottom w:val="single" w:sz="4" w:space="0" w:color="auto"/>
              <w:right w:val="single" w:sz="4" w:space="0" w:color="auto"/>
            </w:tcBorders>
            <w:shd w:val="clear" w:color="auto" w:fill="auto"/>
            <w:noWrap/>
            <w:vAlign w:val="center"/>
            <w:hideMark/>
          </w:tcPr>
          <w:p w14:paraId="1EFEC4B9" w14:textId="77777777" w:rsidR="0020191D" w:rsidRPr="00DF2196" w:rsidRDefault="0020191D" w:rsidP="007C4202">
            <w:pPr>
              <w:pStyle w:val="UZEINormaln"/>
              <w:spacing w:before="0" w:after="0"/>
              <w:rPr>
                <w:sz w:val="22"/>
                <w:szCs w:val="22"/>
              </w:rPr>
            </w:pPr>
            <w:r w:rsidRPr="00DF2196">
              <w:rPr>
                <w:sz w:val="22"/>
                <w:szCs w:val="22"/>
              </w:rPr>
              <w:t>Celkové emise NH</w:t>
            </w:r>
            <w:r w:rsidRPr="00DF2196">
              <w:rPr>
                <w:sz w:val="22"/>
                <w:szCs w:val="22"/>
                <w:vertAlign w:val="subscript"/>
              </w:rPr>
              <w:t>3</w:t>
            </w:r>
            <w:r w:rsidRPr="00DF2196">
              <w:rPr>
                <w:sz w:val="22"/>
                <w:szCs w:val="22"/>
              </w:rPr>
              <w:t xml:space="preserve"> v ČR</w:t>
            </w:r>
          </w:p>
        </w:tc>
        <w:tc>
          <w:tcPr>
            <w:tcW w:w="794" w:type="dxa"/>
            <w:tcBorders>
              <w:top w:val="nil"/>
              <w:left w:val="nil"/>
              <w:bottom w:val="single" w:sz="4" w:space="0" w:color="auto"/>
              <w:right w:val="single" w:sz="4" w:space="0" w:color="auto"/>
            </w:tcBorders>
            <w:vAlign w:val="center"/>
          </w:tcPr>
          <w:p w14:paraId="2ECDB42A" w14:textId="77777777" w:rsidR="0020191D" w:rsidRPr="00DF2196" w:rsidRDefault="0020191D" w:rsidP="007C4202">
            <w:pPr>
              <w:pStyle w:val="UZEINormaln"/>
              <w:spacing w:before="0" w:after="0"/>
              <w:rPr>
                <w:sz w:val="22"/>
                <w:szCs w:val="22"/>
              </w:rPr>
            </w:pPr>
            <w:r w:rsidRPr="00DF2196">
              <w:rPr>
                <w:sz w:val="22"/>
                <w:szCs w:val="22"/>
              </w:rPr>
              <w:t>71 984</w:t>
            </w:r>
          </w:p>
        </w:tc>
        <w:tc>
          <w:tcPr>
            <w:tcW w:w="7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8589A0" w14:textId="77777777" w:rsidR="0020191D" w:rsidRPr="00DF2196" w:rsidRDefault="0020191D" w:rsidP="007C4202">
            <w:pPr>
              <w:pStyle w:val="UZEINormaln"/>
              <w:spacing w:before="0" w:after="0"/>
              <w:rPr>
                <w:sz w:val="22"/>
                <w:szCs w:val="22"/>
              </w:rPr>
            </w:pPr>
            <w:r w:rsidRPr="00DF2196">
              <w:rPr>
                <w:sz w:val="22"/>
                <w:szCs w:val="22"/>
              </w:rPr>
              <w:t>70 768</w:t>
            </w:r>
          </w:p>
        </w:tc>
        <w:tc>
          <w:tcPr>
            <w:tcW w:w="794" w:type="dxa"/>
            <w:tcBorders>
              <w:top w:val="nil"/>
              <w:left w:val="nil"/>
              <w:bottom w:val="single" w:sz="4" w:space="0" w:color="auto"/>
              <w:right w:val="single" w:sz="4" w:space="0" w:color="auto"/>
            </w:tcBorders>
            <w:shd w:val="clear" w:color="auto" w:fill="auto"/>
            <w:noWrap/>
            <w:vAlign w:val="center"/>
          </w:tcPr>
          <w:p w14:paraId="31FD74DA" w14:textId="77777777" w:rsidR="0020191D" w:rsidRPr="00DF2196" w:rsidRDefault="0020191D" w:rsidP="007C4202">
            <w:pPr>
              <w:pStyle w:val="UZEINormaln"/>
              <w:spacing w:before="0" w:after="0"/>
              <w:rPr>
                <w:sz w:val="22"/>
                <w:szCs w:val="22"/>
              </w:rPr>
            </w:pPr>
            <w:r w:rsidRPr="00DF2196">
              <w:rPr>
                <w:sz w:val="22"/>
                <w:szCs w:val="22"/>
              </w:rPr>
              <w:t>69 295</w:t>
            </w:r>
          </w:p>
        </w:tc>
        <w:tc>
          <w:tcPr>
            <w:tcW w:w="794" w:type="dxa"/>
            <w:tcBorders>
              <w:top w:val="nil"/>
              <w:left w:val="nil"/>
              <w:bottom w:val="single" w:sz="4" w:space="0" w:color="auto"/>
              <w:right w:val="single" w:sz="4" w:space="0" w:color="auto"/>
            </w:tcBorders>
            <w:shd w:val="clear" w:color="auto" w:fill="auto"/>
            <w:noWrap/>
            <w:vAlign w:val="center"/>
          </w:tcPr>
          <w:p w14:paraId="63788BBC" w14:textId="77777777" w:rsidR="0020191D" w:rsidRPr="00DF2196" w:rsidRDefault="0020191D" w:rsidP="007C4202">
            <w:pPr>
              <w:pStyle w:val="UZEINormaln"/>
              <w:spacing w:before="0" w:after="0"/>
              <w:rPr>
                <w:sz w:val="22"/>
                <w:szCs w:val="22"/>
              </w:rPr>
            </w:pPr>
            <w:r w:rsidRPr="00DF2196">
              <w:rPr>
                <w:sz w:val="22"/>
                <w:szCs w:val="22"/>
              </w:rPr>
              <w:t>69 037</w:t>
            </w:r>
          </w:p>
        </w:tc>
        <w:tc>
          <w:tcPr>
            <w:tcW w:w="794" w:type="dxa"/>
            <w:tcBorders>
              <w:top w:val="nil"/>
              <w:left w:val="nil"/>
              <w:bottom w:val="single" w:sz="4" w:space="0" w:color="auto"/>
              <w:right w:val="single" w:sz="4" w:space="0" w:color="auto"/>
            </w:tcBorders>
            <w:shd w:val="clear" w:color="auto" w:fill="auto"/>
            <w:noWrap/>
            <w:vAlign w:val="center"/>
          </w:tcPr>
          <w:p w14:paraId="2295A283" w14:textId="77777777" w:rsidR="0020191D" w:rsidRPr="00DF2196" w:rsidRDefault="0020191D" w:rsidP="007C4202">
            <w:pPr>
              <w:pStyle w:val="UZEINormaln"/>
              <w:spacing w:before="0" w:after="0"/>
              <w:rPr>
                <w:sz w:val="22"/>
                <w:szCs w:val="22"/>
              </w:rPr>
            </w:pPr>
            <w:r w:rsidRPr="00DF2196">
              <w:rPr>
                <w:sz w:val="22"/>
                <w:szCs w:val="22"/>
              </w:rPr>
              <w:t>70 711</w:t>
            </w:r>
          </w:p>
        </w:tc>
        <w:tc>
          <w:tcPr>
            <w:tcW w:w="794" w:type="dxa"/>
            <w:tcBorders>
              <w:top w:val="nil"/>
              <w:left w:val="nil"/>
              <w:bottom w:val="single" w:sz="4" w:space="0" w:color="auto"/>
              <w:right w:val="single" w:sz="4" w:space="0" w:color="auto"/>
            </w:tcBorders>
            <w:shd w:val="clear" w:color="auto" w:fill="auto"/>
            <w:noWrap/>
            <w:vAlign w:val="center"/>
          </w:tcPr>
          <w:p w14:paraId="61882EB0" w14:textId="77777777" w:rsidR="0020191D" w:rsidRPr="00DF2196" w:rsidRDefault="0020191D" w:rsidP="007C4202">
            <w:pPr>
              <w:pStyle w:val="UZEINormaln"/>
              <w:spacing w:before="0" w:after="0"/>
              <w:rPr>
                <w:sz w:val="22"/>
                <w:szCs w:val="22"/>
              </w:rPr>
            </w:pPr>
            <w:r w:rsidRPr="00DF2196">
              <w:rPr>
                <w:sz w:val="22"/>
                <w:szCs w:val="22"/>
              </w:rPr>
              <w:t>71 192</w:t>
            </w:r>
          </w:p>
        </w:tc>
        <w:tc>
          <w:tcPr>
            <w:tcW w:w="794" w:type="dxa"/>
            <w:tcBorders>
              <w:top w:val="nil"/>
              <w:left w:val="nil"/>
              <w:bottom w:val="single" w:sz="4" w:space="0" w:color="auto"/>
              <w:right w:val="single" w:sz="4" w:space="0" w:color="auto"/>
            </w:tcBorders>
            <w:shd w:val="clear" w:color="auto" w:fill="auto"/>
            <w:noWrap/>
            <w:vAlign w:val="center"/>
          </w:tcPr>
          <w:p w14:paraId="4074117F" w14:textId="77777777" w:rsidR="0020191D" w:rsidRPr="00DF2196" w:rsidRDefault="0020191D" w:rsidP="007C4202">
            <w:pPr>
              <w:pStyle w:val="UZEINormaln"/>
              <w:spacing w:before="0" w:after="0"/>
              <w:rPr>
                <w:sz w:val="22"/>
                <w:szCs w:val="22"/>
              </w:rPr>
            </w:pPr>
            <w:r w:rsidRPr="00DF2196">
              <w:rPr>
                <w:sz w:val="22"/>
                <w:szCs w:val="22"/>
              </w:rPr>
              <w:t>71 955</w:t>
            </w:r>
          </w:p>
        </w:tc>
        <w:tc>
          <w:tcPr>
            <w:tcW w:w="794" w:type="dxa"/>
            <w:tcBorders>
              <w:top w:val="nil"/>
              <w:left w:val="nil"/>
              <w:bottom w:val="single" w:sz="4" w:space="0" w:color="auto"/>
              <w:right w:val="single" w:sz="4" w:space="0" w:color="auto"/>
            </w:tcBorders>
            <w:shd w:val="clear" w:color="auto" w:fill="auto"/>
            <w:noWrap/>
            <w:vAlign w:val="center"/>
          </w:tcPr>
          <w:p w14:paraId="3FCFFCC5" w14:textId="77777777" w:rsidR="0020191D" w:rsidRPr="00DF2196" w:rsidRDefault="0020191D" w:rsidP="007C4202">
            <w:pPr>
              <w:pStyle w:val="UZEINormaln"/>
              <w:spacing w:before="0" w:after="0"/>
              <w:rPr>
                <w:sz w:val="22"/>
                <w:szCs w:val="22"/>
              </w:rPr>
            </w:pPr>
            <w:r w:rsidRPr="00DF2196">
              <w:rPr>
                <w:sz w:val="22"/>
                <w:szCs w:val="22"/>
              </w:rPr>
              <w:t>71 660</w:t>
            </w:r>
          </w:p>
        </w:tc>
        <w:tc>
          <w:tcPr>
            <w:tcW w:w="794" w:type="dxa"/>
            <w:tcBorders>
              <w:top w:val="nil"/>
              <w:left w:val="nil"/>
              <w:bottom w:val="single" w:sz="4" w:space="0" w:color="auto"/>
              <w:right w:val="single" w:sz="4" w:space="0" w:color="auto"/>
            </w:tcBorders>
            <w:shd w:val="clear" w:color="auto" w:fill="auto"/>
            <w:noWrap/>
            <w:vAlign w:val="center"/>
          </w:tcPr>
          <w:p w14:paraId="2920DDEC" w14:textId="77777777" w:rsidR="0020191D" w:rsidRPr="00DF2196" w:rsidRDefault="0020191D" w:rsidP="007C4202">
            <w:pPr>
              <w:pStyle w:val="UZEINormaln"/>
              <w:spacing w:before="0" w:after="0"/>
              <w:rPr>
                <w:sz w:val="22"/>
                <w:szCs w:val="22"/>
              </w:rPr>
            </w:pPr>
            <w:r w:rsidRPr="00DF2196">
              <w:rPr>
                <w:sz w:val="22"/>
                <w:szCs w:val="22"/>
              </w:rPr>
              <w:t>67 003</w:t>
            </w:r>
          </w:p>
        </w:tc>
        <w:tc>
          <w:tcPr>
            <w:tcW w:w="795" w:type="dxa"/>
            <w:gridSpan w:val="2"/>
            <w:tcBorders>
              <w:top w:val="nil"/>
              <w:left w:val="nil"/>
              <w:bottom w:val="single" w:sz="4" w:space="0" w:color="auto"/>
              <w:right w:val="single" w:sz="8" w:space="0" w:color="auto"/>
            </w:tcBorders>
            <w:shd w:val="clear" w:color="auto" w:fill="auto"/>
            <w:noWrap/>
            <w:vAlign w:val="center"/>
          </w:tcPr>
          <w:p w14:paraId="6CEE5DBB" w14:textId="77777777" w:rsidR="0020191D" w:rsidRPr="00DF2196" w:rsidRDefault="0020191D" w:rsidP="007C4202">
            <w:pPr>
              <w:pStyle w:val="UZEINormaln"/>
              <w:spacing w:before="0" w:after="0"/>
              <w:rPr>
                <w:sz w:val="22"/>
                <w:szCs w:val="22"/>
              </w:rPr>
            </w:pPr>
            <w:r w:rsidRPr="00DF2196">
              <w:rPr>
                <w:sz w:val="22"/>
                <w:szCs w:val="22"/>
              </w:rPr>
              <w:t>71 751</w:t>
            </w:r>
          </w:p>
        </w:tc>
        <w:tc>
          <w:tcPr>
            <w:tcW w:w="794" w:type="dxa"/>
            <w:tcBorders>
              <w:top w:val="nil"/>
              <w:left w:val="nil"/>
              <w:bottom w:val="single" w:sz="4" w:space="0" w:color="auto"/>
              <w:right w:val="single" w:sz="8" w:space="0" w:color="auto"/>
            </w:tcBorders>
            <w:vAlign w:val="center"/>
          </w:tcPr>
          <w:p w14:paraId="0F8EB537" w14:textId="77777777" w:rsidR="0020191D" w:rsidRPr="00DF2196" w:rsidRDefault="0020191D" w:rsidP="007C4202">
            <w:pPr>
              <w:pStyle w:val="UZEINormaln"/>
              <w:spacing w:before="0" w:after="0"/>
              <w:rPr>
                <w:sz w:val="22"/>
                <w:szCs w:val="22"/>
              </w:rPr>
            </w:pPr>
            <w:r w:rsidRPr="00DF2196">
              <w:rPr>
                <w:sz w:val="22"/>
                <w:szCs w:val="22"/>
              </w:rPr>
              <w:t>84,82 kt</w:t>
            </w:r>
          </w:p>
        </w:tc>
      </w:tr>
      <w:tr w:rsidR="0020191D" w:rsidRPr="002777EE" w14:paraId="150BB9CE" w14:textId="77777777" w:rsidTr="007C4202">
        <w:trPr>
          <w:gridAfter w:val="2"/>
          <w:wAfter w:w="894" w:type="dxa"/>
          <w:trHeight w:val="624"/>
        </w:trPr>
        <w:tc>
          <w:tcPr>
            <w:tcW w:w="9087" w:type="dxa"/>
            <w:gridSpan w:val="11"/>
            <w:tcBorders>
              <w:top w:val="single" w:sz="4" w:space="0" w:color="auto"/>
            </w:tcBorders>
            <w:shd w:val="clear" w:color="auto" w:fill="auto"/>
            <w:noWrap/>
            <w:vAlign w:val="center"/>
          </w:tcPr>
          <w:p w14:paraId="2AD6C80F" w14:textId="77777777" w:rsidR="0020191D" w:rsidRPr="00B96B9F" w:rsidRDefault="0020191D" w:rsidP="007C4202">
            <w:pPr>
              <w:pStyle w:val="UZEIZdroj"/>
              <w:rPr>
                <w:i w:val="0"/>
                <w:sz w:val="22"/>
              </w:rPr>
            </w:pPr>
            <w:r w:rsidRPr="00B96B9F">
              <w:rPr>
                <w:vertAlign w:val="superscript"/>
              </w:rPr>
              <w:t>1)</w:t>
            </w:r>
            <w:r w:rsidRPr="00B96B9F">
              <w:rPr>
                <w:i w:val="0"/>
                <w:sz w:val="22"/>
              </w:rPr>
              <w:t xml:space="preserve"> Údaj za rok 2019 vychází z publikace ČHMÚ (Czech informative inventory report 2021) a je uveden v kilotunách. Údaj je vyšší, protože patrně došlo ke změně metodiky.</w:t>
            </w:r>
          </w:p>
          <w:p w14:paraId="0CC5A305" w14:textId="77777777" w:rsidR="0020191D" w:rsidRPr="00B96B9F" w:rsidRDefault="0020191D" w:rsidP="007C4202">
            <w:pPr>
              <w:pStyle w:val="UZEIZdroj"/>
            </w:pPr>
            <w:r w:rsidRPr="00B96B9F">
              <w:t>Zdroj: Emisní bilance České republiky, ČHMÚ 2020 (</w:t>
            </w:r>
            <w:hyperlink r:id="rId23" w:history="1">
              <w:r w:rsidRPr="00B96B9F">
                <w:t>http://portal.chmi.cz/</w:t>
              </w:r>
            </w:hyperlink>
            <w:r w:rsidRPr="00B96B9F">
              <w:t>)</w:t>
            </w:r>
          </w:p>
        </w:tc>
      </w:tr>
    </w:tbl>
    <w:p w14:paraId="7DE3D625" w14:textId="77777777" w:rsidR="0020191D" w:rsidRPr="00B96B9F" w:rsidRDefault="0020191D" w:rsidP="0020191D">
      <w:pPr>
        <w:pStyle w:val="UZEINormaln"/>
      </w:pPr>
      <w:r w:rsidRPr="00B96B9F">
        <w:lastRenderedPageBreak/>
        <w:t xml:space="preserve">Obrázek </w:t>
      </w:r>
      <w:r>
        <w:t>2</w:t>
      </w:r>
      <w:r w:rsidRPr="00B96B9F">
        <w:t xml:space="preserve"> ukazuje vývoj emisí amoniaku v letech 2000–2018 v České republice členěných podle významu zdrojů emisí amoniaku. Na obrázku je uvedena referenční hodnota emisí amoniaku pro rok 2005 (82,4 kt). Červená čára vyjadřuje český strop pro emise amoniaku pro rok 2020. Současná úroveň emisí amoniaku mezi roky 2000–2018 naznačuje potenciál pro splnění stropu pro emise amoniaku v roce 2020 </w:t>
      </w:r>
      <w:r w:rsidRPr="00B96B9F">
        <w:rPr>
          <w:i/>
          <w:iCs/>
        </w:rPr>
        <w:t>(ČHMÚ, 2020)</w:t>
      </w:r>
      <w:r w:rsidRPr="00B96B9F">
        <w:t>.</w:t>
      </w:r>
    </w:p>
    <w:p w14:paraId="289B4021" w14:textId="3E6E60F3" w:rsidR="0020191D" w:rsidRDefault="0020191D" w:rsidP="0020191D">
      <w:pPr>
        <w:pStyle w:val="UZEIZdroj"/>
        <w:keepNext/>
      </w:pPr>
      <w:r w:rsidRPr="00B96B9F">
        <w:rPr>
          <w:noProof/>
          <w:lang w:eastAsia="cs-CZ"/>
        </w:rPr>
        <w:drawing>
          <wp:inline distT="0" distB="0" distL="0" distR="0" wp14:anchorId="21A18543" wp14:editId="4C821CD4">
            <wp:extent cx="5759450" cy="3545840"/>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59450" cy="3545840"/>
                    </a:xfrm>
                    <a:prstGeom prst="rect">
                      <a:avLst/>
                    </a:prstGeom>
                  </pic:spPr>
                </pic:pic>
              </a:graphicData>
            </a:graphic>
          </wp:inline>
        </w:drawing>
      </w:r>
    </w:p>
    <w:p w14:paraId="66F80109" w14:textId="729C3BAB" w:rsidR="0020191D" w:rsidRDefault="0020191D" w:rsidP="0020191D">
      <w:pPr>
        <w:pStyle w:val="Titulek"/>
      </w:pPr>
      <w:bookmarkStart w:id="286" w:name="_Toc93583785"/>
      <w:r>
        <w:t xml:space="preserve">Obrázek </w:t>
      </w:r>
      <w:r>
        <w:fldChar w:fldCharType="begin"/>
      </w:r>
      <w:r>
        <w:instrText xml:space="preserve"> SEQ Obrázek \* ARABIC </w:instrText>
      </w:r>
      <w:r>
        <w:fldChar w:fldCharType="separate"/>
      </w:r>
      <w:r w:rsidR="000C4C46">
        <w:rPr>
          <w:noProof/>
        </w:rPr>
        <w:t>2</w:t>
      </w:r>
      <w:r>
        <w:fldChar w:fldCharType="end"/>
      </w:r>
      <w:r>
        <w:t xml:space="preserve"> </w:t>
      </w:r>
      <w:r w:rsidRPr="00B96B9F">
        <w:t>Vývoj emisí amoniaku v České republice mezi lety 2000–2018</w:t>
      </w:r>
      <w:bookmarkEnd w:id="286"/>
    </w:p>
    <w:p w14:paraId="534CA84F" w14:textId="77777777" w:rsidR="0020191D" w:rsidRPr="00B96B9F" w:rsidRDefault="0020191D" w:rsidP="0020191D">
      <w:pPr>
        <w:pStyle w:val="UZEIZdroj"/>
        <w:rPr>
          <w:i w:val="0"/>
          <w:szCs w:val="22"/>
        </w:rPr>
      </w:pPr>
      <w:r w:rsidRPr="00B96B9F">
        <w:rPr>
          <w:b/>
          <w:i w:val="0"/>
          <w:szCs w:val="22"/>
        </w:rPr>
        <w:t xml:space="preserve">Zdroj: </w:t>
      </w:r>
      <w:r w:rsidRPr="00B96B9F">
        <w:rPr>
          <w:i w:val="0"/>
          <w:szCs w:val="22"/>
        </w:rPr>
        <w:t>Česká zpráva o emisní inventuře v roce 2020, ČHMÚ 2020</w:t>
      </w:r>
    </w:p>
    <w:p w14:paraId="3EE1CA12" w14:textId="77777777" w:rsidR="0020191D" w:rsidRPr="00B96B9F" w:rsidRDefault="0020191D" w:rsidP="0020191D">
      <w:pPr>
        <w:pStyle w:val="UZEINormaln"/>
      </w:pPr>
      <w:r w:rsidRPr="00B96B9F">
        <w:t>Zemědělský sektor se skládá z následujících kategorií:</w:t>
      </w:r>
    </w:p>
    <w:p w14:paraId="7711F98A" w14:textId="77777777" w:rsidR="0020191D" w:rsidRPr="00B96B9F" w:rsidRDefault="0020191D" w:rsidP="0020191D">
      <w:pPr>
        <w:pStyle w:val="UZEIOdrky"/>
      </w:pPr>
      <w:r w:rsidRPr="00B96B9F">
        <w:t>3B Nakládání s hnojivy;</w:t>
      </w:r>
    </w:p>
    <w:p w14:paraId="079F1DA5" w14:textId="77777777" w:rsidR="0020191D" w:rsidRPr="00B96B9F" w:rsidRDefault="0020191D" w:rsidP="0020191D">
      <w:pPr>
        <w:pStyle w:val="UZEIOdrky"/>
      </w:pPr>
      <w:r w:rsidRPr="00B96B9F">
        <w:t>3Da1 Anorganická dusíkatá hnojiva (zahrnuje také aplikaci močoviny);</w:t>
      </w:r>
    </w:p>
    <w:p w14:paraId="7E40F5D0" w14:textId="77777777" w:rsidR="0020191D" w:rsidRPr="00B96B9F" w:rsidRDefault="0020191D" w:rsidP="0020191D">
      <w:pPr>
        <w:pStyle w:val="UZEIOdrky"/>
      </w:pPr>
      <w:r w:rsidRPr="00B96B9F">
        <w:t>3Da2a Statková hnojiva aplikovaná do půdy;</w:t>
      </w:r>
    </w:p>
    <w:p w14:paraId="1D233994" w14:textId="77777777" w:rsidR="0020191D" w:rsidRPr="00B96B9F" w:rsidRDefault="0020191D" w:rsidP="0020191D">
      <w:pPr>
        <w:pStyle w:val="UZEIOdrky"/>
      </w:pPr>
      <w:r w:rsidRPr="00B96B9F">
        <w:t>3Da3 Moč a hnůj z pasoucích se zvířat;</w:t>
      </w:r>
    </w:p>
    <w:p w14:paraId="6B64B6E8" w14:textId="77777777" w:rsidR="0020191D" w:rsidRPr="00B96B9F" w:rsidRDefault="0020191D" w:rsidP="0020191D">
      <w:pPr>
        <w:pStyle w:val="UZEIOdrky"/>
      </w:pPr>
      <w:r w:rsidRPr="00B96B9F">
        <w:t>3Dc Zemědělské operace na úrovni farmy včetně skladování, manipulace a přepravy zemědělských výrobků;</w:t>
      </w:r>
    </w:p>
    <w:p w14:paraId="11C9E1D0" w14:textId="77777777" w:rsidR="0020191D" w:rsidRPr="00B96B9F" w:rsidRDefault="0020191D" w:rsidP="0020191D">
      <w:pPr>
        <w:pStyle w:val="UZEIOdrky"/>
      </w:pPr>
      <w:r w:rsidRPr="00B96B9F">
        <w:t>3F Polní spalování zemědělských zbytků.</w:t>
      </w:r>
    </w:p>
    <w:p w14:paraId="08E8A209" w14:textId="77777777" w:rsidR="0020191D" w:rsidRPr="00B96B9F" w:rsidRDefault="0020191D" w:rsidP="0020191D">
      <w:pPr>
        <w:pStyle w:val="UZEIOdrky"/>
        <w:numPr>
          <w:ilvl w:val="0"/>
          <w:numId w:val="0"/>
        </w:numPr>
        <w:ind w:left="360"/>
      </w:pPr>
    </w:p>
    <w:p w14:paraId="5F9CF2F5" w14:textId="77777777" w:rsidR="0020191D" w:rsidRPr="00B96B9F" w:rsidRDefault="0020191D" w:rsidP="0020191D">
      <w:pPr>
        <w:pStyle w:val="UZEINormaln"/>
      </w:pPr>
      <w:r w:rsidRPr="00B96B9F">
        <w:t>Odvětví zemědělství je odpovědné za více než 85 % emisí NH</w:t>
      </w:r>
      <w:r w:rsidRPr="00B96B9F">
        <w:rPr>
          <w:vertAlign w:val="subscript"/>
        </w:rPr>
        <w:t>3</w:t>
      </w:r>
      <w:r w:rsidRPr="00B96B9F">
        <w:t xml:space="preserve"> v České republice. Emise z chovu zvířat představují podíl více než 62 % na celkové emisi amoniaku, zatímco aplikace hnojiv přispívá k asi 29 %. Ostatní odvětví, jako je spalování komunálního a průmyslového odpadu, přispívají přibližně 9 % do celkových emisí amoniaku.</w:t>
      </w:r>
    </w:p>
    <w:p w14:paraId="232189FB" w14:textId="77777777" w:rsidR="0020191D" w:rsidRPr="00B96B9F" w:rsidRDefault="0020191D" w:rsidP="0020191D">
      <w:pPr>
        <w:pStyle w:val="UZEINormaln"/>
      </w:pPr>
      <w:r w:rsidRPr="00B96B9F">
        <w:t>Emise NH</w:t>
      </w:r>
      <w:r w:rsidRPr="00B96B9F">
        <w:rPr>
          <w:vertAlign w:val="subscript"/>
        </w:rPr>
        <w:t>3</w:t>
      </w:r>
      <w:r w:rsidRPr="00B96B9F">
        <w:t xml:space="preserve"> se v letech 1990 až 2018 rychle snížily v důsledku výrazného snížení populace zvířat, zejména v případě chovu skotu. Zatímco produkce mléka na hlavu vzrostla, počet zvířat vykazoval klesající trend. V případě výroby vepřového masa také v posledním desetiletí rychle klesla množství chovných prasat a prasnic jako důsledek odbytové krize na trhu s prasaty. Nyní se v České republice očekává mírný nárůst produkce prasat.</w:t>
      </w:r>
      <w:r w:rsidRPr="00B96B9F">
        <w:rPr>
          <w:i/>
          <w:iCs/>
        </w:rPr>
        <w:t xml:space="preserve"> (ČHMÚ, 2020)</w:t>
      </w:r>
    </w:p>
    <w:p w14:paraId="58B72804" w14:textId="6B240CBF" w:rsidR="0020191D" w:rsidRPr="00B96B9F" w:rsidRDefault="0020191D" w:rsidP="0020191D">
      <w:pPr>
        <w:pStyle w:val="UZEITaB"/>
      </w:pPr>
      <w:bookmarkStart w:id="287" w:name="_Toc81088058"/>
      <w:bookmarkStart w:id="288" w:name="_Toc81749900"/>
      <w:bookmarkStart w:id="289" w:name="_Toc94181592"/>
      <w:r w:rsidRPr="00B96B9F">
        <w:lastRenderedPageBreak/>
        <w:t>Vývoj emisí NH</w:t>
      </w:r>
      <w:r w:rsidRPr="00B96B9F">
        <w:rPr>
          <w:vertAlign w:val="subscript"/>
        </w:rPr>
        <w:t>3</w:t>
      </w:r>
      <w:r w:rsidRPr="00B96B9F">
        <w:t xml:space="preserve"> v ČR v letech 1990-2018 podle sektoru GNFR (v kilotunách)</w:t>
      </w:r>
      <w:bookmarkEnd w:id="287"/>
      <w:bookmarkEnd w:id="288"/>
      <w:bookmarkEnd w:id="289"/>
    </w:p>
    <w:tbl>
      <w:tblPr>
        <w:tblW w:w="9673" w:type="dxa"/>
        <w:tblInd w:w="-10" w:type="dxa"/>
        <w:tblLayout w:type="fixed"/>
        <w:tblCellMar>
          <w:left w:w="70" w:type="dxa"/>
          <w:right w:w="70" w:type="dxa"/>
        </w:tblCellMar>
        <w:tblLook w:val="04A0" w:firstRow="1" w:lastRow="0" w:firstColumn="1" w:lastColumn="0" w:noHBand="0" w:noVBand="1"/>
      </w:tblPr>
      <w:tblGrid>
        <w:gridCol w:w="1766"/>
        <w:gridCol w:w="734"/>
        <w:gridCol w:w="734"/>
        <w:gridCol w:w="734"/>
        <w:gridCol w:w="732"/>
        <w:gridCol w:w="734"/>
        <w:gridCol w:w="657"/>
        <w:gridCol w:w="597"/>
        <w:gridCol w:w="597"/>
        <w:gridCol w:w="597"/>
        <w:gridCol w:w="597"/>
        <w:gridCol w:w="597"/>
        <w:gridCol w:w="597"/>
      </w:tblGrid>
      <w:tr w:rsidR="0020191D" w:rsidRPr="00B96B9F" w14:paraId="35A626A8" w14:textId="77777777" w:rsidTr="007C4202">
        <w:trPr>
          <w:trHeight w:val="424"/>
        </w:trPr>
        <w:tc>
          <w:tcPr>
            <w:tcW w:w="1766" w:type="dxa"/>
            <w:tcBorders>
              <w:top w:val="single" w:sz="4" w:space="0" w:color="auto"/>
              <w:left w:val="single" w:sz="4" w:space="0" w:color="auto"/>
              <w:bottom w:val="single" w:sz="8" w:space="0" w:color="auto"/>
              <w:right w:val="single" w:sz="4" w:space="0" w:color="auto"/>
            </w:tcBorders>
            <w:shd w:val="clear" w:color="auto" w:fill="D9D9D9"/>
            <w:noWrap/>
            <w:vAlign w:val="center"/>
            <w:hideMark/>
          </w:tcPr>
          <w:p w14:paraId="05870663" w14:textId="77777777" w:rsidR="0020191D" w:rsidRPr="00B96B9F" w:rsidRDefault="0020191D" w:rsidP="007C4202">
            <w:pPr>
              <w:pStyle w:val="UZEINormaln"/>
              <w:spacing w:before="0" w:after="0"/>
              <w:jc w:val="center"/>
              <w:rPr>
                <w:b/>
                <w:color w:val="000000"/>
                <w:sz w:val="20"/>
                <w:szCs w:val="20"/>
              </w:rPr>
            </w:pPr>
            <w:r w:rsidRPr="006D2843">
              <w:rPr>
                <w:b/>
                <w:sz w:val="22"/>
                <w:szCs w:val="22"/>
              </w:rPr>
              <w:t>Zdroj emisí / rok</w:t>
            </w:r>
          </w:p>
        </w:tc>
        <w:tc>
          <w:tcPr>
            <w:tcW w:w="734" w:type="dxa"/>
            <w:tcBorders>
              <w:top w:val="single" w:sz="4" w:space="0" w:color="auto"/>
              <w:left w:val="single" w:sz="4" w:space="0" w:color="auto"/>
              <w:bottom w:val="single" w:sz="8" w:space="0" w:color="auto"/>
              <w:right w:val="single" w:sz="4" w:space="0" w:color="auto"/>
            </w:tcBorders>
            <w:shd w:val="clear" w:color="auto" w:fill="D9D9D9"/>
            <w:vAlign w:val="center"/>
          </w:tcPr>
          <w:p w14:paraId="280CAAC8" w14:textId="77777777" w:rsidR="0020191D" w:rsidRPr="00B96B9F" w:rsidRDefault="0020191D" w:rsidP="007C4202">
            <w:pPr>
              <w:pStyle w:val="UZEINormaln"/>
              <w:spacing w:before="0" w:after="0"/>
              <w:jc w:val="center"/>
              <w:rPr>
                <w:b/>
                <w:color w:val="000000"/>
                <w:sz w:val="20"/>
                <w:szCs w:val="20"/>
              </w:rPr>
            </w:pPr>
            <w:r w:rsidRPr="006D2843">
              <w:rPr>
                <w:b/>
                <w:sz w:val="22"/>
                <w:szCs w:val="22"/>
              </w:rPr>
              <w:t>1990</w:t>
            </w:r>
          </w:p>
        </w:tc>
        <w:tc>
          <w:tcPr>
            <w:tcW w:w="734" w:type="dxa"/>
            <w:tcBorders>
              <w:top w:val="single" w:sz="4" w:space="0" w:color="auto"/>
              <w:left w:val="nil"/>
              <w:bottom w:val="nil"/>
              <w:right w:val="single" w:sz="4" w:space="0" w:color="auto"/>
            </w:tcBorders>
            <w:shd w:val="clear" w:color="auto" w:fill="D9D9D9"/>
            <w:noWrap/>
            <w:vAlign w:val="center"/>
            <w:hideMark/>
          </w:tcPr>
          <w:p w14:paraId="09007195" w14:textId="77777777" w:rsidR="0020191D" w:rsidRPr="00B96B9F" w:rsidRDefault="0020191D" w:rsidP="007C4202">
            <w:pPr>
              <w:pStyle w:val="UZEINormaln"/>
              <w:spacing w:before="0" w:after="0"/>
              <w:jc w:val="center"/>
              <w:rPr>
                <w:b/>
                <w:color w:val="000000"/>
                <w:sz w:val="20"/>
                <w:szCs w:val="20"/>
              </w:rPr>
            </w:pPr>
            <w:r w:rsidRPr="006D2843">
              <w:rPr>
                <w:b/>
                <w:sz w:val="22"/>
                <w:szCs w:val="22"/>
              </w:rPr>
              <w:t>2000</w:t>
            </w:r>
          </w:p>
        </w:tc>
        <w:tc>
          <w:tcPr>
            <w:tcW w:w="734" w:type="dxa"/>
            <w:tcBorders>
              <w:top w:val="single" w:sz="4" w:space="0" w:color="auto"/>
              <w:left w:val="nil"/>
              <w:bottom w:val="nil"/>
              <w:right w:val="single" w:sz="4" w:space="0" w:color="auto"/>
            </w:tcBorders>
            <w:shd w:val="clear" w:color="auto" w:fill="D9D9D9"/>
            <w:noWrap/>
            <w:vAlign w:val="center"/>
            <w:hideMark/>
          </w:tcPr>
          <w:p w14:paraId="71121A12" w14:textId="77777777" w:rsidR="0020191D" w:rsidRPr="00B96B9F" w:rsidRDefault="0020191D" w:rsidP="007C4202">
            <w:pPr>
              <w:pStyle w:val="UZEINormaln"/>
              <w:spacing w:before="0" w:after="0"/>
              <w:jc w:val="center"/>
              <w:rPr>
                <w:b/>
                <w:color w:val="000000"/>
                <w:sz w:val="20"/>
                <w:szCs w:val="20"/>
              </w:rPr>
            </w:pPr>
            <w:r w:rsidRPr="006D2843">
              <w:rPr>
                <w:b/>
                <w:sz w:val="22"/>
                <w:szCs w:val="22"/>
              </w:rPr>
              <w:t>2005</w:t>
            </w:r>
          </w:p>
        </w:tc>
        <w:tc>
          <w:tcPr>
            <w:tcW w:w="732" w:type="dxa"/>
            <w:tcBorders>
              <w:top w:val="single" w:sz="4" w:space="0" w:color="auto"/>
              <w:left w:val="nil"/>
              <w:bottom w:val="nil"/>
              <w:right w:val="single" w:sz="4" w:space="0" w:color="auto"/>
            </w:tcBorders>
            <w:shd w:val="clear" w:color="auto" w:fill="D9D9D9"/>
            <w:noWrap/>
            <w:vAlign w:val="center"/>
            <w:hideMark/>
          </w:tcPr>
          <w:p w14:paraId="5E7F268A" w14:textId="77777777" w:rsidR="0020191D" w:rsidRPr="00B96B9F" w:rsidRDefault="0020191D" w:rsidP="007C4202">
            <w:pPr>
              <w:pStyle w:val="UZEINormaln"/>
              <w:spacing w:before="0" w:after="0"/>
              <w:jc w:val="center"/>
              <w:rPr>
                <w:b/>
                <w:color w:val="000000"/>
                <w:sz w:val="20"/>
                <w:szCs w:val="20"/>
              </w:rPr>
            </w:pPr>
            <w:r w:rsidRPr="006D2843">
              <w:rPr>
                <w:b/>
                <w:sz w:val="22"/>
                <w:szCs w:val="22"/>
              </w:rPr>
              <w:t>2010</w:t>
            </w:r>
          </w:p>
        </w:tc>
        <w:tc>
          <w:tcPr>
            <w:tcW w:w="734" w:type="dxa"/>
            <w:tcBorders>
              <w:top w:val="single" w:sz="4" w:space="0" w:color="auto"/>
              <w:left w:val="nil"/>
              <w:bottom w:val="nil"/>
              <w:right w:val="single" w:sz="4" w:space="0" w:color="auto"/>
            </w:tcBorders>
            <w:shd w:val="clear" w:color="auto" w:fill="D9D9D9"/>
            <w:noWrap/>
            <w:vAlign w:val="center"/>
            <w:hideMark/>
          </w:tcPr>
          <w:p w14:paraId="4EF65BAA" w14:textId="77777777" w:rsidR="0020191D" w:rsidRPr="00B96B9F" w:rsidRDefault="0020191D" w:rsidP="007C4202">
            <w:pPr>
              <w:pStyle w:val="UZEINormaln"/>
              <w:spacing w:before="0" w:after="0"/>
              <w:jc w:val="center"/>
              <w:rPr>
                <w:b/>
                <w:color w:val="000000"/>
                <w:sz w:val="20"/>
                <w:szCs w:val="20"/>
              </w:rPr>
            </w:pPr>
            <w:r w:rsidRPr="006D2843">
              <w:rPr>
                <w:b/>
                <w:sz w:val="22"/>
                <w:szCs w:val="22"/>
              </w:rPr>
              <w:t>2011</w:t>
            </w:r>
          </w:p>
        </w:tc>
        <w:tc>
          <w:tcPr>
            <w:tcW w:w="657" w:type="dxa"/>
            <w:tcBorders>
              <w:top w:val="single" w:sz="4" w:space="0" w:color="auto"/>
              <w:left w:val="nil"/>
              <w:bottom w:val="nil"/>
              <w:right w:val="single" w:sz="4" w:space="0" w:color="auto"/>
            </w:tcBorders>
            <w:shd w:val="clear" w:color="auto" w:fill="D9D9D9"/>
            <w:noWrap/>
            <w:vAlign w:val="center"/>
            <w:hideMark/>
          </w:tcPr>
          <w:p w14:paraId="5C27794C" w14:textId="77777777" w:rsidR="0020191D" w:rsidRPr="00B96B9F" w:rsidRDefault="0020191D" w:rsidP="007C4202">
            <w:pPr>
              <w:pStyle w:val="UZEINormaln"/>
              <w:spacing w:before="0" w:after="0"/>
              <w:jc w:val="center"/>
              <w:rPr>
                <w:b/>
                <w:color w:val="000000"/>
                <w:sz w:val="20"/>
                <w:szCs w:val="20"/>
              </w:rPr>
            </w:pPr>
            <w:r w:rsidRPr="006D2843">
              <w:rPr>
                <w:b/>
                <w:sz w:val="22"/>
                <w:szCs w:val="22"/>
              </w:rPr>
              <w:t>2012</w:t>
            </w:r>
          </w:p>
        </w:tc>
        <w:tc>
          <w:tcPr>
            <w:tcW w:w="597" w:type="dxa"/>
            <w:tcBorders>
              <w:top w:val="single" w:sz="4" w:space="0" w:color="auto"/>
              <w:left w:val="nil"/>
              <w:bottom w:val="nil"/>
              <w:right w:val="single" w:sz="4" w:space="0" w:color="auto"/>
            </w:tcBorders>
            <w:shd w:val="clear" w:color="auto" w:fill="D9D9D9"/>
            <w:noWrap/>
            <w:vAlign w:val="center"/>
            <w:hideMark/>
          </w:tcPr>
          <w:p w14:paraId="71655211" w14:textId="77777777" w:rsidR="0020191D" w:rsidRPr="00B96B9F" w:rsidRDefault="0020191D" w:rsidP="007C4202">
            <w:pPr>
              <w:pStyle w:val="UZEINormaln"/>
              <w:spacing w:before="0" w:after="0"/>
              <w:jc w:val="center"/>
              <w:rPr>
                <w:b/>
                <w:color w:val="000000"/>
                <w:sz w:val="20"/>
                <w:szCs w:val="20"/>
              </w:rPr>
            </w:pPr>
            <w:r w:rsidRPr="006D2843">
              <w:rPr>
                <w:b/>
                <w:sz w:val="22"/>
                <w:szCs w:val="22"/>
              </w:rPr>
              <w:t>201</w:t>
            </w:r>
            <w:r w:rsidRPr="00B96B9F">
              <w:rPr>
                <w:b/>
                <w:color w:val="000000"/>
                <w:sz w:val="20"/>
                <w:szCs w:val="20"/>
              </w:rPr>
              <w:t>3</w:t>
            </w:r>
          </w:p>
        </w:tc>
        <w:tc>
          <w:tcPr>
            <w:tcW w:w="597" w:type="dxa"/>
            <w:tcBorders>
              <w:top w:val="single" w:sz="4" w:space="0" w:color="auto"/>
              <w:left w:val="nil"/>
              <w:bottom w:val="nil"/>
              <w:right w:val="single" w:sz="4" w:space="0" w:color="auto"/>
            </w:tcBorders>
            <w:shd w:val="clear" w:color="auto" w:fill="D9D9D9"/>
            <w:noWrap/>
            <w:vAlign w:val="center"/>
            <w:hideMark/>
          </w:tcPr>
          <w:p w14:paraId="570A40DF" w14:textId="77777777" w:rsidR="0020191D" w:rsidRPr="00B96B9F" w:rsidRDefault="0020191D" w:rsidP="007C4202">
            <w:pPr>
              <w:pStyle w:val="UZEINormaln"/>
              <w:spacing w:before="0" w:after="0"/>
              <w:jc w:val="center"/>
              <w:rPr>
                <w:b/>
                <w:color w:val="000000"/>
                <w:sz w:val="20"/>
                <w:szCs w:val="20"/>
              </w:rPr>
            </w:pPr>
            <w:r w:rsidRPr="006D2843">
              <w:rPr>
                <w:b/>
                <w:sz w:val="22"/>
                <w:szCs w:val="22"/>
              </w:rPr>
              <w:t>2014</w:t>
            </w:r>
          </w:p>
        </w:tc>
        <w:tc>
          <w:tcPr>
            <w:tcW w:w="597" w:type="dxa"/>
            <w:tcBorders>
              <w:top w:val="single" w:sz="4" w:space="0" w:color="auto"/>
              <w:left w:val="nil"/>
              <w:bottom w:val="nil"/>
              <w:right w:val="single" w:sz="4" w:space="0" w:color="auto"/>
            </w:tcBorders>
            <w:shd w:val="clear" w:color="auto" w:fill="D9D9D9"/>
            <w:noWrap/>
            <w:vAlign w:val="center"/>
            <w:hideMark/>
          </w:tcPr>
          <w:p w14:paraId="3F679E07" w14:textId="77777777" w:rsidR="0020191D" w:rsidRPr="00B96B9F" w:rsidRDefault="0020191D" w:rsidP="007C4202">
            <w:pPr>
              <w:pStyle w:val="UZEINormaln"/>
              <w:spacing w:before="0" w:after="0"/>
              <w:jc w:val="center"/>
              <w:rPr>
                <w:b/>
                <w:color w:val="000000"/>
                <w:sz w:val="20"/>
                <w:szCs w:val="20"/>
              </w:rPr>
            </w:pPr>
            <w:r w:rsidRPr="006D2843">
              <w:rPr>
                <w:b/>
                <w:sz w:val="22"/>
                <w:szCs w:val="22"/>
              </w:rPr>
              <w:t>2015</w:t>
            </w:r>
          </w:p>
        </w:tc>
        <w:tc>
          <w:tcPr>
            <w:tcW w:w="597" w:type="dxa"/>
            <w:tcBorders>
              <w:top w:val="single" w:sz="4" w:space="0" w:color="auto"/>
              <w:left w:val="nil"/>
              <w:bottom w:val="nil"/>
              <w:right w:val="single" w:sz="8" w:space="0" w:color="auto"/>
            </w:tcBorders>
            <w:shd w:val="clear" w:color="auto" w:fill="D9D9D9"/>
            <w:noWrap/>
            <w:vAlign w:val="center"/>
            <w:hideMark/>
          </w:tcPr>
          <w:p w14:paraId="0526456B" w14:textId="77777777" w:rsidR="0020191D" w:rsidRPr="00B96B9F" w:rsidRDefault="0020191D" w:rsidP="007C4202">
            <w:pPr>
              <w:pStyle w:val="UZEINormaln"/>
              <w:spacing w:before="0" w:after="0"/>
              <w:jc w:val="center"/>
              <w:rPr>
                <w:b/>
                <w:color w:val="000000"/>
                <w:sz w:val="20"/>
                <w:szCs w:val="20"/>
              </w:rPr>
            </w:pPr>
            <w:r w:rsidRPr="006D2843">
              <w:rPr>
                <w:b/>
                <w:sz w:val="22"/>
                <w:szCs w:val="22"/>
              </w:rPr>
              <w:t>2016</w:t>
            </w:r>
          </w:p>
        </w:tc>
        <w:tc>
          <w:tcPr>
            <w:tcW w:w="597" w:type="dxa"/>
            <w:tcBorders>
              <w:top w:val="single" w:sz="4" w:space="0" w:color="auto"/>
              <w:left w:val="nil"/>
              <w:bottom w:val="nil"/>
              <w:right w:val="single" w:sz="8" w:space="0" w:color="auto"/>
            </w:tcBorders>
            <w:shd w:val="clear" w:color="auto" w:fill="D9D9D9"/>
            <w:vAlign w:val="center"/>
          </w:tcPr>
          <w:p w14:paraId="2841C94D" w14:textId="77777777" w:rsidR="0020191D" w:rsidRPr="00B96B9F" w:rsidRDefault="0020191D" w:rsidP="007C4202">
            <w:pPr>
              <w:pStyle w:val="UZEINormaln"/>
              <w:spacing w:before="0" w:after="0"/>
              <w:jc w:val="center"/>
              <w:rPr>
                <w:b/>
                <w:color w:val="000000"/>
                <w:sz w:val="20"/>
                <w:szCs w:val="20"/>
              </w:rPr>
            </w:pPr>
            <w:r w:rsidRPr="006D2843">
              <w:rPr>
                <w:b/>
                <w:sz w:val="22"/>
                <w:szCs w:val="22"/>
              </w:rPr>
              <w:t>2017</w:t>
            </w:r>
          </w:p>
        </w:tc>
        <w:tc>
          <w:tcPr>
            <w:tcW w:w="597" w:type="dxa"/>
            <w:tcBorders>
              <w:top w:val="single" w:sz="4" w:space="0" w:color="auto"/>
              <w:left w:val="nil"/>
              <w:bottom w:val="nil"/>
              <w:right w:val="single" w:sz="8" w:space="0" w:color="auto"/>
            </w:tcBorders>
            <w:shd w:val="clear" w:color="auto" w:fill="D9D9D9"/>
            <w:vAlign w:val="center"/>
          </w:tcPr>
          <w:p w14:paraId="7ED467FC" w14:textId="77777777" w:rsidR="0020191D" w:rsidRPr="00B96B9F" w:rsidRDefault="0020191D" w:rsidP="007C4202">
            <w:pPr>
              <w:pStyle w:val="UZEINormaln"/>
              <w:spacing w:before="0" w:after="0"/>
              <w:jc w:val="center"/>
              <w:rPr>
                <w:b/>
                <w:color w:val="000000"/>
                <w:sz w:val="20"/>
                <w:szCs w:val="20"/>
              </w:rPr>
            </w:pPr>
            <w:r w:rsidRPr="006D2843">
              <w:rPr>
                <w:b/>
                <w:sz w:val="22"/>
                <w:szCs w:val="22"/>
              </w:rPr>
              <w:t>2018</w:t>
            </w:r>
          </w:p>
        </w:tc>
      </w:tr>
      <w:tr w:rsidR="0020191D" w:rsidRPr="00B96B9F" w14:paraId="48649E58" w14:textId="77777777" w:rsidTr="007C4202">
        <w:trPr>
          <w:trHeight w:val="377"/>
        </w:trPr>
        <w:tc>
          <w:tcPr>
            <w:tcW w:w="1766"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4225DB77" w14:textId="77777777" w:rsidR="0020191D" w:rsidRPr="00B96B9F" w:rsidRDefault="0020191D" w:rsidP="007C4202">
            <w:pPr>
              <w:pStyle w:val="UZEINormaln"/>
              <w:spacing w:before="0" w:after="0"/>
              <w:rPr>
                <w:color w:val="000000"/>
                <w:sz w:val="20"/>
                <w:szCs w:val="20"/>
              </w:rPr>
            </w:pPr>
            <w:r w:rsidRPr="006D2843">
              <w:rPr>
                <w:sz w:val="22"/>
                <w:szCs w:val="22"/>
              </w:rPr>
              <w:t>Chovy hospodářských zvířat</w:t>
            </w:r>
          </w:p>
        </w:tc>
        <w:tc>
          <w:tcPr>
            <w:tcW w:w="734" w:type="dxa"/>
            <w:tcBorders>
              <w:top w:val="single" w:sz="8" w:space="0" w:color="auto"/>
              <w:left w:val="single" w:sz="8" w:space="0" w:color="auto"/>
              <w:bottom w:val="single" w:sz="4" w:space="0" w:color="auto"/>
              <w:right w:val="single" w:sz="4" w:space="0" w:color="auto"/>
            </w:tcBorders>
            <w:shd w:val="clear" w:color="auto" w:fill="auto"/>
            <w:vAlign w:val="center"/>
          </w:tcPr>
          <w:p w14:paraId="4161354E" w14:textId="77777777" w:rsidR="0020191D" w:rsidRPr="001039C6" w:rsidRDefault="0020191D" w:rsidP="007C4202">
            <w:pPr>
              <w:pStyle w:val="UZEINormaln"/>
              <w:spacing w:before="0" w:after="0"/>
              <w:rPr>
                <w:color w:val="000000"/>
                <w:sz w:val="20"/>
                <w:szCs w:val="20"/>
              </w:rPr>
            </w:pPr>
            <w:r w:rsidRPr="001039C6">
              <w:rPr>
                <w:sz w:val="20"/>
                <w:szCs w:val="20"/>
              </w:rPr>
              <w:t>-</w:t>
            </w:r>
          </w:p>
        </w:tc>
        <w:tc>
          <w:tcPr>
            <w:tcW w:w="734" w:type="dxa"/>
            <w:tcBorders>
              <w:top w:val="single" w:sz="8" w:space="0" w:color="auto"/>
              <w:left w:val="nil"/>
              <w:bottom w:val="single" w:sz="4" w:space="0" w:color="auto"/>
              <w:right w:val="single" w:sz="4" w:space="0" w:color="auto"/>
            </w:tcBorders>
            <w:shd w:val="clear" w:color="auto" w:fill="auto"/>
            <w:noWrap/>
            <w:vAlign w:val="center"/>
            <w:hideMark/>
          </w:tcPr>
          <w:p w14:paraId="4946B957" w14:textId="77777777" w:rsidR="0020191D" w:rsidRPr="001039C6" w:rsidRDefault="0020191D" w:rsidP="007C4202">
            <w:pPr>
              <w:pStyle w:val="UZEINormaln"/>
              <w:spacing w:before="0" w:after="0"/>
              <w:rPr>
                <w:color w:val="000000"/>
                <w:sz w:val="20"/>
                <w:szCs w:val="20"/>
              </w:rPr>
            </w:pPr>
            <w:r w:rsidRPr="001039C6">
              <w:rPr>
                <w:sz w:val="20"/>
                <w:szCs w:val="20"/>
              </w:rPr>
              <w:t>39,15</w:t>
            </w:r>
          </w:p>
        </w:tc>
        <w:tc>
          <w:tcPr>
            <w:tcW w:w="734" w:type="dxa"/>
            <w:tcBorders>
              <w:top w:val="single" w:sz="8" w:space="0" w:color="auto"/>
              <w:left w:val="nil"/>
              <w:bottom w:val="single" w:sz="4" w:space="0" w:color="auto"/>
              <w:right w:val="single" w:sz="4" w:space="0" w:color="auto"/>
            </w:tcBorders>
            <w:shd w:val="clear" w:color="auto" w:fill="auto"/>
            <w:noWrap/>
            <w:vAlign w:val="center"/>
            <w:hideMark/>
          </w:tcPr>
          <w:p w14:paraId="39412DCD" w14:textId="77777777" w:rsidR="0020191D" w:rsidRPr="001039C6" w:rsidRDefault="0020191D" w:rsidP="007C4202">
            <w:pPr>
              <w:pStyle w:val="UZEINormaln"/>
              <w:spacing w:before="0" w:after="0"/>
              <w:rPr>
                <w:color w:val="000000"/>
                <w:sz w:val="20"/>
                <w:szCs w:val="20"/>
              </w:rPr>
            </w:pPr>
            <w:r w:rsidRPr="001039C6">
              <w:rPr>
                <w:sz w:val="20"/>
                <w:szCs w:val="20"/>
              </w:rPr>
              <w:t>33,60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486DA3B" w14:textId="77777777" w:rsidR="0020191D" w:rsidRPr="001039C6" w:rsidRDefault="0020191D" w:rsidP="007C4202">
            <w:pPr>
              <w:pStyle w:val="UZEINormaln"/>
              <w:spacing w:before="0" w:after="0"/>
              <w:rPr>
                <w:color w:val="000000"/>
                <w:sz w:val="20"/>
                <w:szCs w:val="20"/>
              </w:rPr>
            </w:pPr>
            <w:r w:rsidRPr="001039C6">
              <w:rPr>
                <w:sz w:val="20"/>
                <w:szCs w:val="20"/>
              </w:rPr>
              <w:t>29,75</w:t>
            </w:r>
          </w:p>
        </w:tc>
        <w:tc>
          <w:tcPr>
            <w:tcW w:w="734" w:type="dxa"/>
            <w:tcBorders>
              <w:top w:val="single" w:sz="8" w:space="0" w:color="auto"/>
              <w:left w:val="nil"/>
              <w:bottom w:val="single" w:sz="4" w:space="0" w:color="auto"/>
              <w:right w:val="single" w:sz="4" w:space="0" w:color="auto"/>
            </w:tcBorders>
            <w:shd w:val="clear" w:color="auto" w:fill="auto"/>
            <w:noWrap/>
            <w:vAlign w:val="center"/>
            <w:hideMark/>
          </w:tcPr>
          <w:p w14:paraId="146ECB39" w14:textId="77777777" w:rsidR="0020191D" w:rsidRPr="001039C6" w:rsidRDefault="0020191D" w:rsidP="007C4202">
            <w:pPr>
              <w:pStyle w:val="UZEINormaln"/>
              <w:spacing w:before="0" w:after="0"/>
              <w:rPr>
                <w:color w:val="000000"/>
                <w:sz w:val="20"/>
                <w:szCs w:val="20"/>
              </w:rPr>
            </w:pPr>
            <w:r w:rsidRPr="001039C6">
              <w:rPr>
                <w:sz w:val="20"/>
                <w:szCs w:val="20"/>
              </w:rPr>
              <w:t>28,61</w:t>
            </w:r>
          </w:p>
        </w:tc>
        <w:tc>
          <w:tcPr>
            <w:tcW w:w="657" w:type="dxa"/>
            <w:tcBorders>
              <w:top w:val="single" w:sz="8" w:space="0" w:color="auto"/>
              <w:left w:val="nil"/>
              <w:bottom w:val="single" w:sz="4" w:space="0" w:color="auto"/>
              <w:right w:val="single" w:sz="4" w:space="0" w:color="auto"/>
            </w:tcBorders>
            <w:shd w:val="clear" w:color="auto" w:fill="auto"/>
            <w:noWrap/>
            <w:vAlign w:val="center"/>
            <w:hideMark/>
          </w:tcPr>
          <w:p w14:paraId="79770F9D" w14:textId="77777777" w:rsidR="0020191D" w:rsidRPr="001039C6" w:rsidRDefault="0020191D" w:rsidP="007C4202">
            <w:pPr>
              <w:pStyle w:val="UZEINormaln"/>
              <w:spacing w:before="0" w:after="0"/>
              <w:rPr>
                <w:color w:val="000000"/>
                <w:sz w:val="20"/>
                <w:szCs w:val="20"/>
              </w:rPr>
            </w:pPr>
            <w:r w:rsidRPr="001039C6">
              <w:rPr>
                <w:sz w:val="20"/>
                <w:szCs w:val="20"/>
              </w:rPr>
              <w:t>28,10</w:t>
            </w:r>
          </w:p>
        </w:tc>
        <w:tc>
          <w:tcPr>
            <w:tcW w:w="597" w:type="dxa"/>
            <w:tcBorders>
              <w:top w:val="single" w:sz="8" w:space="0" w:color="auto"/>
              <w:left w:val="nil"/>
              <w:bottom w:val="single" w:sz="4" w:space="0" w:color="auto"/>
              <w:right w:val="single" w:sz="4" w:space="0" w:color="auto"/>
            </w:tcBorders>
            <w:shd w:val="clear" w:color="auto" w:fill="auto"/>
            <w:noWrap/>
            <w:vAlign w:val="center"/>
            <w:hideMark/>
          </w:tcPr>
          <w:p w14:paraId="679EE5EE" w14:textId="77777777" w:rsidR="0020191D" w:rsidRPr="001039C6" w:rsidRDefault="0020191D" w:rsidP="007C4202">
            <w:pPr>
              <w:pStyle w:val="UZEINormaln"/>
              <w:spacing w:before="0" w:after="0"/>
              <w:rPr>
                <w:color w:val="000000"/>
                <w:sz w:val="20"/>
                <w:szCs w:val="20"/>
              </w:rPr>
            </w:pPr>
            <w:r w:rsidRPr="001039C6">
              <w:rPr>
                <w:sz w:val="20"/>
                <w:szCs w:val="20"/>
              </w:rPr>
              <w:t>28,69</w:t>
            </w:r>
          </w:p>
        </w:tc>
        <w:tc>
          <w:tcPr>
            <w:tcW w:w="597" w:type="dxa"/>
            <w:tcBorders>
              <w:top w:val="single" w:sz="8" w:space="0" w:color="auto"/>
              <w:left w:val="nil"/>
              <w:bottom w:val="single" w:sz="4" w:space="0" w:color="auto"/>
              <w:right w:val="single" w:sz="4" w:space="0" w:color="auto"/>
            </w:tcBorders>
            <w:shd w:val="clear" w:color="auto" w:fill="auto"/>
            <w:noWrap/>
            <w:vAlign w:val="center"/>
            <w:hideMark/>
          </w:tcPr>
          <w:p w14:paraId="55E7CAE1" w14:textId="77777777" w:rsidR="0020191D" w:rsidRPr="001039C6" w:rsidRDefault="0020191D" w:rsidP="007C4202">
            <w:pPr>
              <w:pStyle w:val="UZEINormaln"/>
              <w:spacing w:before="0" w:after="0"/>
              <w:rPr>
                <w:color w:val="000000"/>
                <w:sz w:val="20"/>
                <w:szCs w:val="20"/>
              </w:rPr>
            </w:pPr>
            <w:r w:rsidRPr="001039C6">
              <w:rPr>
                <w:sz w:val="20"/>
                <w:szCs w:val="20"/>
              </w:rPr>
              <w:t>28,68</w:t>
            </w:r>
          </w:p>
        </w:tc>
        <w:tc>
          <w:tcPr>
            <w:tcW w:w="597" w:type="dxa"/>
            <w:tcBorders>
              <w:top w:val="single" w:sz="8" w:space="0" w:color="auto"/>
              <w:left w:val="nil"/>
              <w:bottom w:val="single" w:sz="4" w:space="0" w:color="auto"/>
              <w:right w:val="single" w:sz="4" w:space="0" w:color="auto"/>
            </w:tcBorders>
            <w:shd w:val="clear" w:color="auto" w:fill="auto"/>
            <w:noWrap/>
            <w:vAlign w:val="center"/>
            <w:hideMark/>
          </w:tcPr>
          <w:p w14:paraId="385EF766" w14:textId="77777777" w:rsidR="0020191D" w:rsidRPr="001039C6" w:rsidRDefault="0020191D" w:rsidP="007C4202">
            <w:pPr>
              <w:pStyle w:val="UZEINormaln"/>
              <w:spacing w:before="0" w:after="0"/>
              <w:rPr>
                <w:color w:val="000000"/>
                <w:sz w:val="20"/>
                <w:szCs w:val="20"/>
              </w:rPr>
            </w:pPr>
            <w:r w:rsidRPr="001039C6">
              <w:rPr>
                <w:sz w:val="20"/>
                <w:szCs w:val="20"/>
              </w:rPr>
              <w:t>29,22</w:t>
            </w:r>
          </w:p>
        </w:tc>
        <w:tc>
          <w:tcPr>
            <w:tcW w:w="597" w:type="dxa"/>
            <w:tcBorders>
              <w:top w:val="single" w:sz="8" w:space="0" w:color="auto"/>
              <w:left w:val="nil"/>
              <w:bottom w:val="single" w:sz="4" w:space="0" w:color="auto"/>
              <w:right w:val="single" w:sz="8" w:space="0" w:color="auto"/>
            </w:tcBorders>
            <w:shd w:val="clear" w:color="auto" w:fill="auto"/>
            <w:noWrap/>
            <w:vAlign w:val="center"/>
            <w:hideMark/>
          </w:tcPr>
          <w:p w14:paraId="2E45DFD8" w14:textId="77777777" w:rsidR="0020191D" w:rsidRPr="001039C6" w:rsidRDefault="0020191D" w:rsidP="007C4202">
            <w:pPr>
              <w:pStyle w:val="UZEINormaln"/>
              <w:spacing w:before="0" w:after="0"/>
              <w:rPr>
                <w:color w:val="000000"/>
                <w:sz w:val="20"/>
                <w:szCs w:val="20"/>
              </w:rPr>
            </w:pPr>
            <w:r w:rsidRPr="001039C6">
              <w:rPr>
                <w:sz w:val="20"/>
                <w:szCs w:val="20"/>
              </w:rPr>
              <w:t>29,26</w:t>
            </w:r>
          </w:p>
        </w:tc>
        <w:tc>
          <w:tcPr>
            <w:tcW w:w="597" w:type="dxa"/>
            <w:tcBorders>
              <w:top w:val="single" w:sz="8" w:space="0" w:color="auto"/>
              <w:left w:val="nil"/>
              <w:bottom w:val="single" w:sz="4" w:space="0" w:color="auto"/>
              <w:right w:val="single" w:sz="8" w:space="0" w:color="auto"/>
            </w:tcBorders>
            <w:vAlign w:val="center"/>
          </w:tcPr>
          <w:p w14:paraId="49A92880" w14:textId="77777777" w:rsidR="0020191D" w:rsidRPr="001039C6" w:rsidRDefault="0020191D" w:rsidP="007C4202">
            <w:pPr>
              <w:pStyle w:val="UZEINormaln"/>
              <w:spacing w:before="0" w:after="0"/>
              <w:rPr>
                <w:color w:val="000000"/>
                <w:sz w:val="20"/>
                <w:szCs w:val="20"/>
              </w:rPr>
            </w:pPr>
            <w:r w:rsidRPr="001039C6">
              <w:rPr>
                <w:sz w:val="20"/>
                <w:szCs w:val="20"/>
              </w:rPr>
              <w:t>27</w:t>
            </w:r>
            <w:r w:rsidRPr="001039C6">
              <w:rPr>
                <w:color w:val="000000"/>
                <w:sz w:val="20"/>
                <w:szCs w:val="20"/>
              </w:rPr>
              <w:t>,</w:t>
            </w:r>
            <w:r w:rsidRPr="001039C6">
              <w:rPr>
                <w:sz w:val="20"/>
                <w:szCs w:val="20"/>
              </w:rPr>
              <w:t>14</w:t>
            </w:r>
          </w:p>
        </w:tc>
        <w:tc>
          <w:tcPr>
            <w:tcW w:w="597" w:type="dxa"/>
            <w:tcBorders>
              <w:top w:val="single" w:sz="8" w:space="0" w:color="auto"/>
              <w:left w:val="nil"/>
              <w:bottom w:val="single" w:sz="4" w:space="0" w:color="auto"/>
              <w:right w:val="single" w:sz="8" w:space="0" w:color="auto"/>
            </w:tcBorders>
            <w:vAlign w:val="center"/>
          </w:tcPr>
          <w:p w14:paraId="798397D4" w14:textId="77777777" w:rsidR="0020191D" w:rsidRPr="001039C6" w:rsidRDefault="0020191D" w:rsidP="007C4202">
            <w:pPr>
              <w:pStyle w:val="UZEINormaln"/>
              <w:spacing w:before="0" w:after="0"/>
              <w:rPr>
                <w:color w:val="000000"/>
                <w:sz w:val="20"/>
                <w:szCs w:val="20"/>
              </w:rPr>
            </w:pPr>
            <w:r w:rsidRPr="001039C6">
              <w:rPr>
                <w:sz w:val="20"/>
                <w:szCs w:val="20"/>
              </w:rPr>
              <w:t>27,37</w:t>
            </w:r>
          </w:p>
        </w:tc>
      </w:tr>
      <w:tr w:rsidR="0020191D" w:rsidRPr="00B96B9F" w14:paraId="7931B9E2" w14:textId="77777777" w:rsidTr="007C4202">
        <w:trPr>
          <w:trHeight w:val="377"/>
        </w:trPr>
        <w:tc>
          <w:tcPr>
            <w:tcW w:w="1766" w:type="dxa"/>
            <w:tcBorders>
              <w:top w:val="nil"/>
              <w:left w:val="single" w:sz="8" w:space="0" w:color="auto"/>
              <w:bottom w:val="single" w:sz="8" w:space="0" w:color="auto"/>
              <w:right w:val="single" w:sz="4" w:space="0" w:color="auto"/>
            </w:tcBorders>
            <w:shd w:val="clear" w:color="auto" w:fill="auto"/>
            <w:noWrap/>
            <w:vAlign w:val="center"/>
            <w:hideMark/>
          </w:tcPr>
          <w:p w14:paraId="571B7966" w14:textId="77777777" w:rsidR="0020191D" w:rsidRPr="00B96B9F" w:rsidRDefault="0020191D" w:rsidP="007C4202">
            <w:pPr>
              <w:pStyle w:val="UZEINormaln"/>
              <w:spacing w:before="0" w:after="0"/>
              <w:rPr>
                <w:color w:val="000000"/>
                <w:sz w:val="20"/>
                <w:szCs w:val="20"/>
              </w:rPr>
            </w:pPr>
            <w:r w:rsidRPr="006D2843">
              <w:rPr>
                <w:sz w:val="22"/>
                <w:szCs w:val="22"/>
              </w:rPr>
              <w:t xml:space="preserve">Zemědělství – </w:t>
            </w:r>
            <w:r w:rsidRPr="00B96B9F">
              <w:rPr>
                <w:color w:val="000000"/>
                <w:sz w:val="20"/>
                <w:szCs w:val="20"/>
              </w:rPr>
              <w:t>ostatní</w:t>
            </w:r>
          </w:p>
        </w:tc>
        <w:tc>
          <w:tcPr>
            <w:tcW w:w="734" w:type="dxa"/>
            <w:tcBorders>
              <w:top w:val="nil"/>
              <w:left w:val="single" w:sz="8" w:space="0" w:color="auto"/>
              <w:bottom w:val="single" w:sz="8" w:space="0" w:color="auto"/>
              <w:right w:val="single" w:sz="4" w:space="0" w:color="auto"/>
            </w:tcBorders>
            <w:shd w:val="clear" w:color="auto" w:fill="auto"/>
            <w:vAlign w:val="center"/>
          </w:tcPr>
          <w:p w14:paraId="540D1951" w14:textId="77777777" w:rsidR="0020191D" w:rsidRPr="001039C6" w:rsidRDefault="0020191D" w:rsidP="007C4202">
            <w:pPr>
              <w:pStyle w:val="UZEINormaln"/>
              <w:spacing w:before="0" w:after="0"/>
              <w:rPr>
                <w:color w:val="000000"/>
                <w:sz w:val="20"/>
                <w:szCs w:val="20"/>
              </w:rPr>
            </w:pPr>
            <w:r w:rsidRPr="001039C6">
              <w:rPr>
                <w:sz w:val="20"/>
                <w:szCs w:val="20"/>
              </w:rPr>
              <w:t>-</w:t>
            </w:r>
          </w:p>
        </w:tc>
        <w:tc>
          <w:tcPr>
            <w:tcW w:w="734" w:type="dxa"/>
            <w:tcBorders>
              <w:top w:val="nil"/>
              <w:left w:val="nil"/>
              <w:bottom w:val="single" w:sz="8" w:space="0" w:color="auto"/>
              <w:right w:val="single" w:sz="4" w:space="0" w:color="auto"/>
            </w:tcBorders>
            <w:shd w:val="clear" w:color="auto" w:fill="auto"/>
            <w:noWrap/>
            <w:vAlign w:val="center"/>
            <w:hideMark/>
          </w:tcPr>
          <w:p w14:paraId="15911B69" w14:textId="77777777" w:rsidR="0020191D" w:rsidRPr="001039C6" w:rsidRDefault="0020191D" w:rsidP="007C4202">
            <w:pPr>
              <w:pStyle w:val="UZEINormaln"/>
              <w:spacing w:before="0" w:after="0"/>
              <w:rPr>
                <w:color w:val="000000"/>
                <w:sz w:val="20"/>
                <w:szCs w:val="20"/>
              </w:rPr>
            </w:pPr>
            <w:r w:rsidRPr="001039C6">
              <w:rPr>
                <w:sz w:val="20"/>
                <w:szCs w:val="20"/>
              </w:rPr>
              <w:t>42,77</w:t>
            </w:r>
          </w:p>
        </w:tc>
        <w:tc>
          <w:tcPr>
            <w:tcW w:w="734" w:type="dxa"/>
            <w:tcBorders>
              <w:top w:val="nil"/>
              <w:left w:val="nil"/>
              <w:bottom w:val="single" w:sz="8" w:space="0" w:color="auto"/>
              <w:right w:val="single" w:sz="4" w:space="0" w:color="auto"/>
            </w:tcBorders>
            <w:shd w:val="clear" w:color="auto" w:fill="auto"/>
            <w:noWrap/>
            <w:vAlign w:val="center"/>
            <w:hideMark/>
          </w:tcPr>
          <w:p w14:paraId="7AD53C98" w14:textId="77777777" w:rsidR="0020191D" w:rsidRPr="001039C6" w:rsidRDefault="0020191D" w:rsidP="007C4202">
            <w:pPr>
              <w:pStyle w:val="UZEINormaln"/>
              <w:spacing w:before="0" w:after="0"/>
              <w:rPr>
                <w:color w:val="000000"/>
                <w:sz w:val="20"/>
                <w:szCs w:val="20"/>
              </w:rPr>
            </w:pPr>
            <w:r w:rsidRPr="001039C6">
              <w:rPr>
                <w:sz w:val="20"/>
                <w:szCs w:val="20"/>
              </w:rPr>
              <w:t>38,51</w:t>
            </w:r>
          </w:p>
        </w:tc>
        <w:tc>
          <w:tcPr>
            <w:tcW w:w="732" w:type="dxa"/>
            <w:tcBorders>
              <w:top w:val="nil"/>
              <w:left w:val="nil"/>
              <w:bottom w:val="single" w:sz="8" w:space="0" w:color="auto"/>
              <w:right w:val="single" w:sz="4" w:space="0" w:color="auto"/>
            </w:tcBorders>
            <w:shd w:val="clear" w:color="auto" w:fill="auto"/>
            <w:noWrap/>
            <w:vAlign w:val="center"/>
            <w:hideMark/>
          </w:tcPr>
          <w:p w14:paraId="61828EEC" w14:textId="77777777" w:rsidR="0020191D" w:rsidRPr="001039C6" w:rsidRDefault="0020191D" w:rsidP="007C4202">
            <w:pPr>
              <w:pStyle w:val="UZEINormaln"/>
              <w:spacing w:before="0" w:after="0"/>
              <w:rPr>
                <w:color w:val="000000"/>
                <w:sz w:val="20"/>
                <w:szCs w:val="20"/>
              </w:rPr>
            </w:pPr>
            <w:r w:rsidRPr="001039C6">
              <w:rPr>
                <w:sz w:val="20"/>
                <w:szCs w:val="20"/>
              </w:rPr>
              <w:t>35,27</w:t>
            </w:r>
          </w:p>
        </w:tc>
        <w:tc>
          <w:tcPr>
            <w:tcW w:w="734" w:type="dxa"/>
            <w:tcBorders>
              <w:top w:val="nil"/>
              <w:left w:val="nil"/>
              <w:bottom w:val="single" w:sz="8" w:space="0" w:color="auto"/>
              <w:right w:val="single" w:sz="4" w:space="0" w:color="auto"/>
            </w:tcBorders>
            <w:shd w:val="clear" w:color="auto" w:fill="auto"/>
            <w:noWrap/>
            <w:vAlign w:val="center"/>
            <w:hideMark/>
          </w:tcPr>
          <w:p w14:paraId="68B1EFBD" w14:textId="77777777" w:rsidR="0020191D" w:rsidRPr="001039C6" w:rsidRDefault="0020191D" w:rsidP="007C4202">
            <w:pPr>
              <w:pStyle w:val="UZEINormaln"/>
              <w:spacing w:before="0" w:after="0"/>
              <w:rPr>
                <w:color w:val="000000"/>
                <w:sz w:val="20"/>
                <w:szCs w:val="20"/>
              </w:rPr>
            </w:pPr>
            <w:r w:rsidRPr="001039C6">
              <w:rPr>
                <w:sz w:val="20"/>
                <w:szCs w:val="20"/>
              </w:rPr>
              <w:t>34,89</w:t>
            </w:r>
          </w:p>
        </w:tc>
        <w:tc>
          <w:tcPr>
            <w:tcW w:w="657" w:type="dxa"/>
            <w:tcBorders>
              <w:top w:val="nil"/>
              <w:left w:val="nil"/>
              <w:bottom w:val="single" w:sz="8" w:space="0" w:color="auto"/>
              <w:right w:val="single" w:sz="4" w:space="0" w:color="auto"/>
            </w:tcBorders>
            <w:shd w:val="clear" w:color="auto" w:fill="auto"/>
            <w:noWrap/>
            <w:vAlign w:val="center"/>
            <w:hideMark/>
          </w:tcPr>
          <w:p w14:paraId="0D47171B" w14:textId="77777777" w:rsidR="0020191D" w:rsidRPr="001039C6" w:rsidRDefault="0020191D" w:rsidP="007C4202">
            <w:pPr>
              <w:pStyle w:val="UZEINormaln"/>
              <w:spacing w:before="0" w:after="0"/>
              <w:rPr>
                <w:color w:val="000000"/>
                <w:sz w:val="20"/>
                <w:szCs w:val="20"/>
              </w:rPr>
            </w:pPr>
            <w:r w:rsidRPr="001039C6">
              <w:rPr>
                <w:sz w:val="20"/>
                <w:szCs w:val="20"/>
              </w:rPr>
              <w:t>35,03</w:t>
            </w:r>
          </w:p>
        </w:tc>
        <w:tc>
          <w:tcPr>
            <w:tcW w:w="597" w:type="dxa"/>
            <w:tcBorders>
              <w:top w:val="nil"/>
              <w:left w:val="nil"/>
              <w:bottom w:val="single" w:sz="8" w:space="0" w:color="auto"/>
              <w:right w:val="single" w:sz="4" w:space="0" w:color="auto"/>
            </w:tcBorders>
            <w:shd w:val="clear" w:color="auto" w:fill="auto"/>
            <w:noWrap/>
            <w:vAlign w:val="center"/>
            <w:hideMark/>
          </w:tcPr>
          <w:p w14:paraId="7B4E1A6E" w14:textId="77777777" w:rsidR="0020191D" w:rsidRPr="001039C6" w:rsidRDefault="0020191D" w:rsidP="007C4202">
            <w:pPr>
              <w:pStyle w:val="UZEINormaln"/>
              <w:spacing w:before="0" w:after="0"/>
              <w:rPr>
                <w:color w:val="000000"/>
                <w:sz w:val="20"/>
                <w:szCs w:val="20"/>
              </w:rPr>
            </w:pPr>
            <w:r w:rsidRPr="001039C6">
              <w:rPr>
                <w:sz w:val="20"/>
                <w:szCs w:val="20"/>
              </w:rPr>
              <w:t>36,08</w:t>
            </w:r>
          </w:p>
        </w:tc>
        <w:tc>
          <w:tcPr>
            <w:tcW w:w="597" w:type="dxa"/>
            <w:tcBorders>
              <w:top w:val="nil"/>
              <w:left w:val="nil"/>
              <w:bottom w:val="single" w:sz="8" w:space="0" w:color="auto"/>
              <w:right w:val="single" w:sz="4" w:space="0" w:color="auto"/>
            </w:tcBorders>
            <w:shd w:val="clear" w:color="auto" w:fill="auto"/>
            <w:noWrap/>
            <w:vAlign w:val="center"/>
            <w:hideMark/>
          </w:tcPr>
          <w:p w14:paraId="7E58F3EE" w14:textId="77777777" w:rsidR="0020191D" w:rsidRPr="001039C6" w:rsidRDefault="0020191D" w:rsidP="007C4202">
            <w:pPr>
              <w:pStyle w:val="UZEINormaln"/>
              <w:spacing w:before="0" w:after="0"/>
              <w:rPr>
                <w:color w:val="000000"/>
                <w:sz w:val="20"/>
                <w:szCs w:val="20"/>
              </w:rPr>
            </w:pPr>
            <w:r w:rsidRPr="001039C6">
              <w:rPr>
                <w:sz w:val="20"/>
                <w:szCs w:val="20"/>
              </w:rPr>
              <w:t>36,54</w:t>
            </w:r>
          </w:p>
        </w:tc>
        <w:tc>
          <w:tcPr>
            <w:tcW w:w="597" w:type="dxa"/>
            <w:tcBorders>
              <w:top w:val="nil"/>
              <w:left w:val="nil"/>
              <w:bottom w:val="single" w:sz="8" w:space="0" w:color="auto"/>
              <w:right w:val="single" w:sz="4" w:space="0" w:color="auto"/>
            </w:tcBorders>
            <w:shd w:val="clear" w:color="auto" w:fill="auto"/>
            <w:noWrap/>
            <w:vAlign w:val="center"/>
            <w:hideMark/>
          </w:tcPr>
          <w:p w14:paraId="3592E8F9" w14:textId="77777777" w:rsidR="0020191D" w:rsidRPr="001039C6" w:rsidRDefault="0020191D" w:rsidP="007C4202">
            <w:pPr>
              <w:pStyle w:val="UZEINormaln"/>
              <w:spacing w:before="0" w:after="0"/>
              <w:rPr>
                <w:color w:val="000000"/>
                <w:sz w:val="20"/>
                <w:szCs w:val="20"/>
              </w:rPr>
            </w:pPr>
            <w:r w:rsidRPr="001039C6">
              <w:rPr>
                <w:sz w:val="20"/>
                <w:szCs w:val="20"/>
              </w:rPr>
              <w:t>36,69</w:t>
            </w:r>
          </w:p>
        </w:tc>
        <w:tc>
          <w:tcPr>
            <w:tcW w:w="597" w:type="dxa"/>
            <w:tcBorders>
              <w:top w:val="nil"/>
              <w:left w:val="nil"/>
              <w:bottom w:val="single" w:sz="8" w:space="0" w:color="auto"/>
              <w:right w:val="single" w:sz="8" w:space="0" w:color="auto"/>
            </w:tcBorders>
            <w:shd w:val="clear" w:color="auto" w:fill="auto"/>
            <w:noWrap/>
            <w:vAlign w:val="center"/>
            <w:hideMark/>
          </w:tcPr>
          <w:p w14:paraId="60006781" w14:textId="77777777" w:rsidR="0020191D" w:rsidRPr="001039C6" w:rsidRDefault="0020191D" w:rsidP="007C4202">
            <w:pPr>
              <w:pStyle w:val="UZEINormaln"/>
              <w:spacing w:before="0" w:after="0"/>
              <w:rPr>
                <w:color w:val="000000"/>
                <w:sz w:val="20"/>
                <w:szCs w:val="20"/>
              </w:rPr>
            </w:pPr>
            <w:r w:rsidRPr="001039C6">
              <w:rPr>
                <w:sz w:val="20"/>
                <w:szCs w:val="20"/>
              </w:rPr>
              <w:t>36,21</w:t>
            </w:r>
          </w:p>
        </w:tc>
        <w:tc>
          <w:tcPr>
            <w:tcW w:w="597" w:type="dxa"/>
            <w:tcBorders>
              <w:top w:val="nil"/>
              <w:left w:val="nil"/>
              <w:bottom w:val="single" w:sz="8" w:space="0" w:color="auto"/>
              <w:right w:val="single" w:sz="8" w:space="0" w:color="auto"/>
            </w:tcBorders>
            <w:vAlign w:val="center"/>
          </w:tcPr>
          <w:p w14:paraId="0A8FB1E8" w14:textId="77777777" w:rsidR="0020191D" w:rsidRPr="001039C6" w:rsidRDefault="0020191D" w:rsidP="007C4202">
            <w:pPr>
              <w:pStyle w:val="UZEINormaln"/>
              <w:spacing w:before="0" w:after="0"/>
              <w:rPr>
                <w:color w:val="000000"/>
                <w:sz w:val="20"/>
                <w:szCs w:val="20"/>
              </w:rPr>
            </w:pPr>
            <w:r w:rsidRPr="001039C6">
              <w:rPr>
                <w:sz w:val="20"/>
                <w:szCs w:val="20"/>
              </w:rPr>
              <w:t>40</w:t>
            </w:r>
            <w:r w:rsidRPr="001039C6">
              <w:rPr>
                <w:color w:val="000000"/>
                <w:sz w:val="20"/>
                <w:szCs w:val="20"/>
              </w:rPr>
              <w:t>,</w:t>
            </w:r>
            <w:r w:rsidRPr="001039C6">
              <w:rPr>
                <w:sz w:val="20"/>
                <w:szCs w:val="20"/>
              </w:rPr>
              <w:t>82</w:t>
            </w:r>
          </w:p>
        </w:tc>
        <w:tc>
          <w:tcPr>
            <w:tcW w:w="597" w:type="dxa"/>
            <w:tcBorders>
              <w:top w:val="nil"/>
              <w:left w:val="nil"/>
              <w:bottom w:val="single" w:sz="8" w:space="0" w:color="auto"/>
              <w:right w:val="single" w:sz="8" w:space="0" w:color="auto"/>
            </w:tcBorders>
            <w:vAlign w:val="center"/>
          </w:tcPr>
          <w:p w14:paraId="45A8D64A" w14:textId="77777777" w:rsidR="0020191D" w:rsidRPr="001039C6" w:rsidRDefault="0020191D" w:rsidP="007C4202">
            <w:pPr>
              <w:pStyle w:val="UZEINormaln"/>
              <w:spacing w:before="0" w:after="0"/>
              <w:rPr>
                <w:color w:val="000000"/>
                <w:sz w:val="20"/>
                <w:szCs w:val="20"/>
              </w:rPr>
            </w:pPr>
            <w:r w:rsidRPr="001039C6">
              <w:rPr>
                <w:sz w:val="20"/>
                <w:szCs w:val="20"/>
              </w:rPr>
              <w:t>37</w:t>
            </w:r>
            <w:r w:rsidRPr="001039C6">
              <w:rPr>
                <w:color w:val="000000"/>
                <w:sz w:val="20"/>
                <w:szCs w:val="20"/>
              </w:rPr>
              <w:t>,</w:t>
            </w:r>
            <w:r w:rsidRPr="001039C6">
              <w:rPr>
                <w:sz w:val="20"/>
                <w:szCs w:val="20"/>
              </w:rPr>
              <w:t>4</w:t>
            </w:r>
          </w:p>
        </w:tc>
      </w:tr>
      <w:tr w:rsidR="0020191D" w:rsidRPr="00B96B9F" w14:paraId="236D5472" w14:textId="77777777" w:rsidTr="007C4202">
        <w:trPr>
          <w:trHeight w:val="377"/>
        </w:trPr>
        <w:tc>
          <w:tcPr>
            <w:tcW w:w="1766" w:type="dxa"/>
            <w:tcBorders>
              <w:top w:val="nil"/>
              <w:left w:val="single" w:sz="8" w:space="0" w:color="auto"/>
              <w:bottom w:val="single" w:sz="8" w:space="0" w:color="auto"/>
              <w:right w:val="single" w:sz="4" w:space="0" w:color="auto"/>
            </w:tcBorders>
            <w:shd w:val="clear" w:color="auto" w:fill="auto"/>
            <w:noWrap/>
            <w:vAlign w:val="center"/>
            <w:hideMark/>
          </w:tcPr>
          <w:p w14:paraId="03B50D9D" w14:textId="77777777" w:rsidR="0020191D" w:rsidRPr="00B96B9F" w:rsidRDefault="0020191D" w:rsidP="007C4202">
            <w:pPr>
              <w:pStyle w:val="UZEINormaln"/>
              <w:spacing w:before="0" w:after="0"/>
              <w:rPr>
                <w:b/>
                <w:color w:val="000000"/>
                <w:sz w:val="20"/>
                <w:szCs w:val="20"/>
              </w:rPr>
            </w:pPr>
            <w:r w:rsidRPr="006D2843">
              <w:rPr>
                <w:sz w:val="22"/>
                <w:szCs w:val="22"/>
              </w:rPr>
              <w:t>Celkem za sektor zemědělství</w:t>
            </w:r>
          </w:p>
        </w:tc>
        <w:tc>
          <w:tcPr>
            <w:tcW w:w="734" w:type="dxa"/>
            <w:tcBorders>
              <w:top w:val="nil"/>
              <w:left w:val="single" w:sz="8" w:space="0" w:color="auto"/>
              <w:bottom w:val="single" w:sz="8" w:space="0" w:color="auto"/>
              <w:right w:val="single" w:sz="4" w:space="0" w:color="auto"/>
            </w:tcBorders>
            <w:shd w:val="clear" w:color="auto" w:fill="auto"/>
            <w:vAlign w:val="center"/>
          </w:tcPr>
          <w:p w14:paraId="53D7F2E9" w14:textId="77777777" w:rsidR="0020191D" w:rsidRPr="001039C6" w:rsidRDefault="0020191D" w:rsidP="007C4202">
            <w:pPr>
              <w:pStyle w:val="UZEINormaln"/>
              <w:spacing w:before="0" w:after="0"/>
              <w:rPr>
                <w:b/>
                <w:color w:val="000000"/>
                <w:sz w:val="20"/>
                <w:szCs w:val="20"/>
              </w:rPr>
            </w:pPr>
            <w:r w:rsidRPr="001039C6">
              <w:rPr>
                <w:sz w:val="20"/>
                <w:szCs w:val="20"/>
              </w:rPr>
              <w:t>184,23</w:t>
            </w:r>
          </w:p>
        </w:tc>
        <w:tc>
          <w:tcPr>
            <w:tcW w:w="734" w:type="dxa"/>
            <w:tcBorders>
              <w:top w:val="nil"/>
              <w:left w:val="nil"/>
              <w:bottom w:val="single" w:sz="8" w:space="0" w:color="auto"/>
              <w:right w:val="single" w:sz="4" w:space="0" w:color="auto"/>
            </w:tcBorders>
            <w:shd w:val="clear" w:color="auto" w:fill="auto"/>
            <w:noWrap/>
            <w:vAlign w:val="center"/>
            <w:hideMark/>
          </w:tcPr>
          <w:p w14:paraId="1E8EBB4C" w14:textId="77777777" w:rsidR="0020191D" w:rsidRPr="001039C6" w:rsidRDefault="0020191D" w:rsidP="007C4202">
            <w:pPr>
              <w:pStyle w:val="UZEINormaln"/>
              <w:spacing w:before="0" w:after="0"/>
              <w:rPr>
                <w:b/>
                <w:color w:val="000000"/>
                <w:sz w:val="20"/>
                <w:szCs w:val="20"/>
              </w:rPr>
            </w:pPr>
            <w:r w:rsidRPr="001039C6">
              <w:rPr>
                <w:sz w:val="20"/>
                <w:szCs w:val="20"/>
              </w:rPr>
              <w:t>81,92</w:t>
            </w:r>
          </w:p>
        </w:tc>
        <w:tc>
          <w:tcPr>
            <w:tcW w:w="734" w:type="dxa"/>
            <w:tcBorders>
              <w:top w:val="nil"/>
              <w:left w:val="nil"/>
              <w:bottom w:val="single" w:sz="8" w:space="0" w:color="auto"/>
              <w:right w:val="single" w:sz="4" w:space="0" w:color="auto"/>
            </w:tcBorders>
            <w:shd w:val="clear" w:color="auto" w:fill="auto"/>
            <w:noWrap/>
            <w:vAlign w:val="center"/>
            <w:hideMark/>
          </w:tcPr>
          <w:p w14:paraId="64B4269A" w14:textId="77777777" w:rsidR="0020191D" w:rsidRPr="001039C6" w:rsidRDefault="0020191D" w:rsidP="007C4202">
            <w:pPr>
              <w:pStyle w:val="UZEINormaln"/>
              <w:spacing w:before="0" w:after="0"/>
              <w:rPr>
                <w:b/>
                <w:color w:val="000000"/>
                <w:sz w:val="20"/>
                <w:szCs w:val="20"/>
              </w:rPr>
            </w:pPr>
            <w:r w:rsidRPr="001039C6">
              <w:rPr>
                <w:sz w:val="20"/>
                <w:szCs w:val="20"/>
              </w:rPr>
              <w:t>72,11</w:t>
            </w:r>
          </w:p>
        </w:tc>
        <w:tc>
          <w:tcPr>
            <w:tcW w:w="732" w:type="dxa"/>
            <w:tcBorders>
              <w:top w:val="nil"/>
              <w:left w:val="nil"/>
              <w:bottom w:val="single" w:sz="8" w:space="0" w:color="auto"/>
              <w:right w:val="single" w:sz="4" w:space="0" w:color="auto"/>
            </w:tcBorders>
            <w:shd w:val="clear" w:color="auto" w:fill="auto"/>
            <w:noWrap/>
            <w:vAlign w:val="center"/>
            <w:hideMark/>
          </w:tcPr>
          <w:p w14:paraId="6E39D389" w14:textId="77777777" w:rsidR="0020191D" w:rsidRPr="001039C6" w:rsidRDefault="0020191D" w:rsidP="007C4202">
            <w:pPr>
              <w:pStyle w:val="UZEINormaln"/>
              <w:spacing w:before="0" w:after="0"/>
              <w:rPr>
                <w:b/>
                <w:color w:val="000000"/>
                <w:sz w:val="20"/>
                <w:szCs w:val="20"/>
              </w:rPr>
            </w:pPr>
            <w:r w:rsidRPr="001039C6">
              <w:rPr>
                <w:sz w:val="20"/>
                <w:szCs w:val="20"/>
              </w:rPr>
              <w:t>65,02</w:t>
            </w:r>
          </w:p>
        </w:tc>
        <w:tc>
          <w:tcPr>
            <w:tcW w:w="734" w:type="dxa"/>
            <w:tcBorders>
              <w:top w:val="nil"/>
              <w:left w:val="nil"/>
              <w:bottom w:val="single" w:sz="8" w:space="0" w:color="auto"/>
              <w:right w:val="single" w:sz="4" w:space="0" w:color="auto"/>
            </w:tcBorders>
            <w:shd w:val="clear" w:color="auto" w:fill="auto"/>
            <w:noWrap/>
            <w:vAlign w:val="center"/>
            <w:hideMark/>
          </w:tcPr>
          <w:p w14:paraId="3B7516B2" w14:textId="77777777" w:rsidR="0020191D" w:rsidRPr="001039C6" w:rsidRDefault="0020191D" w:rsidP="007C4202">
            <w:pPr>
              <w:pStyle w:val="UZEINormaln"/>
              <w:spacing w:before="0" w:after="0"/>
              <w:rPr>
                <w:b/>
                <w:color w:val="000000"/>
                <w:sz w:val="20"/>
                <w:szCs w:val="20"/>
              </w:rPr>
            </w:pPr>
            <w:r w:rsidRPr="001039C6">
              <w:rPr>
                <w:sz w:val="20"/>
                <w:szCs w:val="20"/>
              </w:rPr>
              <w:t>63,50</w:t>
            </w:r>
          </w:p>
        </w:tc>
        <w:tc>
          <w:tcPr>
            <w:tcW w:w="657" w:type="dxa"/>
            <w:tcBorders>
              <w:top w:val="nil"/>
              <w:left w:val="nil"/>
              <w:bottom w:val="single" w:sz="8" w:space="0" w:color="auto"/>
              <w:right w:val="single" w:sz="4" w:space="0" w:color="auto"/>
            </w:tcBorders>
            <w:shd w:val="clear" w:color="auto" w:fill="auto"/>
            <w:noWrap/>
            <w:vAlign w:val="center"/>
            <w:hideMark/>
          </w:tcPr>
          <w:p w14:paraId="15F4821C" w14:textId="77777777" w:rsidR="0020191D" w:rsidRPr="001039C6" w:rsidRDefault="0020191D" w:rsidP="007C4202">
            <w:pPr>
              <w:pStyle w:val="UZEINormaln"/>
              <w:spacing w:before="0" w:after="0"/>
              <w:rPr>
                <w:b/>
                <w:color w:val="000000"/>
                <w:sz w:val="20"/>
                <w:szCs w:val="20"/>
              </w:rPr>
            </w:pPr>
            <w:r w:rsidRPr="001039C6">
              <w:rPr>
                <w:sz w:val="20"/>
                <w:szCs w:val="20"/>
              </w:rPr>
              <w:t>63,13</w:t>
            </w:r>
          </w:p>
        </w:tc>
        <w:tc>
          <w:tcPr>
            <w:tcW w:w="597" w:type="dxa"/>
            <w:tcBorders>
              <w:top w:val="nil"/>
              <w:left w:val="nil"/>
              <w:bottom w:val="single" w:sz="8" w:space="0" w:color="auto"/>
              <w:right w:val="single" w:sz="4" w:space="0" w:color="auto"/>
            </w:tcBorders>
            <w:shd w:val="clear" w:color="auto" w:fill="auto"/>
            <w:noWrap/>
            <w:vAlign w:val="center"/>
            <w:hideMark/>
          </w:tcPr>
          <w:p w14:paraId="60301EAC" w14:textId="77777777" w:rsidR="0020191D" w:rsidRPr="001039C6" w:rsidRDefault="0020191D" w:rsidP="007C4202">
            <w:pPr>
              <w:pStyle w:val="UZEINormaln"/>
              <w:spacing w:before="0" w:after="0"/>
              <w:rPr>
                <w:b/>
                <w:color w:val="000000"/>
                <w:sz w:val="20"/>
                <w:szCs w:val="20"/>
              </w:rPr>
            </w:pPr>
            <w:r w:rsidRPr="001039C6">
              <w:rPr>
                <w:sz w:val="20"/>
                <w:szCs w:val="20"/>
              </w:rPr>
              <w:t>64,77</w:t>
            </w:r>
          </w:p>
        </w:tc>
        <w:tc>
          <w:tcPr>
            <w:tcW w:w="597" w:type="dxa"/>
            <w:tcBorders>
              <w:top w:val="nil"/>
              <w:left w:val="nil"/>
              <w:bottom w:val="single" w:sz="8" w:space="0" w:color="auto"/>
              <w:right w:val="single" w:sz="4" w:space="0" w:color="auto"/>
            </w:tcBorders>
            <w:shd w:val="clear" w:color="auto" w:fill="auto"/>
            <w:noWrap/>
            <w:vAlign w:val="center"/>
            <w:hideMark/>
          </w:tcPr>
          <w:p w14:paraId="311596A9" w14:textId="77777777" w:rsidR="0020191D" w:rsidRPr="001039C6" w:rsidRDefault="0020191D" w:rsidP="007C4202">
            <w:pPr>
              <w:pStyle w:val="UZEINormaln"/>
              <w:spacing w:before="0" w:after="0"/>
              <w:rPr>
                <w:b/>
                <w:color w:val="000000"/>
                <w:sz w:val="20"/>
                <w:szCs w:val="20"/>
              </w:rPr>
            </w:pPr>
            <w:r w:rsidRPr="001039C6">
              <w:rPr>
                <w:sz w:val="20"/>
                <w:szCs w:val="20"/>
              </w:rPr>
              <w:t>65,22</w:t>
            </w:r>
          </w:p>
        </w:tc>
        <w:tc>
          <w:tcPr>
            <w:tcW w:w="597" w:type="dxa"/>
            <w:tcBorders>
              <w:top w:val="nil"/>
              <w:left w:val="nil"/>
              <w:bottom w:val="single" w:sz="8" w:space="0" w:color="auto"/>
              <w:right w:val="single" w:sz="4" w:space="0" w:color="auto"/>
            </w:tcBorders>
            <w:shd w:val="clear" w:color="auto" w:fill="auto"/>
            <w:noWrap/>
            <w:vAlign w:val="center"/>
            <w:hideMark/>
          </w:tcPr>
          <w:p w14:paraId="244193A2" w14:textId="77777777" w:rsidR="0020191D" w:rsidRPr="001039C6" w:rsidRDefault="0020191D" w:rsidP="007C4202">
            <w:pPr>
              <w:pStyle w:val="UZEINormaln"/>
              <w:spacing w:before="0" w:after="0"/>
              <w:rPr>
                <w:b/>
                <w:color w:val="000000"/>
                <w:sz w:val="20"/>
                <w:szCs w:val="20"/>
              </w:rPr>
            </w:pPr>
            <w:r w:rsidRPr="001039C6">
              <w:rPr>
                <w:sz w:val="20"/>
                <w:szCs w:val="20"/>
              </w:rPr>
              <w:t>65,91</w:t>
            </w:r>
          </w:p>
        </w:tc>
        <w:tc>
          <w:tcPr>
            <w:tcW w:w="597" w:type="dxa"/>
            <w:tcBorders>
              <w:top w:val="nil"/>
              <w:left w:val="nil"/>
              <w:bottom w:val="single" w:sz="8" w:space="0" w:color="auto"/>
              <w:right w:val="single" w:sz="8" w:space="0" w:color="auto"/>
            </w:tcBorders>
            <w:shd w:val="clear" w:color="auto" w:fill="auto"/>
            <w:noWrap/>
            <w:vAlign w:val="center"/>
            <w:hideMark/>
          </w:tcPr>
          <w:p w14:paraId="02C97736" w14:textId="77777777" w:rsidR="0020191D" w:rsidRPr="001039C6" w:rsidRDefault="0020191D" w:rsidP="007C4202">
            <w:pPr>
              <w:pStyle w:val="UZEINormaln"/>
              <w:spacing w:before="0" w:after="0"/>
              <w:rPr>
                <w:b/>
                <w:color w:val="000000"/>
                <w:sz w:val="20"/>
                <w:szCs w:val="20"/>
              </w:rPr>
            </w:pPr>
            <w:r w:rsidRPr="001039C6">
              <w:rPr>
                <w:sz w:val="20"/>
                <w:szCs w:val="20"/>
              </w:rPr>
              <w:t>65,47</w:t>
            </w:r>
          </w:p>
        </w:tc>
        <w:tc>
          <w:tcPr>
            <w:tcW w:w="597" w:type="dxa"/>
            <w:tcBorders>
              <w:top w:val="nil"/>
              <w:left w:val="nil"/>
              <w:bottom w:val="single" w:sz="8" w:space="0" w:color="auto"/>
              <w:right w:val="single" w:sz="8" w:space="0" w:color="auto"/>
            </w:tcBorders>
            <w:shd w:val="clear" w:color="auto" w:fill="auto"/>
            <w:vAlign w:val="center"/>
          </w:tcPr>
          <w:p w14:paraId="05EEFF6E" w14:textId="77777777" w:rsidR="0020191D" w:rsidRPr="001039C6" w:rsidRDefault="0020191D" w:rsidP="007C4202">
            <w:pPr>
              <w:pStyle w:val="UZEINormaln"/>
              <w:spacing w:before="0" w:after="0"/>
              <w:rPr>
                <w:b/>
                <w:color w:val="000000"/>
                <w:sz w:val="20"/>
                <w:szCs w:val="20"/>
              </w:rPr>
            </w:pPr>
            <w:r w:rsidRPr="001039C6">
              <w:rPr>
                <w:sz w:val="20"/>
                <w:szCs w:val="20"/>
              </w:rPr>
              <w:t>67,</w:t>
            </w:r>
            <w:r w:rsidRPr="001039C6">
              <w:rPr>
                <w:b/>
                <w:bCs/>
                <w:color w:val="000000"/>
                <w:sz w:val="20"/>
                <w:szCs w:val="20"/>
              </w:rPr>
              <w:t>96</w:t>
            </w:r>
          </w:p>
        </w:tc>
        <w:tc>
          <w:tcPr>
            <w:tcW w:w="597" w:type="dxa"/>
            <w:tcBorders>
              <w:top w:val="nil"/>
              <w:left w:val="nil"/>
              <w:bottom w:val="single" w:sz="8" w:space="0" w:color="auto"/>
              <w:right w:val="single" w:sz="8" w:space="0" w:color="auto"/>
            </w:tcBorders>
            <w:shd w:val="clear" w:color="auto" w:fill="auto"/>
            <w:vAlign w:val="center"/>
          </w:tcPr>
          <w:p w14:paraId="3CC9C3E7" w14:textId="77777777" w:rsidR="0020191D" w:rsidRPr="001039C6" w:rsidRDefault="0020191D" w:rsidP="007C4202">
            <w:pPr>
              <w:pStyle w:val="UZEINormaln"/>
              <w:spacing w:before="0" w:after="0"/>
              <w:rPr>
                <w:b/>
                <w:color w:val="000000"/>
                <w:sz w:val="20"/>
                <w:szCs w:val="20"/>
              </w:rPr>
            </w:pPr>
            <w:r w:rsidRPr="001039C6">
              <w:rPr>
                <w:sz w:val="20"/>
                <w:szCs w:val="20"/>
              </w:rPr>
              <w:t>64,</w:t>
            </w:r>
            <w:r w:rsidRPr="001039C6">
              <w:rPr>
                <w:b/>
                <w:bCs/>
                <w:color w:val="000000"/>
                <w:sz w:val="20"/>
                <w:szCs w:val="20"/>
              </w:rPr>
              <w:t>77</w:t>
            </w:r>
          </w:p>
        </w:tc>
      </w:tr>
    </w:tbl>
    <w:p w14:paraId="344D544F" w14:textId="77777777" w:rsidR="0020191D" w:rsidRPr="00B96B9F" w:rsidRDefault="0020191D" w:rsidP="0020191D">
      <w:pPr>
        <w:pStyle w:val="UZEIZdroj"/>
        <w:rPr>
          <w:i w:val="0"/>
          <w:sz w:val="22"/>
        </w:rPr>
      </w:pPr>
      <w:r w:rsidRPr="00B96B9F">
        <w:t>Zdroj: Officially reported emission data: Emissions of NH₃ (</w:t>
      </w:r>
      <w:r w:rsidRPr="00B96B9F">
        <w:rPr>
          <w:i w:val="0"/>
          <w:sz w:val="22"/>
        </w:rPr>
        <w:t>kilotonnes), Czech Republic (</w:t>
      </w:r>
      <w:hyperlink r:id="rId25" w:history="1">
        <w:r w:rsidRPr="00B96B9F">
          <w:rPr>
            <w:i w:val="0"/>
            <w:sz w:val="22"/>
          </w:rPr>
          <w:t>www.ceip.at</w:t>
        </w:r>
      </w:hyperlink>
      <w:r w:rsidRPr="00B96B9F">
        <w:rPr>
          <w:i w:val="0"/>
          <w:iCs w:val="0"/>
          <w:sz w:val="22"/>
        </w:rPr>
        <w:t>), aktualizace 6/2021</w:t>
      </w:r>
    </w:p>
    <w:p w14:paraId="15A82BB3" w14:textId="02617A65" w:rsidR="0020191D" w:rsidRPr="00B96B9F" w:rsidRDefault="0020191D" w:rsidP="0020191D">
      <w:pPr>
        <w:pStyle w:val="UZEITaB"/>
      </w:pPr>
      <w:bookmarkStart w:id="290" w:name="_Toc81088059"/>
      <w:bookmarkStart w:id="291" w:name="_Toc81749901"/>
      <w:bookmarkStart w:id="292" w:name="_Toc94181593"/>
      <w:r w:rsidRPr="00B96B9F">
        <w:t>Vývoj emisí NH</w:t>
      </w:r>
      <w:r w:rsidRPr="00B96B9F">
        <w:rPr>
          <w:vertAlign w:val="subscript"/>
        </w:rPr>
        <w:t>3</w:t>
      </w:r>
      <w:r w:rsidRPr="00B96B9F">
        <w:t xml:space="preserve"> v ČR podle kategorií NFR (v kilotunách)</w:t>
      </w:r>
      <w:bookmarkEnd w:id="290"/>
      <w:bookmarkEnd w:id="291"/>
      <w:bookmarkEnd w:id="292"/>
    </w:p>
    <w:tbl>
      <w:tblPr>
        <w:tblW w:w="9634" w:type="dxa"/>
        <w:tblInd w:w="-10" w:type="dxa"/>
        <w:tblLayout w:type="fixed"/>
        <w:tblCellMar>
          <w:left w:w="70" w:type="dxa"/>
          <w:right w:w="70" w:type="dxa"/>
        </w:tblCellMar>
        <w:tblLook w:val="04A0" w:firstRow="1" w:lastRow="0" w:firstColumn="1" w:lastColumn="0" w:noHBand="0" w:noVBand="1"/>
      </w:tblPr>
      <w:tblGrid>
        <w:gridCol w:w="2154"/>
        <w:gridCol w:w="680"/>
        <w:gridCol w:w="680"/>
        <w:gridCol w:w="680"/>
        <w:gridCol w:w="680"/>
        <w:gridCol w:w="680"/>
        <w:gridCol w:w="680"/>
        <w:gridCol w:w="680"/>
        <w:gridCol w:w="680"/>
        <w:gridCol w:w="680"/>
        <w:gridCol w:w="680"/>
        <w:gridCol w:w="680"/>
      </w:tblGrid>
      <w:tr w:rsidR="0020191D" w:rsidRPr="00B96B9F" w14:paraId="6797A59B" w14:textId="77777777" w:rsidTr="007C4202">
        <w:trPr>
          <w:trHeight w:val="515"/>
        </w:trPr>
        <w:tc>
          <w:tcPr>
            <w:tcW w:w="2154"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FA13310" w14:textId="77777777" w:rsidR="0020191D" w:rsidRPr="00B96B9F" w:rsidRDefault="0020191D" w:rsidP="007C4202">
            <w:pPr>
              <w:pStyle w:val="UZEINormaln"/>
              <w:spacing w:before="0" w:after="0"/>
              <w:rPr>
                <w:b/>
                <w:color w:val="000000"/>
                <w:sz w:val="20"/>
                <w:szCs w:val="20"/>
              </w:rPr>
            </w:pPr>
            <w:r w:rsidRPr="00DE001C">
              <w:rPr>
                <w:b/>
                <w:sz w:val="22"/>
                <w:szCs w:val="22"/>
              </w:rPr>
              <w:t>Zdroj emisí / rok</w:t>
            </w:r>
          </w:p>
        </w:tc>
        <w:tc>
          <w:tcPr>
            <w:tcW w:w="680"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630E021" w14:textId="77777777" w:rsidR="0020191D" w:rsidRPr="00B96B9F" w:rsidRDefault="0020191D" w:rsidP="007C4202">
            <w:pPr>
              <w:pStyle w:val="UZEINormaln"/>
              <w:spacing w:before="0" w:after="0"/>
              <w:jc w:val="center"/>
              <w:rPr>
                <w:b/>
                <w:color w:val="000000"/>
                <w:sz w:val="20"/>
                <w:szCs w:val="20"/>
              </w:rPr>
            </w:pPr>
            <w:r w:rsidRPr="00DE001C">
              <w:rPr>
                <w:b/>
                <w:sz w:val="22"/>
                <w:szCs w:val="22"/>
              </w:rPr>
              <w:t>2000</w:t>
            </w:r>
          </w:p>
        </w:tc>
        <w:tc>
          <w:tcPr>
            <w:tcW w:w="680" w:type="dxa"/>
            <w:tcBorders>
              <w:top w:val="single" w:sz="4" w:space="0" w:color="auto"/>
              <w:left w:val="nil"/>
              <w:bottom w:val="single" w:sz="4" w:space="0" w:color="auto"/>
              <w:right w:val="single" w:sz="4" w:space="0" w:color="auto"/>
            </w:tcBorders>
            <w:shd w:val="clear" w:color="auto" w:fill="D9D9D9"/>
            <w:noWrap/>
            <w:vAlign w:val="center"/>
            <w:hideMark/>
          </w:tcPr>
          <w:p w14:paraId="6C131A71" w14:textId="77777777" w:rsidR="0020191D" w:rsidRPr="00B96B9F" w:rsidRDefault="0020191D" w:rsidP="007C4202">
            <w:pPr>
              <w:pStyle w:val="UZEINormaln"/>
              <w:spacing w:before="0" w:after="0"/>
              <w:jc w:val="center"/>
              <w:rPr>
                <w:b/>
                <w:color w:val="000000"/>
                <w:sz w:val="20"/>
                <w:szCs w:val="20"/>
              </w:rPr>
            </w:pPr>
            <w:r w:rsidRPr="00DE001C">
              <w:rPr>
                <w:b/>
                <w:sz w:val="22"/>
                <w:szCs w:val="22"/>
              </w:rPr>
              <w:t>2005</w:t>
            </w:r>
          </w:p>
        </w:tc>
        <w:tc>
          <w:tcPr>
            <w:tcW w:w="680" w:type="dxa"/>
            <w:tcBorders>
              <w:top w:val="single" w:sz="4" w:space="0" w:color="auto"/>
              <w:left w:val="nil"/>
              <w:bottom w:val="single" w:sz="4" w:space="0" w:color="auto"/>
              <w:right w:val="single" w:sz="4" w:space="0" w:color="auto"/>
            </w:tcBorders>
            <w:shd w:val="clear" w:color="auto" w:fill="D9D9D9"/>
            <w:noWrap/>
            <w:vAlign w:val="center"/>
            <w:hideMark/>
          </w:tcPr>
          <w:p w14:paraId="33EA53B1" w14:textId="77777777" w:rsidR="0020191D" w:rsidRPr="00B96B9F" w:rsidRDefault="0020191D" w:rsidP="007C4202">
            <w:pPr>
              <w:pStyle w:val="UZEINormaln"/>
              <w:spacing w:before="0" w:after="0"/>
              <w:jc w:val="center"/>
              <w:rPr>
                <w:b/>
                <w:color w:val="000000"/>
                <w:sz w:val="20"/>
                <w:szCs w:val="20"/>
              </w:rPr>
            </w:pPr>
            <w:r w:rsidRPr="00DE001C">
              <w:rPr>
                <w:b/>
                <w:sz w:val="22"/>
                <w:szCs w:val="22"/>
              </w:rPr>
              <w:t>2010</w:t>
            </w:r>
          </w:p>
        </w:tc>
        <w:tc>
          <w:tcPr>
            <w:tcW w:w="680" w:type="dxa"/>
            <w:tcBorders>
              <w:top w:val="single" w:sz="4" w:space="0" w:color="auto"/>
              <w:left w:val="nil"/>
              <w:bottom w:val="single" w:sz="4" w:space="0" w:color="auto"/>
              <w:right w:val="single" w:sz="4" w:space="0" w:color="auto"/>
            </w:tcBorders>
            <w:shd w:val="clear" w:color="auto" w:fill="D9D9D9"/>
            <w:noWrap/>
            <w:vAlign w:val="center"/>
            <w:hideMark/>
          </w:tcPr>
          <w:p w14:paraId="3F9983D8" w14:textId="77777777" w:rsidR="0020191D" w:rsidRPr="00B96B9F" w:rsidRDefault="0020191D" w:rsidP="007C4202">
            <w:pPr>
              <w:pStyle w:val="UZEINormaln"/>
              <w:spacing w:before="0" w:after="0"/>
              <w:jc w:val="center"/>
              <w:rPr>
                <w:b/>
                <w:color w:val="000000"/>
                <w:sz w:val="20"/>
                <w:szCs w:val="20"/>
              </w:rPr>
            </w:pPr>
            <w:r w:rsidRPr="00DE001C">
              <w:rPr>
                <w:b/>
                <w:sz w:val="22"/>
                <w:szCs w:val="22"/>
              </w:rPr>
              <w:t>2011</w:t>
            </w:r>
          </w:p>
        </w:tc>
        <w:tc>
          <w:tcPr>
            <w:tcW w:w="680" w:type="dxa"/>
            <w:tcBorders>
              <w:top w:val="single" w:sz="4" w:space="0" w:color="auto"/>
              <w:left w:val="nil"/>
              <w:bottom w:val="single" w:sz="4" w:space="0" w:color="auto"/>
              <w:right w:val="single" w:sz="4" w:space="0" w:color="auto"/>
            </w:tcBorders>
            <w:shd w:val="clear" w:color="auto" w:fill="D9D9D9"/>
            <w:noWrap/>
            <w:vAlign w:val="center"/>
            <w:hideMark/>
          </w:tcPr>
          <w:p w14:paraId="7F63C770" w14:textId="77777777" w:rsidR="0020191D" w:rsidRPr="00B96B9F" w:rsidRDefault="0020191D" w:rsidP="007C4202">
            <w:pPr>
              <w:pStyle w:val="UZEINormaln"/>
              <w:spacing w:before="0" w:after="0"/>
              <w:jc w:val="center"/>
              <w:rPr>
                <w:b/>
                <w:color w:val="000000"/>
                <w:sz w:val="20"/>
                <w:szCs w:val="20"/>
              </w:rPr>
            </w:pPr>
            <w:r w:rsidRPr="00DE001C">
              <w:rPr>
                <w:b/>
                <w:sz w:val="22"/>
                <w:szCs w:val="22"/>
              </w:rPr>
              <w:t>2012</w:t>
            </w:r>
          </w:p>
        </w:tc>
        <w:tc>
          <w:tcPr>
            <w:tcW w:w="680" w:type="dxa"/>
            <w:tcBorders>
              <w:top w:val="single" w:sz="4" w:space="0" w:color="auto"/>
              <w:left w:val="nil"/>
              <w:bottom w:val="single" w:sz="4" w:space="0" w:color="auto"/>
              <w:right w:val="single" w:sz="4" w:space="0" w:color="auto"/>
            </w:tcBorders>
            <w:shd w:val="clear" w:color="auto" w:fill="D9D9D9"/>
            <w:noWrap/>
            <w:vAlign w:val="center"/>
            <w:hideMark/>
          </w:tcPr>
          <w:p w14:paraId="31E708F4" w14:textId="77777777" w:rsidR="0020191D" w:rsidRPr="00B96B9F" w:rsidRDefault="0020191D" w:rsidP="007C4202">
            <w:pPr>
              <w:pStyle w:val="UZEINormaln"/>
              <w:spacing w:before="0" w:after="0"/>
              <w:jc w:val="center"/>
              <w:rPr>
                <w:b/>
                <w:color w:val="000000"/>
                <w:sz w:val="20"/>
                <w:szCs w:val="20"/>
              </w:rPr>
            </w:pPr>
            <w:r w:rsidRPr="00DE001C">
              <w:rPr>
                <w:b/>
                <w:sz w:val="22"/>
                <w:szCs w:val="22"/>
              </w:rPr>
              <w:t>2013</w:t>
            </w:r>
          </w:p>
        </w:tc>
        <w:tc>
          <w:tcPr>
            <w:tcW w:w="680" w:type="dxa"/>
            <w:tcBorders>
              <w:top w:val="single" w:sz="4" w:space="0" w:color="auto"/>
              <w:left w:val="nil"/>
              <w:bottom w:val="single" w:sz="4" w:space="0" w:color="auto"/>
              <w:right w:val="single" w:sz="4" w:space="0" w:color="auto"/>
            </w:tcBorders>
            <w:shd w:val="clear" w:color="auto" w:fill="D9D9D9"/>
            <w:noWrap/>
            <w:vAlign w:val="center"/>
            <w:hideMark/>
          </w:tcPr>
          <w:p w14:paraId="074F3676" w14:textId="77777777" w:rsidR="0020191D" w:rsidRPr="00B96B9F" w:rsidRDefault="0020191D" w:rsidP="007C4202">
            <w:pPr>
              <w:pStyle w:val="UZEINormaln"/>
              <w:spacing w:before="0" w:after="0"/>
              <w:jc w:val="center"/>
              <w:rPr>
                <w:b/>
                <w:color w:val="000000"/>
                <w:sz w:val="20"/>
                <w:szCs w:val="20"/>
              </w:rPr>
            </w:pPr>
            <w:r w:rsidRPr="00DE001C">
              <w:rPr>
                <w:b/>
                <w:sz w:val="22"/>
                <w:szCs w:val="22"/>
              </w:rPr>
              <w:t>2014</w:t>
            </w:r>
          </w:p>
        </w:tc>
        <w:tc>
          <w:tcPr>
            <w:tcW w:w="680" w:type="dxa"/>
            <w:tcBorders>
              <w:top w:val="single" w:sz="4" w:space="0" w:color="auto"/>
              <w:left w:val="nil"/>
              <w:bottom w:val="single" w:sz="4" w:space="0" w:color="auto"/>
              <w:right w:val="single" w:sz="4" w:space="0" w:color="auto"/>
            </w:tcBorders>
            <w:shd w:val="clear" w:color="auto" w:fill="D9D9D9"/>
            <w:noWrap/>
            <w:vAlign w:val="center"/>
            <w:hideMark/>
          </w:tcPr>
          <w:p w14:paraId="04E8FABA" w14:textId="77777777" w:rsidR="0020191D" w:rsidRPr="00B96B9F" w:rsidRDefault="0020191D" w:rsidP="007C4202">
            <w:pPr>
              <w:pStyle w:val="UZEINormaln"/>
              <w:spacing w:before="0" w:after="0"/>
              <w:jc w:val="center"/>
              <w:rPr>
                <w:b/>
                <w:color w:val="000000"/>
                <w:sz w:val="20"/>
                <w:szCs w:val="20"/>
              </w:rPr>
            </w:pPr>
            <w:r w:rsidRPr="00DE001C">
              <w:rPr>
                <w:b/>
                <w:sz w:val="22"/>
                <w:szCs w:val="22"/>
              </w:rPr>
              <w:t>2015</w:t>
            </w:r>
          </w:p>
        </w:tc>
        <w:tc>
          <w:tcPr>
            <w:tcW w:w="680" w:type="dxa"/>
            <w:tcBorders>
              <w:top w:val="single" w:sz="4" w:space="0" w:color="auto"/>
              <w:left w:val="nil"/>
              <w:bottom w:val="single" w:sz="4" w:space="0" w:color="auto"/>
              <w:right w:val="single" w:sz="4" w:space="0" w:color="auto"/>
            </w:tcBorders>
            <w:shd w:val="clear" w:color="auto" w:fill="D9D9D9"/>
            <w:noWrap/>
            <w:vAlign w:val="center"/>
            <w:hideMark/>
          </w:tcPr>
          <w:p w14:paraId="78E76B56" w14:textId="77777777" w:rsidR="0020191D" w:rsidRPr="00B96B9F" w:rsidRDefault="0020191D" w:rsidP="007C4202">
            <w:pPr>
              <w:pStyle w:val="UZEINormaln"/>
              <w:spacing w:before="0" w:after="0"/>
              <w:jc w:val="center"/>
              <w:rPr>
                <w:b/>
                <w:color w:val="000000"/>
                <w:sz w:val="20"/>
                <w:szCs w:val="20"/>
              </w:rPr>
            </w:pPr>
            <w:r w:rsidRPr="00DE001C">
              <w:rPr>
                <w:b/>
                <w:sz w:val="22"/>
                <w:szCs w:val="22"/>
              </w:rPr>
              <w:t>2016</w:t>
            </w:r>
          </w:p>
        </w:tc>
        <w:tc>
          <w:tcPr>
            <w:tcW w:w="680" w:type="dxa"/>
            <w:tcBorders>
              <w:top w:val="single" w:sz="4" w:space="0" w:color="auto"/>
              <w:left w:val="nil"/>
              <w:bottom w:val="single" w:sz="4" w:space="0" w:color="auto"/>
              <w:right w:val="single" w:sz="4" w:space="0" w:color="auto"/>
            </w:tcBorders>
            <w:shd w:val="clear" w:color="auto" w:fill="D9D9D9"/>
            <w:vAlign w:val="center"/>
          </w:tcPr>
          <w:p w14:paraId="610DC42B" w14:textId="77777777" w:rsidR="0020191D" w:rsidRPr="00B96B9F" w:rsidRDefault="0020191D" w:rsidP="007C4202">
            <w:pPr>
              <w:pStyle w:val="UZEINormaln"/>
              <w:spacing w:before="0" w:after="0"/>
              <w:jc w:val="center"/>
              <w:rPr>
                <w:b/>
                <w:color w:val="000000"/>
                <w:sz w:val="20"/>
                <w:szCs w:val="20"/>
              </w:rPr>
            </w:pPr>
            <w:r w:rsidRPr="00DE001C">
              <w:rPr>
                <w:b/>
                <w:sz w:val="22"/>
                <w:szCs w:val="22"/>
              </w:rPr>
              <w:t>2017</w:t>
            </w:r>
          </w:p>
        </w:tc>
        <w:tc>
          <w:tcPr>
            <w:tcW w:w="680" w:type="dxa"/>
            <w:tcBorders>
              <w:top w:val="single" w:sz="4" w:space="0" w:color="auto"/>
              <w:left w:val="nil"/>
              <w:bottom w:val="single" w:sz="4" w:space="0" w:color="auto"/>
              <w:right w:val="single" w:sz="4" w:space="0" w:color="auto"/>
            </w:tcBorders>
            <w:shd w:val="clear" w:color="auto" w:fill="D9D9D9"/>
            <w:vAlign w:val="center"/>
          </w:tcPr>
          <w:p w14:paraId="682B7E42" w14:textId="77777777" w:rsidR="0020191D" w:rsidRPr="00B96B9F" w:rsidRDefault="0020191D" w:rsidP="007C4202">
            <w:pPr>
              <w:pStyle w:val="UZEINormaln"/>
              <w:spacing w:before="0" w:after="0"/>
              <w:jc w:val="center"/>
              <w:rPr>
                <w:b/>
                <w:color w:val="000000"/>
                <w:sz w:val="20"/>
                <w:szCs w:val="20"/>
              </w:rPr>
            </w:pPr>
            <w:r w:rsidRPr="00DE001C">
              <w:rPr>
                <w:b/>
                <w:sz w:val="22"/>
                <w:szCs w:val="22"/>
              </w:rPr>
              <w:t>2018</w:t>
            </w:r>
          </w:p>
        </w:tc>
      </w:tr>
      <w:tr w:rsidR="0020191D" w:rsidRPr="00B96B9F" w14:paraId="6FEE3B37" w14:textId="77777777" w:rsidTr="007C4202">
        <w:trPr>
          <w:trHeight w:val="401"/>
        </w:trPr>
        <w:tc>
          <w:tcPr>
            <w:tcW w:w="2154" w:type="dxa"/>
            <w:tcBorders>
              <w:top w:val="nil"/>
              <w:left w:val="single" w:sz="8" w:space="0" w:color="auto"/>
              <w:bottom w:val="single" w:sz="4" w:space="0" w:color="auto"/>
              <w:right w:val="single" w:sz="8" w:space="0" w:color="auto"/>
            </w:tcBorders>
            <w:shd w:val="clear" w:color="auto" w:fill="auto"/>
            <w:noWrap/>
            <w:vAlign w:val="center"/>
            <w:hideMark/>
          </w:tcPr>
          <w:p w14:paraId="3FB92046" w14:textId="77777777" w:rsidR="0020191D" w:rsidRPr="00B96B9F" w:rsidRDefault="0020191D" w:rsidP="007C4202">
            <w:pPr>
              <w:pStyle w:val="UZEINormaln"/>
              <w:spacing w:before="0" w:after="0"/>
              <w:rPr>
                <w:color w:val="000000"/>
                <w:sz w:val="20"/>
                <w:szCs w:val="20"/>
              </w:rPr>
            </w:pPr>
            <w:r w:rsidRPr="00DE001C">
              <w:rPr>
                <w:sz w:val="22"/>
                <w:szCs w:val="22"/>
              </w:rPr>
              <w:t>Chovy HZ – dojnice</w:t>
            </w:r>
          </w:p>
        </w:tc>
        <w:tc>
          <w:tcPr>
            <w:tcW w:w="680" w:type="dxa"/>
            <w:tcBorders>
              <w:top w:val="nil"/>
              <w:left w:val="nil"/>
              <w:bottom w:val="single" w:sz="4" w:space="0" w:color="auto"/>
              <w:right w:val="single" w:sz="4" w:space="0" w:color="auto"/>
            </w:tcBorders>
            <w:shd w:val="clear" w:color="auto" w:fill="auto"/>
            <w:noWrap/>
            <w:vAlign w:val="center"/>
            <w:hideMark/>
          </w:tcPr>
          <w:p w14:paraId="3C17E5A9" w14:textId="77777777" w:rsidR="0020191D" w:rsidRPr="00B96B9F" w:rsidRDefault="0020191D" w:rsidP="007C4202">
            <w:pPr>
              <w:pStyle w:val="UZEINormaln"/>
              <w:spacing w:before="0" w:after="0"/>
              <w:rPr>
                <w:color w:val="000000"/>
                <w:sz w:val="20"/>
                <w:szCs w:val="20"/>
              </w:rPr>
            </w:pPr>
            <w:r w:rsidRPr="00DE001C">
              <w:rPr>
                <w:sz w:val="22"/>
                <w:szCs w:val="22"/>
              </w:rPr>
              <w:t>9,67</w:t>
            </w:r>
          </w:p>
        </w:tc>
        <w:tc>
          <w:tcPr>
            <w:tcW w:w="680" w:type="dxa"/>
            <w:tcBorders>
              <w:top w:val="nil"/>
              <w:left w:val="nil"/>
              <w:bottom w:val="single" w:sz="4" w:space="0" w:color="auto"/>
              <w:right w:val="single" w:sz="4" w:space="0" w:color="auto"/>
            </w:tcBorders>
            <w:shd w:val="clear" w:color="auto" w:fill="auto"/>
            <w:noWrap/>
            <w:vAlign w:val="center"/>
            <w:hideMark/>
          </w:tcPr>
          <w:p w14:paraId="7BD26220" w14:textId="77777777" w:rsidR="0020191D" w:rsidRPr="00B96B9F" w:rsidRDefault="0020191D" w:rsidP="007C4202">
            <w:pPr>
              <w:pStyle w:val="UZEINormaln"/>
              <w:spacing w:before="0" w:after="0"/>
              <w:rPr>
                <w:color w:val="000000"/>
                <w:sz w:val="20"/>
                <w:szCs w:val="20"/>
              </w:rPr>
            </w:pPr>
            <w:r w:rsidRPr="00DE001C">
              <w:rPr>
                <w:sz w:val="22"/>
                <w:szCs w:val="22"/>
              </w:rPr>
              <w:t>9,37</w:t>
            </w:r>
          </w:p>
        </w:tc>
        <w:tc>
          <w:tcPr>
            <w:tcW w:w="680" w:type="dxa"/>
            <w:tcBorders>
              <w:top w:val="nil"/>
              <w:left w:val="nil"/>
              <w:bottom w:val="single" w:sz="4" w:space="0" w:color="auto"/>
              <w:right w:val="single" w:sz="4" w:space="0" w:color="auto"/>
            </w:tcBorders>
            <w:shd w:val="clear" w:color="auto" w:fill="auto"/>
            <w:noWrap/>
            <w:vAlign w:val="center"/>
            <w:hideMark/>
          </w:tcPr>
          <w:p w14:paraId="510B6EBE" w14:textId="77777777" w:rsidR="0020191D" w:rsidRPr="00B96B9F" w:rsidRDefault="0020191D" w:rsidP="007C4202">
            <w:pPr>
              <w:pStyle w:val="UZEINormaln"/>
              <w:spacing w:before="0" w:after="0"/>
              <w:rPr>
                <w:color w:val="000000"/>
                <w:sz w:val="20"/>
                <w:szCs w:val="20"/>
              </w:rPr>
            </w:pPr>
            <w:r w:rsidRPr="00DE001C">
              <w:rPr>
                <w:sz w:val="22"/>
                <w:szCs w:val="22"/>
              </w:rPr>
              <w:t>8,31</w:t>
            </w:r>
          </w:p>
        </w:tc>
        <w:tc>
          <w:tcPr>
            <w:tcW w:w="680" w:type="dxa"/>
            <w:tcBorders>
              <w:top w:val="nil"/>
              <w:left w:val="nil"/>
              <w:bottom w:val="single" w:sz="4" w:space="0" w:color="auto"/>
              <w:right w:val="single" w:sz="4" w:space="0" w:color="auto"/>
            </w:tcBorders>
            <w:shd w:val="clear" w:color="auto" w:fill="auto"/>
            <w:noWrap/>
            <w:vAlign w:val="center"/>
            <w:hideMark/>
          </w:tcPr>
          <w:p w14:paraId="3EA45873" w14:textId="77777777" w:rsidR="0020191D" w:rsidRPr="00B96B9F" w:rsidRDefault="0020191D" w:rsidP="007C4202">
            <w:pPr>
              <w:pStyle w:val="UZEINormaln"/>
              <w:spacing w:before="0" w:after="0"/>
              <w:rPr>
                <w:color w:val="000000"/>
                <w:sz w:val="20"/>
                <w:szCs w:val="20"/>
              </w:rPr>
            </w:pPr>
            <w:r w:rsidRPr="00DE001C">
              <w:rPr>
                <w:sz w:val="22"/>
                <w:szCs w:val="22"/>
              </w:rPr>
              <w:t>8,10</w:t>
            </w:r>
          </w:p>
        </w:tc>
        <w:tc>
          <w:tcPr>
            <w:tcW w:w="680" w:type="dxa"/>
            <w:tcBorders>
              <w:top w:val="nil"/>
              <w:left w:val="nil"/>
              <w:bottom w:val="single" w:sz="4" w:space="0" w:color="auto"/>
              <w:right w:val="single" w:sz="4" w:space="0" w:color="auto"/>
            </w:tcBorders>
            <w:shd w:val="clear" w:color="auto" w:fill="auto"/>
            <w:noWrap/>
            <w:vAlign w:val="center"/>
            <w:hideMark/>
          </w:tcPr>
          <w:p w14:paraId="41E1FD0F" w14:textId="77777777" w:rsidR="0020191D" w:rsidRPr="00B96B9F" w:rsidRDefault="0020191D" w:rsidP="007C4202">
            <w:pPr>
              <w:pStyle w:val="UZEINormaln"/>
              <w:spacing w:before="0" w:after="0"/>
              <w:rPr>
                <w:color w:val="000000"/>
                <w:sz w:val="20"/>
                <w:szCs w:val="20"/>
              </w:rPr>
            </w:pPr>
            <w:r w:rsidRPr="00DE001C">
              <w:rPr>
                <w:sz w:val="22"/>
                <w:szCs w:val="22"/>
              </w:rPr>
              <w:t>8,08</w:t>
            </w:r>
          </w:p>
        </w:tc>
        <w:tc>
          <w:tcPr>
            <w:tcW w:w="680" w:type="dxa"/>
            <w:tcBorders>
              <w:top w:val="nil"/>
              <w:left w:val="nil"/>
              <w:bottom w:val="single" w:sz="4" w:space="0" w:color="auto"/>
              <w:right w:val="single" w:sz="4" w:space="0" w:color="auto"/>
            </w:tcBorders>
            <w:shd w:val="clear" w:color="auto" w:fill="auto"/>
            <w:noWrap/>
            <w:vAlign w:val="center"/>
            <w:hideMark/>
          </w:tcPr>
          <w:p w14:paraId="15B5F4A7" w14:textId="77777777" w:rsidR="0020191D" w:rsidRPr="00B96B9F" w:rsidRDefault="0020191D" w:rsidP="007C4202">
            <w:pPr>
              <w:pStyle w:val="UZEINormaln"/>
              <w:spacing w:before="0" w:after="0"/>
              <w:rPr>
                <w:color w:val="000000"/>
                <w:sz w:val="20"/>
                <w:szCs w:val="20"/>
              </w:rPr>
            </w:pPr>
            <w:r w:rsidRPr="00DE001C">
              <w:rPr>
                <w:sz w:val="22"/>
                <w:szCs w:val="22"/>
              </w:rPr>
              <w:t>7,96</w:t>
            </w:r>
          </w:p>
        </w:tc>
        <w:tc>
          <w:tcPr>
            <w:tcW w:w="680" w:type="dxa"/>
            <w:tcBorders>
              <w:top w:val="nil"/>
              <w:left w:val="nil"/>
              <w:bottom w:val="single" w:sz="4" w:space="0" w:color="auto"/>
              <w:right w:val="single" w:sz="4" w:space="0" w:color="auto"/>
            </w:tcBorders>
            <w:shd w:val="clear" w:color="auto" w:fill="auto"/>
            <w:noWrap/>
            <w:vAlign w:val="center"/>
            <w:hideMark/>
          </w:tcPr>
          <w:p w14:paraId="00777A19" w14:textId="77777777" w:rsidR="0020191D" w:rsidRPr="00B96B9F" w:rsidRDefault="0020191D" w:rsidP="007C4202">
            <w:pPr>
              <w:pStyle w:val="UZEINormaln"/>
              <w:spacing w:before="0" w:after="0"/>
              <w:rPr>
                <w:color w:val="000000"/>
                <w:sz w:val="20"/>
                <w:szCs w:val="20"/>
              </w:rPr>
            </w:pPr>
            <w:r w:rsidRPr="00DE001C">
              <w:rPr>
                <w:sz w:val="22"/>
                <w:szCs w:val="22"/>
              </w:rPr>
              <w:t>8,07</w:t>
            </w:r>
          </w:p>
        </w:tc>
        <w:tc>
          <w:tcPr>
            <w:tcW w:w="680" w:type="dxa"/>
            <w:tcBorders>
              <w:top w:val="nil"/>
              <w:left w:val="nil"/>
              <w:bottom w:val="single" w:sz="4" w:space="0" w:color="auto"/>
              <w:right w:val="single" w:sz="4" w:space="0" w:color="auto"/>
            </w:tcBorders>
            <w:shd w:val="clear" w:color="auto" w:fill="auto"/>
            <w:noWrap/>
            <w:vAlign w:val="center"/>
            <w:hideMark/>
          </w:tcPr>
          <w:p w14:paraId="0293B2E1" w14:textId="77777777" w:rsidR="0020191D" w:rsidRPr="00B96B9F" w:rsidRDefault="0020191D" w:rsidP="007C4202">
            <w:pPr>
              <w:pStyle w:val="UZEINormaln"/>
              <w:spacing w:before="0" w:after="0"/>
              <w:rPr>
                <w:color w:val="000000"/>
                <w:sz w:val="20"/>
                <w:szCs w:val="20"/>
              </w:rPr>
            </w:pPr>
            <w:r w:rsidRPr="00DE001C">
              <w:rPr>
                <w:sz w:val="22"/>
                <w:szCs w:val="22"/>
              </w:rPr>
              <w:t>8,15</w:t>
            </w:r>
          </w:p>
        </w:tc>
        <w:tc>
          <w:tcPr>
            <w:tcW w:w="680" w:type="dxa"/>
            <w:tcBorders>
              <w:top w:val="nil"/>
              <w:left w:val="nil"/>
              <w:bottom w:val="single" w:sz="4" w:space="0" w:color="auto"/>
              <w:right w:val="single" w:sz="8" w:space="0" w:color="auto"/>
            </w:tcBorders>
            <w:shd w:val="clear" w:color="auto" w:fill="auto"/>
            <w:noWrap/>
            <w:vAlign w:val="center"/>
            <w:hideMark/>
          </w:tcPr>
          <w:p w14:paraId="77421224" w14:textId="77777777" w:rsidR="0020191D" w:rsidRPr="00B96B9F" w:rsidRDefault="0020191D" w:rsidP="007C4202">
            <w:pPr>
              <w:pStyle w:val="UZEINormaln"/>
              <w:spacing w:before="0" w:after="0"/>
              <w:rPr>
                <w:color w:val="000000"/>
                <w:sz w:val="20"/>
                <w:szCs w:val="20"/>
              </w:rPr>
            </w:pPr>
            <w:r w:rsidRPr="00DE001C">
              <w:rPr>
                <w:sz w:val="22"/>
                <w:szCs w:val="22"/>
              </w:rPr>
              <w:t>8,07</w:t>
            </w:r>
          </w:p>
        </w:tc>
        <w:tc>
          <w:tcPr>
            <w:tcW w:w="680" w:type="dxa"/>
            <w:tcBorders>
              <w:top w:val="nil"/>
              <w:left w:val="nil"/>
              <w:bottom w:val="single" w:sz="4" w:space="0" w:color="auto"/>
              <w:right w:val="single" w:sz="8" w:space="0" w:color="auto"/>
            </w:tcBorders>
            <w:vAlign w:val="center"/>
          </w:tcPr>
          <w:p w14:paraId="3CBEE174" w14:textId="77777777" w:rsidR="0020191D" w:rsidRPr="00B96B9F" w:rsidRDefault="0020191D" w:rsidP="007C4202">
            <w:pPr>
              <w:pStyle w:val="UZEINormaln"/>
              <w:spacing w:before="0" w:after="0"/>
              <w:rPr>
                <w:color w:val="000000"/>
                <w:sz w:val="20"/>
                <w:szCs w:val="20"/>
              </w:rPr>
            </w:pPr>
            <w:r w:rsidRPr="00DE001C">
              <w:rPr>
                <w:sz w:val="22"/>
                <w:szCs w:val="22"/>
              </w:rPr>
              <w:t>8,01</w:t>
            </w:r>
          </w:p>
        </w:tc>
        <w:tc>
          <w:tcPr>
            <w:tcW w:w="680" w:type="dxa"/>
            <w:tcBorders>
              <w:top w:val="nil"/>
              <w:left w:val="nil"/>
              <w:bottom w:val="single" w:sz="4" w:space="0" w:color="auto"/>
              <w:right w:val="single" w:sz="8" w:space="0" w:color="auto"/>
            </w:tcBorders>
            <w:vAlign w:val="center"/>
          </w:tcPr>
          <w:p w14:paraId="01DBFFBA" w14:textId="77777777" w:rsidR="0020191D" w:rsidRPr="00B96B9F" w:rsidRDefault="0020191D" w:rsidP="007C4202">
            <w:pPr>
              <w:pStyle w:val="UZEINormaln"/>
              <w:spacing w:before="0" w:after="0"/>
              <w:rPr>
                <w:color w:val="000000"/>
                <w:sz w:val="20"/>
                <w:szCs w:val="20"/>
              </w:rPr>
            </w:pPr>
            <w:r w:rsidRPr="00DE001C">
              <w:rPr>
                <w:sz w:val="22"/>
                <w:szCs w:val="22"/>
              </w:rPr>
              <w:t>7,92</w:t>
            </w:r>
          </w:p>
        </w:tc>
      </w:tr>
      <w:tr w:rsidR="0020191D" w:rsidRPr="00B96B9F" w14:paraId="5FDFFC3A" w14:textId="77777777" w:rsidTr="007C4202">
        <w:trPr>
          <w:trHeight w:val="401"/>
        </w:trPr>
        <w:tc>
          <w:tcPr>
            <w:tcW w:w="2154" w:type="dxa"/>
            <w:tcBorders>
              <w:top w:val="nil"/>
              <w:left w:val="single" w:sz="8" w:space="0" w:color="auto"/>
              <w:bottom w:val="single" w:sz="4" w:space="0" w:color="auto"/>
              <w:right w:val="single" w:sz="8" w:space="0" w:color="auto"/>
            </w:tcBorders>
            <w:shd w:val="clear" w:color="auto" w:fill="auto"/>
            <w:noWrap/>
            <w:vAlign w:val="center"/>
            <w:hideMark/>
          </w:tcPr>
          <w:p w14:paraId="2162931D" w14:textId="77777777" w:rsidR="0020191D" w:rsidRPr="00B96B9F" w:rsidRDefault="0020191D" w:rsidP="007C4202">
            <w:pPr>
              <w:pStyle w:val="UZEINormaln"/>
              <w:spacing w:before="0" w:after="0"/>
              <w:rPr>
                <w:color w:val="000000"/>
                <w:sz w:val="20"/>
                <w:szCs w:val="20"/>
              </w:rPr>
            </w:pPr>
            <w:r w:rsidRPr="00DE001C">
              <w:rPr>
                <w:sz w:val="22"/>
                <w:szCs w:val="22"/>
              </w:rPr>
              <w:t>Chovy HZ – ostatní skot</w:t>
            </w:r>
          </w:p>
        </w:tc>
        <w:tc>
          <w:tcPr>
            <w:tcW w:w="680" w:type="dxa"/>
            <w:tcBorders>
              <w:top w:val="nil"/>
              <w:left w:val="nil"/>
              <w:bottom w:val="single" w:sz="4" w:space="0" w:color="auto"/>
              <w:right w:val="single" w:sz="4" w:space="0" w:color="auto"/>
            </w:tcBorders>
            <w:shd w:val="clear" w:color="auto" w:fill="auto"/>
            <w:noWrap/>
            <w:vAlign w:val="center"/>
            <w:hideMark/>
          </w:tcPr>
          <w:p w14:paraId="5DB279C1" w14:textId="77777777" w:rsidR="0020191D" w:rsidRPr="00B96B9F" w:rsidRDefault="0020191D" w:rsidP="007C4202">
            <w:pPr>
              <w:pStyle w:val="UZEINormaln"/>
              <w:spacing w:before="0" w:after="0"/>
              <w:rPr>
                <w:color w:val="000000"/>
                <w:sz w:val="20"/>
                <w:szCs w:val="20"/>
              </w:rPr>
            </w:pPr>
            <w:r w:rsidRPr="00DE001C">
              <w:rPr>
                <w:sz w:val="22"/>
                <w:szCs w:val="22"/>
              </w:rPr>
              <w:t>11,46</w:t>
            </w:r>
          </w:p>
        </w:tc>
        <w:tc>
          <w:tcPr>
            <w:tcW w:w="680" w:type="dxa"/>
            <w:tcBorders>
              <w:top w:val="nil"/>
              <w:left w:val="nil"/>
              <w:bottom w:val="single" w:sz="4" w:space="0" w:color="auto"/>
              <w:right w:val="single" w:sz="4" w:space="0" w:color="auto"/>
            </w:tcBorders>
            <w:shd w:val="clear" w:color="auto" w:fill="auto"/>
            <w:noWrap/>
            <w:vAlign w:val="center"/>
            <w:hideMark/>
          </w:tcPr>
          <w:p w14:paraId="22F5C020" w14:textId="77777777" w:rsidR="0020191D" w:rsidRPr="00B96B9F" w:rsidRDefault="0020191D" w:rsidP="007C4202">
            <w:pPr>
              <w:pStyle w:val="UZEINormaln"/>
              <w:spacing w:before="0" w:after="0"/>
              <w:rPr>
                <w:color w:val="000000"/>
                <w:sz w:val="20"/>
                <w:szCs w:val="20"/>
              </w:rPr>
            </w:pPr>
            <w:r w:rsidRPr="00DE001C">
              <w:rPr>
                <w:sz w:val="22"/>
                <w:szCs w:val="22"/>
              </w:rPr>
              <w:t>9,74</w:t>
            </w:r>
          </w:p>
        </w:tc>
        <w:tc>
          <w:tcPr>
            <w:tcW w:w="680" w:type="dxa"/>
            <w:tcBorders>
              <w:top w:val="nil"/>
              <w:left w:val="nil"/>
              <w:bottom w:val="single" w:sz="4" w:space="0" w:color="auto"/>
              <w:right w:val="single" w:sz="4" w:space="0" w:color="auto"/>
            </w:tcBorders>
            <w:shd w:val="clear" w:color="auto" w:fill="auto"/>
            <w:noWrap/>
            <w:vAlign w:val="center"/>
            <w:hideMark/>
          </w:tcPr>
          <w:p w14:paraId="48D84B64" w14:textId="77777777" w:rsidR="0020191D" w:rsidRPr="00B96B9F" w:rsidRDefault="0020191D" w:rsidP="007C4202">
            <w:pPr>
              <w:pStyle w:val="UZEINormaln"/>
              <w:spacing w:before="0" w:after="0"/>
              <w:rPr>
                <w:color w:val="000000"/>
                <w:sz w:val="20"/>
                <w:szCs w:val="20"/>
              </w:rPr>
            </w:pPr>
            <w:r w:rsidRPr="00DE001C">
              <w:rPr>
                <w:sz w:val="22"/>
                <w:szCs w:val="22"/>
              </w:rPr>
              <w:t>10,40</w:t>
            </w:r>
          </w:p>
        </w:tc>
        <w:tc>
          <w:tcPr>
            <w:tcW w:w="680" w:type="dxa"/>
            <w:tcBorders>
              <w:top w:val="nil"/>
              <w:left w:val="nil"/>
              <w:bottom w:val="single" w:sz="4" w:space="0" w:color="auto"/>
              <w:right w:val="single" w:sz="4" w:space="0" w:color="auto"/>
            </w:tcBorders>
            <w:shd w:val="clear" w:color="auto" w:fill="auto"/>
            <w:noWrap/>
            <w:vAlign w:val="center"/>
            <w:hideMark/>
          </w:tcPr>
          <w:p w14:paraId="2CD104E9" w14:textId="77777777" w:rsidR="0020191D" w:rsidRPr="00B96B9F" w:rsidRDefault="0020191D" w:rsidP="007C4202">
            <w:pPr>
              <w:pStyle w:val="UZEINormaln"/>
              <w:spacing w:before="0" w:after="0"/>
              <w:rPr>
                <w:color w:val="000000"/>
                <w:sz w:val="20"/>
                <w:szCs w:val="20"/>
              </w:rPr>
            </w:pPr>
            <w:r w:rsidRPr="00DE001C">
              <w:rPr>
                <w:sz w:val="22"/>
                <w:szCs w:val="22"/>
              </w:rPr>
              <w:t>10,70</w:t>
            </w:r>
          </w:p>
        </w:tc>
        <w:tc>
          <w:tcPr>
            <w:tcW w:w="680" w:type="dxa"/>
            <w:tcBorders>
              <w:top w:val="nil"/>
              <w:left w:val="nil"/>
              <w:bottom w:val="single" w:sz="4" w:space="0" w:color="auto"/>
              <w:right w:val="single" w:sz="4" w:space="0" w:color="auto"/>
            </w:tcBorders>
            <w:shd w:val="clear" w:color="auto" w:fill="auto"/>
            <w:noWrap/>
            <w:vAlign w:val="center"/>
            <w:hideMark/>
          </w:tcPr>
          <w:p w14:paraId="69B6205B" w14:textId="77777777" w:rsidR="0020191D" w:rsidRPr="00B96B9F" w:rsidRDefault="0020191D" w:rsidP="007C4202">
            <w:pPr>
              <w:pStyle w:val="UZEINormaln"/>
              <w:spacing w:before="0" w:after="0"/>
              <w:rPr>
                <w:color w:val="000000"/>
                <w:sz w:val="20"/>
                <w:szCs w:val="20"/>
              </w:rPr>
            </w:pPr>
            <w:r w:rsidRPr="00DE001C">
              <w:rPr>
                <w:sz w:val="22"/>
                <w:szCs w:val="22"/>
              </w:rPr>
              <w:t>10,78</w:t>
            </w:r>
          </w:p>
        </w:tc>
        <w:tc>
          <w:tcPr>
            <w:tcW w:w="680" w:type="dxa"/>
            <w:tcBorders>
              <w:top w:val="nil"/>
              <w:left w:val="nil"/>
              <w:bottom w:val="single" w:sz="4" w:space="0" w:color="auto"/>
              <w:right w:val="single" w:sz="4" w:space="0" w:color="auto"/>
            </w:tcBorders>
            <w:shd w:val="clear" w:color="auto" w:fill="auto"/>
            <w:noWrap/>
            <w:vAlign w:val="center"/>
            <w:hideMark/>
          </w:tcPr>
          <w:p w14:paraId="0B04285D" w14:textId="77777777" w:rsidR="0020191D" w:rsidRPr="00B96B9F" w:rsidRDefault="0020191D" w:rsidP="007C4202">
            <w:pPr>
              <w:pStyle w:val="UZEINormaln"/>
              <w:spacing w:before="0" w:after="0"/>
              <w:rPr>
                <w:color w:val="000000"/>
                <w:sz w:val="20"/>
                <w:szCs w:val="20"/>
              </w:rPr>
            </w:pPr>
            <w:r w:rsidRPr="00DE001C">
              <w:rPr>
                <w:sz w:val="22"/>
                <w:szCs w:val="22"/>
              </w:rPr>
              <w:t>10,</w:t>
            </w:r>
            <w:r w:rsidRPr="00B96B9F">
              <w:rPr>
                <w:color w:val="000000"/>
                <w:sz w:val="20"/>
                <w:szCs w:val="20"/>
              </w:rPr>
              <w:t>97</w:t>
            </w:r>
          </w:p>
        </w:tc>
        <w:tc>
          <w:tcPr>
            <w:tcW w:w="680" w:type="dxa"/>
            <w:tcBorders>
              <w:top w:val="nil"/>
              <w:left w:val="nil"/>
              <w:bottom w:val="single" w:sz="4" w:space="0" w:color="auto"/>
              <w:right w:val="single" w:sz="4" w:space="0" w:color="auto"/>
            </w:tcBorders>
            <w:shd w:val="clear" w:color="auto" w:fill="auto"/>
            <w:noWrap/>
            <w:vAlign w:val="center"/>
            <w:hideMark/>
          </w:tcPr>
          <w:p w14:paraId="398D4171" w14:textId="77777777" w:rsidR="0020191D" w:rsidRPr="00B96B9F" w:rsidRDefault="0020191D" w:rsidP="007C4202">
            <w:pPr>
              <w:pStyle w:val="UZEINormaln"/>
              <w:spacing w:before="0" w:after="0"/>
              <w:rPr>
                <w:color w:val="000000"/>
                <w:sz w:val="20"/>
                <w:szCs w:val="20"/>
              </w:rPr>
            </w:pPr>
            <w:r w:rsidRPr="00DE001C">
              <w:rPr>
                <w:sz w:val="22"/>
                <w:szCs w:val="22"/>
              </w:rPr>
              <w:t>11,23</w:t>
            </w:r>
          </w:p>
        </w:tc>
        <w:tc>
          <w:tcPr>
            <w:tcW w:w="680" w:type="dxa"/>
            <w:tcBorders>
              <w:top w:val="nil"/>
              <w:left w:val="nil"/>
              <w:bottom w:val="single" w:sz="4" w:space="0" w:color="auto"/>
              <w:right w:val="single" w:sz="4" w:space="0" w:color="auto"/>
            </w:tcBorders>
            <w:shd w:val="clear" w:color="auto" w:fill="auto"/>
            <w:noWrap/>
            <w:vAlign w:val="center"/>
            <w:hideMark/>
          </w:tcPr>
          <w:p w14:paraId="7B1454BA" w14:textId="77777777" w:rsidR="0020191D" w:rsidRPr="00B96B9F" w:rsidRDefault="0020191D" w:rsidP="007C4202">
            <w:pPr>
              <w:pStyle w:val="UZEINormaln"/>
              <w:spacing w:before="0" w:after="0"/>
              <w:rPr>
                <w:color w:val="000000"/>
                <w:sz w:val="20"/>
                <w:szCs w:val="20"/>
              </w:rPr>
            </w:pPr>
            <w:r w:rsidRPr="00DE001C">
              <w:rPr>
                <w:sz w:val="22"/>
                <w:szCs w:val="22"/>
              </w:rPr>
              <w:t>11,72</w:t>
            </w:r>
          </w:p>
        </w:tc>
        <w:tc>
          <w:tcPr>
            <w:tcW w:w="680" w:type="dxa"/>
            <w:tcBorders>
              <w:top w:val="nil"/>
              <w:left w:val="nil"/>
              <w:bottom w:val="single" w:sz="4" w:space="0" w:color="auto"/>
              <w:right w:val="single" w:sz="8" w:space="0" w:color="auto"/>
            </w:tcBorders>
            <w:shd w:val="clear" w:color="auto" w:fill="auto"/>
            <w:noWrap/>
            <w:vAlign w:val="center"/>
            <w:hideMark/>
          </w:tcPr>
          <w:p w14:paraId="56036B1D" w14:textId="77777777" w:rsidR="0020191D" w:rsidRPr="00B96B9F" w:rsidRDefault="0020191D" w:rsidP="007C4202">
            <w:pPr>
              <w:pStyle w:val="UZEINormaln"/>
              <w:spacing w:before="0" w:after="0"/>
              <w:rPr>
                <w:color w:val="000000"/>
                <w:sz w:val="20"/>
                <w:szCs w:val="20"/>
              </w:rPr>
            </w:pPr>
            <w:r w:rsidRPr="00DE001C">
              <w:rPr>
                <w:sz w:val="22"/>
                <w:szCs w:val="22"/>
              </w:rPr>
              <w:t>11,99</w:t>
            </w:r>
          </w:p>
        </w:tc>
        <w:tc>
          <w:tcPr>
            <w:tcW w:w="680" w:type="dxa"/>
            <w:tcBorders>
              <w:top w:val="nil"/>
              <w:left w:val="nil"/>
              <w:bottom w:val="single" w:sz="4" w:space="0" w:color="auto"/>
              <w:right w:val="single" w:sz="8" w:space="0" w:color="auto"/>
            </w:tcBorders>
            <w:vAlign w:val="center"/>
          </w:tcPr>
          <w:p w14:paraId="5C312800" w14:textId="77777777" w:rsidR="0020191D" w:rsidRPr="00B96B9F" w:rsidRDefault="0020191D" w:rsidP="007C4202">
            <w:pPr>
              <w:pStyle w:val="UZEINormaln"/>
              <w:spacing w:before="0" w:after="0"/>
              <w:rPr>
                <w:color w:val="000000"/>
                <w:sz w:val="20"/>
                <w:szCs w:val="20"/>
              </w:rPr>
            </w:pPr>
            <w:r w:rsidRPr="00DE001C">
              <w:rPr>
                <w:sz w:val="22"/>
                <w:szCs w:val="22"/>
              </w:rPr>
              <w:t>10,12</w:t>
            </w:r>
          </w:p>
        </w:tc>
        <w:tc>
          <w:tcPr>
            <w:tcW w:w="680" w:type="dxa"/>
            <w:tcBorders>
              <w:top w:val="nil"/>
              <w:left w:val="nil"/>
              <w:bottom w:val="single" w:sz="4" w:space="0" w:color="auto"/>
              <w:right w:val="single" w:sz="8" w:space="0" w:color="auto"/>
            </w:tcBorders>
            <w:vAlign w:val="center"/>
          </w:tcPr>
          <w:p w14:paraId="64D87A7D" w14:textId="77777777" w:rsidR="0020191D" w:rsidRPr="00B96B9F" w:rsidRDefault="0020191D" w:rsidP="007C4202">
            <w:pPr>
              <w:pStyle w:val="UZEINormaln"/>
              <w:spacing w:before="0" w:after="0"/>
              <w:rPr>
                <w:color w:val="000000"/>
                <w:sz w:val="20"/>
                <w:szCs w:val="20"/>
              </w:rPr>
            </w:pPr>
            <w:r w:rsidRPr="00DE001C">
              <w:rPr>
                <w:sz w:val="22"/>
                <w:szCs w:val="22"/>
              </w:rPr>
              <w:t>9,87</w:t>
            </w:r>
          </w:p>
        </w:tc>
      </w:tr>
      <w:tr w:rsidR="0020191D" w:rsidRPr="00B96B9F" w14:paraId="54B89392" w14:textId="77777777" w:rsidTr="007C4202">
        <w:trPr>
          <w:trHeight w:val="401"/>
        </w:trPr>
        <w:tc>
          <w:tcPr>
            <w:tcW w:w="2154" w:type="dxa"/>
            <w:tcBorders>
              <w:top w:val="nil"/>
              <w:left w:val="single" w:sz="8" w:space="0" w:color="auto"/>
              <w:bottom w:val="single" w:sz="4" w:space="0" w:color="auto"/>
              <w:right w:val="single" w:sz="8" w:space="0" w:color="auto"/>
            </w:tcBorders>
            <w:shd w:val="clear" w:color="auto" w:fill="auto"/>
            <w:noWrap/>
            <w:vAlign w:val="center"/>
            <w:hideMark/>
          </w:tcPr>
          <w:p w14:paraId="2EDC2FB6" w14:textId="77777777" w:rsidR="0020191D" w:rsidRPr="00B96B9F" w:rsidRDefault="0020191D" w:rsidP="007C4202">
            <w:pPr>
              <w:pStyle w:val="UZEINormaln"/>
              <w:spacing w:before="0" w:after="0"/>
              <w:rPr>
                <w:color w:val="000000"/>
                <w:sz w:val="20"/>
                <w:szCs w:val="20"/>
              </w:rPr>
            </w:pPr>
            <w:r w:rsidRPr="00DE001C">
              <w:rPr>
                <w:sz w:val="22"/>
                <w:szCs w:val="22"/>
              </w:rPr>
              <w:t>Chovy HZ – prasata</w:t>
            </w:r>
          </w:p>
        </w:tc>
        <w:tc>
          <w:tcPr>
            <w:tcW w:w="680" w:type="dxa"/>
            <w:tcBorders>
              <w:top w:val="nil"/>
              <w:left w:val="nil"/>
              <w:bottom w:val="single" w:sz="4" w:space="0" w:color="auto"/>
              <w:right w:val="single" w:sz="4" w:space="0" w:color="auto"/>
            </w:tcBorders>
            <w:shd w:val="clear" w:color="auto" w:fill="auto"/>
            <w:noWrap/>
            <w:vAlign w:val="center"/>
            <w:hideMark/>
          </w:tcPr>
          <w:p w14:paraId="501F2F82" w14:textId="77777777" w:rsidR="0020191D" w:rsidRPr="00B96B9F" w:rsidRDefault="0020191D" w:rsidP="007C4202">
            <w:pPr>
              <w:pStyle w:val="UZEINormaln"/>
              <w:spacing w:before="0" w:after="0"/>
              <w:rPr>
                <w:color w:val="000000"/>
                <w:sz w:val="20"/>
                <w:szCs w:val="20"/>
              </w:rPr>
            </w:pPr>
            <w:r w:rsidRPr="00DE001C">
              <w:rPr>
                <w:sz w:val="22"/>
                <w:szCs w:val="22"/>
              </w:rPr>
              <w:t>11,10</w:t>
            </w:r>
          </w:p>
        </w:tc>
        <w:tc>
          <w:tcPr>
            <w:tcW w:w="680" w:type="dxa"/>
            <w:tcBorders>
              <w:top w:val="nil"/>
              <w:left w:val="nil"/>
              <w:bottom w:val="single" w:sz="4" w:space="0" w:color="auto"/>
              <w:right w:val="single" w:sz="4" w:space="0" w:color="auto"/>
            </w:tcBorders>
            <w:shd w:val="clear" w:color="auto" w:fill="auto"/>
            <w:noWrap/>
            <w:vAlign w:val="center"/>
            <w:hideMark/>
          </w:tcPr>
          <w:p w14:paraId="576E78A0" w14:textId="77777777" w:rsidR="0020191D" w:rsidRPr="00B96B9F" w:rsidRDefault="0020191D" w:rsidP="007C4202">
            <w:pPr>
              <w:pStyle w:val="UZEINormaln"/>
              <w:spacing w:before="0" w:after="0"/>
              <w:rPr>
                <w:color w:val="000000"/>
                <w:sz w:val="20"/>
                <w:szCs w:val="20"/>
              </w:rPr>
            </w:pPr>
            <w:r w:rsidRPr="00DE001C">
              <w:rPr>
                <w:sz w:val="22"/>
                <w:szCs w:val="22"/>
              </w:rPr>
              <w:t>8,62</w:t>
            </w:r>
          </w:p>
        </w:tc>
        <w:tc>
          <w:tcPr>
            <w:tcW w:w="680" w:type="dxa"/>
            <w:tcBorders>
              <w:top w:val="nil"/>
              <w:left w:val="nil"/>
              <w:bottom w:val="single" w:sz="4" w:space="0" w:color="auto"/>
              <w:right w:val="single" w:sz="4" w:space="0" w:color="auto"/>
            </w:tcBorders>
            <w:shd w:val="clear" w:color="auto" w:fill="auto"/>
            <w:noWrap/>
            <w:vAlign w:val="center"/>
            <w:hideMark/>
          </w:tcPr>
          <w:p w14:paraId="44166944" w14:textId="77777777" w:rsidR="0020191D" w:rsidRPr="00B96B9F" w:rsidRDefault="0020191D" w:rsidP="007C4202">
            <w:pPr>
              <w:pStyle w:val="UZEINormaln"/>
              <w:spacing w:before="0" w:after="0"/>
              <w:rPr>
                <w:color w:val="000000"/>
                <w:sz w:val="20"/>
                <w:szCs w:val="20"/>
              </w:rPr>
            </w:pPr>
            <w:r w:rsidRPr="00DE001C">
              <w:rPr>
                <w:sz w:val="22"/>
                <w:szCs w:val="22"/>
              </w:rPr>
              <w:t>5,73</w:t>
            </w:r>
          </w:p>
        </w:tc>
        <w:tc>
          <w:tcPr>
            <w:tcW w:w="680" w:type="dxa"/>
            <w:tcBorders>
              <w:top w:val="nil"/>
              <w:left w:val="nil"/>
              <w:bottom w:val="single" w:sz="4" w:space="0" w:color="auto"/>
              <w:right w:val="single" w:sz="4" w:space="0" w:color="auto"/>
            </w:tcBorders>
            <w:shd w:val="clear" w:color="auto" w:fill="auto"/>
            <w:noWrap/>
            <w:vAlign w:val="center"/>
            <w:hideMark/>
          </w:tcPr>
          <w:p w14:paraId="2AD1390F" w14:textId="77777777" w:rsidR="0020191D" w:rsidRPr="00B96B9F" w:rsidRDefault="0020191D" w:rsidP="007C4202">
            <w:pPr>
              <w:pStyle w:val="UZEINormaln"/>
              <w:spacing w:before="0" w:after="0"/>
              <w:rPr>
                <w:color w:val="000000"/>
                <w:sz w:val="20"/>
                <w:szCs w:val="20"/>
              </w:rPr>
            </w:pPr>
            <w:r w:rsidRPr="00DE001C">
              <w:rPr>
                <w:sz w:val="22"/>
                <w:szCs w:val="22"/>
              </w:rPr>
              <w:t>5,05</w:t>
            </w:r>
          </w:p>
        </w:tc>
        <w:tc>
          <w:tcPr>
            <w:tcW w:w="680" w:type="dxa"/>
            <w:tcBorders>
              <w:top w:val="nil"/>
              <w:left w:val="nil"/>
              <w:bottom w:val="single" w:sz="4" w:space="0" w:color="auto"/>
              <w:right w:val="single" w:sz="4" w:space="0" w:color="auto"/>
            </w:tcBorders>
            <w:shd w:val="clear" w:color="auto" w:fill="auto"/>
            <w:noWrap/>
            <w:vAlign w:val="center"/>
            <w:hideMark/>
          </w:tcPr>
          <w:p w14:paraId="3786C8BF" w14:textId="77777777" w:rsidR="0020191D" w:rsidRPr="00B96B9F" w:rsidRDefault="0020191D" w:rsidP="007C4202">
            <w:pPr>
              <w:pStyle w:val="UZEINormaln"/>
              <w:spacing w:before="0" w:after="0"/>
              <w:rPr>
                <w:color w:val="000000"/>
                <w:sz w:val="20"/>
                <w:szCs w:val="20"/>
              </w:rPr>
            </w:pPr>
            <w:r w:rsidRPr="00DE001C">
              <w:rPr>
                <w:sz w:val="22"/>
                <w:szCs w:val="22"/>
              </w:rPr>
              <w:t>4,70</w:t>
            </w:r>
          </w:p>
        </w:tc>
        <w:tc>
          <w:tcPr>
            <w:tcW w:w="680" w:type="dxa"/>
            <w:tcBorders>
              <w:top w:val="nil"/>
              <w:left w:val="nil"/>
              <w:bottom w:val="single" w:sz="4" w:space="0" w:color="auto"/>
              <w:right w:val="single" w:sz="4" w:space="0" w:color="auto"/>
            </w:tcBorders>
            <w:shd w:val="clear" w:color="auto" w:fill="auto"/>
            <w:noWrap/>
            <w:vAlign w:val="center"/>
            <w:hideMark/>
          </w:tcPr>
          <w:p w14:paraId="48D00820" w14:textId="77777777" w:rsidR="0020191D" w:rsidRPr="00B96B9F" w:rsidRDefault="0020191D" w:rsidP="007C4202">
            <w:pPr>
              <w:pStyle w:val="UZEINormaln"/>
              <w:spacing w:before="0" w:after="0"/>
              <w:rPr>
                <w:color w:val="000000"/>
                <w:sz w:val="20"/>
                <w:szCs w:val="20"/>
              </w:rPr>
            </w:pPr>
            <w:r w:rsidRPr="00DE001C">
              <w:rPr>
                <w:sz w:val="22"/>
                <w:szCs w:val="22"/>
              </w:rPr>
              <w:t>4,81</w:t>
            </w:r>
          </w:p>
        </w:tc>
        <w:tc>
          <w:tcPr>
            <w:tcW w:w="680" w:type="dxa"/>
            <w:tcBorders>
              <w:top w:val="nil"/>
              <w:left w:val="nil"/>
              <w:bottom w:val="single" w:sz="4" w:space="0" w:color="auto"/>
              <w:right w:val="single" w:sz="4" w:space="0" w:color="auto"/>
            </w:tcBorders>
            <w:shd w:val="clear" w:color="auto" w:fill="auto"/>
            <w:noWrap/>
            <w:vAlign w:val="center"/>
            <w:hideMark/>
          </w:tcPr>
          <w:p w14:paraId="6FD48B10" w14:textId="77777777" w:rsidR="0020191D" w:rsidRPr="00B96B9F" w:rsidRDefault="0020191D" w:rsidP="007C4202">
            <w:pPr>
              <w:pStyle w:val="UZEINormaln"/>
              <w:spacing w:before="0" w:after="0"/>
              <w:rPr>
                <w:color w:val="000000"/>
                <w:sz w:val="20"/>
                <w:szCs w:val="20"/>
              </w:rPr>
            </w:pPr>
            <w:r w:rsidRPr="00DE001C">
              <w:rPr>
                <w:sz w:val="22"/>
                <w:szCs w:val="22"/>
              </w:rPr>
              <w:t>4,81</w:t>
            </w:r>
          </w:p>
        </w:tc>
        <w:tc>
          <w:tcPr>
            <w:tcW w:w="680" w:type="dxa"/>
            <w:tcBorders>
              <w:top w:val="nil"/>
              <w:left w:val="nil"/>
              <w:bottom w:val="single" w:sz="4" w:space="0" w:color="auto"/>
              <w:right w:val="single" w:sz="4" w:space="0" w:color="auto"/>
            </w:tcBorders>
            <w:shd w:val="clear" w:color="auto" w:fill="auto"/>
            <w:noWrap/>
            <w:vAlign w:val="center"/>
            <w:hideMark/>
          </w:tcPr>
          <w:p w14:paraId="47E7E40A" w14:textId="77777777" w:rsidR="0020191D" w:rsidRPr="00B96B9F" w:rsidRDefault="0020191D" w:rsidP="007C4202">
            <w:pPr>
              <w:pStyle w:val="UZEINormaln"/>
              <w:spacing w:before="0" w:after="0"/>
              <w:rPr>
                <w:color w:val="000000"/>
                <w:sz w:val="20"/>
                <w:szCs w:val="20"/>
              </w:rPr>
            </w:pPr>
            <w:r w:rsidRPr="00DE001C">
              <w:rPr>
                <w:sz w:val="22"/>
                <w:szCs w:val="22"/>
              </w:rPr>
              <w:t>4,66</w:t>
            </w:r>
          </w:p>
        </w:tc>
        <w:tc>
          <w:tcPr>
            <w:tcW w:w="680" w:type="dxa"/>
            <w:tcBorders>
              <w:top w:val="nil"/>
              <w:left w:val="nil"/>
              <w:bottom w:val="single" w:sz="4" w:space="0" w:color="auto"/>
              <w:right w:val="single" w:sz="8" w:space="0" w:color="auto"/>
            </w:tcBorders>
            <w:shd w:val="clear" w:color="auto" w:fill="auto"/>
            <w:noWrap/>
            <w:vAlign w:val="center"/>
            <w:hideMark/>
          </w:tcPr>
          <w:p w14:paraId="26243DF5" w14:textId="77777777" w:rsidR="0020191D" w:rsidRPr="00B96B9F" w:rsidRDefault="0020191D" w:rsidP="007C4202">
            <w:pPr>
              <w:pStyle w:val="UZEINormaln"/>
              <w:spacing w:before="0" w:after="0"/>
              <w:rPr>
                <w:color w:val="000000"/>
                <w:sz w:val="20"/>
                <w:szCs w:val="20"/>
              </w:rPr>
            </w:pPr>
            <w:r w:rsidRPr="00DE001C">
              <w:rPr>
                <w:sz w:val="22"/>
                <w:szCs w:val="22"/>
              </w:rPr>
              <w:t>4,73</w:t>
            </w:r>
          </w:p>
        </w:tc>
        <w:tc>
          <w:tcPr>
            <w:tcW w:w="680" w:type="dxa"/>
            <w:tcBorders>
              <w:top w:val="nil"/>
              <w:left w:val="nil"/>
              <w:bottom w:val="single" w:sz="4" w:space="0" w:color="auto"/>
              <w:right w:val="single" w:sz="8" w:space="0" w:color="auto"/>
            </w:tcBorders>
            <w:vAlign w:val="center"/>
          </w:tcPr>
          <w:p w14:paraId="5769B02D" w14:textId="77777777" w:rsidR="0020191D" w:rsidRPr="00B96B9F" w:rsidRDefault="0020191D" w:rsidP="007C4202">
            <w:pPr>
              <w:pStyle w:val="UZEINormaln"/>
              <w:spacing w:before="0" w:after="0"/>
              <w:rPr>
                <w:color w:val="000000"/>
                <w:sz w:val="20"/>
                <w:szCs w:val="20"/>
              </w:rPr>
            </w:pPr>
            <w:r w:rsidRPr="00DE001C">
              <w:rPr>
                <w:sz w:val="22"/>
                <w:szCs w:val="22"/>
              </w:rPr>
              <w:t>4,44</w:t>
            </w:r>
          </w:p>
        </w:tc>
        <w:tc>
          <w:tcPr>
            <w:tcW w:w="680" w:type="dxa"/>
            <w:tcBorders>
              <w:top w:val="nil"/>
              <w:left w:val="nil"/>
              <w:bottom w:val="single" w:sz="4" w:space="0" w:color="auto"/>
              <w:right w:val="single" w:sz="8" w:space="0" w:color="auto"/>
            </w:tcBorders>
            <w:vAlign w:val="center"/>
          </w:tcPr>
          <w:p w14:paraId="0C9895D4" w14:textId="77777777" w:rsidR="0020191D" w:rsidRPr="00B96B9F" w:rsidRDefault="0020191D" w:rsidP="007C4202">
            <w:pPr>
              <w:pStyle w:val="UZEINormaln"/>
              <w:spacing w:before="0" w:after="0"/>
              <w:rPr>
                <w:color w:val="000000"/>
                <w:sz w:val="20"/>
                <w:szCs w:val="20"/>
              </w:rPr>
            </w:pPr>
            <w:r w:rsidRPr="00DE001C">
              <w:rPr>
                <w:sz w:val="22"/>
                <w:szCs w:val="22"/>
              </w:rPr>
              <w:t>4,59</w:t>
            </w:r>
          </w:p>
        </w:tc>
      </w:tr>
      <w:tr w:rsidR="0020191D" w:rsidRPr="00B96B9F" w14:paraId="312EF2FE" w14:textId="77777777" w:rsidTr="007C4202">
        <w:trPr>
          <w:trHeight w:val="401"/>
        </w:trPr>
        <w:tc>
          <w:tcPr>
            <w:tcW w:w="2154" w:type="dxa"/>
            <w:tcBorders>
              <w:top w:val="nil"/>
              <w:left w:val="single" w:sz="8" w:space="0" w:color="auto"/>
              <w:bottom w:val="single" w:sz="4" w:space="0" w:color="auto"/>
              <w:right w:val="single" w:sz="8" w:space="0" w:color="auto"/>
            </w:tcBorders>
            <w:shd w:val="clear" w:color="auto" w:fill="auto"/>
            <w:noWrap/>
            <w:vAlign w:val="center"/>
            <w:hideMark/>
          </w:tcPr>
          <w:p w14:paraId="480232A9" w14:textId="77777777" w:rsidR="0020191D" w:rsidRPr="00B96B9F" w:rsidRDefault="0020191D" w:rsidP="007C4202">
            <w:pPr>
              <w:pStyle w:val="UZEINormaln"/>
              <w:spacing w:before="0" w:after="0"/>
              <w:rPr>
                <w:color w:val="000000"/>
                <w:sz w:val="20"/>
                <w:szCs w:val="20"/>
              </w:rPr>
            </w:pPr>
            <w:r w:rsidRPr="00DE001C">
              <w:rPr>
                <w:sz w:val="22"/>
                <w:szCs w:val="22"/>
              </w:rPr>
              <w:t>Chovy HZ – nosnice</w:t>
            </w:r>
          </w:p>
        </w:tc>
        <w:tc>
          <w:tcPr>
            <w:tcW w:w="680" w:type="dxa"/>
            <w:tcBorders>
              <w:top w:val="nil"/>
              <w:left w:val="nil"/>
              <w:bottom w:val="single" w:sz="4" w:space="0" w:color="auto"/>
              <w:right w:val="single" w:sz="4" w:space="0" w:color="auto"/>
            </w:tcBorders>
            <w:shd w:val="clear" w:color="auto" w:fill="auto"/>
            <w:noWrap/>
            <w:vAlign w:val="center"/>
            <w:hideMark/>
          </w:tcPr>
          <w:p w14:paraId="175E6972" w14:textId="77777777" w:rsidR="0020191D" w:rsidRPr="00B96B9F" w:rsidRDefault="0020191D" w:rsidP="007C4202">
            <w:pPr>
              <w:pStyle w:val="UZEINormaln"/>
              <w:spacing w:before="0" w:after="0"/>
              <w:rPr>
                <w:color w:val="000000"/>
                <w:sz w:val="20"/>
                <w:szCs w:val="20"/>
              </w:rPr>
            </w:pPr>
            <w:r w:rsidRPr="00DE001C">
              <w:rPr>
                <w:sz w:val="22"/>
                <w:szCs w:val="22"/>
              </w:rPr>
              <w:t>2,60</w:t>
            </w:r>
          </w:p>
        </w:tc>
        <w:tc>
          <w:tcPr>
            <w:tcW w:w="680" w:type="dxa"/>
            <w:tcBorders>
              <w:top w:val="nil"/>
              <w:left w:val="nil"/>
              <w:bottom w:val="single" w:sz="4" w:space="0" w:color="auto"/>
              <w:right w:val="single" w:sz="4" w:space="0" w:color="auto"/>
            </w:tcBorders>
            <w:shd w:val="clear" w:color="auto" w:fill="auto"/>
            <w:noWrap/>
            <w:vAlign w:val="center"/>
            <w:hideMark/>
          </w:tcPr>
          <w:p w14:paraId="1BFFEB0C" w14:textId="77777777" w:rsidR="0020191D" w:rsidRPr="00B96B9F" w:rsidRDefault="0020191D" w:rsidP="007C4202">
            <w:pPr>
              <w:pStyle w:val="UZEINormaln"/>
              <w:spacing w:before="0" w:after="0"/>
              <w:rPr>
                <w:color w:val="000000"/>
                <w:sz w:val="20"/>
                <w:szCs w:val="20"/>
              </w:rPr>
            </w:pPr>
            <w:r w:rsidRPr="00DE001C">
              <w:rPr>
                <w:sz w:val="22"/>
                <w:szCs w:val="22"/>
              </w:rPr>
              <w:t>1,31</w:t>
            </w:r>
          </w:p>
        </w:tc>
        <w:tc>
          <w:tcPr>
            <w:tcW w:w="680" w:type="dxa"/>
            <w:tcBorders>
              <w:top w:val="nil"/>
              <w:left w:val="nil"/>
              <w:bottom w:val="single" w:sz="4" w:space="0" w:color="auto"/>
              <w:right w:val="single" w:sz="4" w:space="0" w:color="auto"/>
            </w:tcBorders>
            <w:shd w:val="clear" w:color="auto" w:fill="auto"/>
            <w:noWrap/>
            <w:vAlign w:val="center"/>
            <w:hideMark/>
          </w:tcPr>
          <w:p w14:paraId="43E8DA6A" w14:textId="77777777" w:rsidR="0020191D" w:rsidRPr="00B96B9F" w:rsidRDefault="0020191D" w:rsidP="007C4202">
            <w:pPr>
              <w:pStyle w:val="UZEINormaln"/>
              <w:spacing w:before="0" w:after="0"/>
              <w:rPr>
                <w:color w:val="000000"/>
                <w:sz w:val="20"/>
                <w:szCs w:val="20"/>
              </w:rPr>
            </w:pPr>
            <w:r w:rsidRPr="00DE001C">
              <w:rPr>
                <w:sz w:val="22"/>
                <w:szCs w:val="22"/>
              </w:rPr>
              <w:t>1,38</w:t>
            </w:r>
          </w:p>
        </w:tc>
        <w:tc>
          <w:tcPr>
            <w:tcW w:w="680" w:type="dxa"/>
            <w:tcBorders>
              <w:top w:val="nil"/>
              <w:left w:val="nil"/>
              <w:bottom w:val="single" w:sz="4" w:space="0" w:color="auto"/>
              <w:right w:val="single" w:sz="4" w:space="0" w:color="auto"/>
            </w:tcBorders>
            <w:shd w:val="clear" w:color="auto" w:fill="auto"/>
            <w:noWrap/>
            <w:vAlign w:val="center"/>
            <w:hideMark/>
          </w:tcPr>
          <w:p w14:paraId="570FF10B" w14:textId="77777777" w:rsidR="0020191D" w:rsidRPr="00B96B9F" w:rsidRDefault="0020191D" w:rsidP="007C4202">
            <w:pPr>
              <w:pStyle w:val="UZEINormaln"/>
              <w:spacing w:before="0" w:after="0"/>
              <w:rPr>
                <w:color w:val="000000"/>
                <w:sz w:val="20"/>
                <w:szCs w:val="20"/>
              </w:rPr>
            </w:pPr>
            <w:r w:rsidRPr="00DE001C">
              <w:rPr>
                <w:sz w:val="22"/>
                <w:szCs w:val="22"/>
              </w:rPr>
              <w:t>1,36</w:t>
            </w:r>
          </w:p>
        </w:tc>
        <w:tc>
          <w:tcPr>
            <w:tcW w:w="680" w:type="dxa"/>
            <w:tcBorders>
              <w:top w:val="nil"/>
              <w:left w:val="nil"/>
              <w:bottom w:val="single" w:sz="4" w:space="0" w:color="auto"/>
              <w:right w:val="single" w:sz="4" w:space="0" w:color="auto"/>
            </w:tcBorders>
            <w:shd w:val="clear" w:color="auto" w:fill="auto"/>
            <w:noWrap/>
            <w:vAlign w:val="center"/>
            <w:hideMark/>
          </w:tcPr>
          <w:p w14:paraId="199F195A" w14:textId="77777777" w:rsidR="0020191D" w:rsidRPr="00B96B9F" w:rsidRDefault="0020191D" w:rsidP="007C4202">
            <w:pPr>
              <w:pStyle w:val="UZEINormaln"/>
              <w:spacing w:before="0" w:after="0"/>
              <w:rPr>
                <w:color w:val="000000"/>
                <w:sz w:val="20"/>
                <w:szCs w:val="20"/>
              </w:rPr>
            </w:pPr>
            <w:r w:rsidRPr="00DE001C">
              <w:rPr>
                <w:sz w:val="22"/>
                <w:szCs w:val="22"/>
              </w:rPr>
              <w:t>1,21</w:t>
            </w:r>
          </w:p>
        </w:tc>
        <w:tc>
          <w:tcPr>
            <w:tcW w:w="680" w:type="dxa"/>
            <w:tcBorders>
              <w:top w:val="nil"/>
              <w:left w:val="nil"/>
              <w:bottom w:val="single" w:sz="4" w:space="0" w:color="auto"/>
              <w:right w:val="single" w:sz="4" w:space="0" w:color="auto"/>
            </w:tcBorders>
            <w:shd w:val="clear" w:color="auto" w:fill="auto"/>
            <w:noWrap/>
            <w:vAlign w:val="center"/>
            <w:hideMark/>
          </w:tcPr>
          <w:p w14:paraId="079C49D2" w14:textId="77777777" w:rsidR="0020191D" w:rsidRPr="00B96B9F" w:rsidRDefault="0020191D" w:rsidP="007C4202">
            <w:pPr>
              <w:pStyle w:val="UZEINormaln"/>
              <w:spacing w:before="0" w:after="0"/>
              <w:rPr>
                <w:color w:val="000000"/>
                <w:sz w:val="20"/>
                <w:szCs w:val="20"/>
              </w:rPr>
            </w:pPr>
            <w:r w:rsidRPr="00DE001C">
              <w:rPr>
                <w:sz w:val="22"/>
                <w:szCs w:val="22"/>
              </w:rPr>
              <w:t>1,61</w:t>
            </w:r>
          </w:p>
        </w:tc>
        <w:tc>
          <w:tcPr>
            <w:tcW w:w="680" w:type="dxa"/>
            <w:tcBorders>
              <w:top w:val="nil"/>
              <w:left w:val="nil"/>
              <w:bottom w:val="single" w:sz="4" w:space="0" w:color="auto"/>
              <w:right w:val="single" w:sz="4" w:space="0" w:color="auto"/>
            </w:tcBorders>
            <w:shd w:val="clear" w:color="auto" w:fill="auto"/>
            <w:noWrap/>
            <w:vAlign w:val="center"/>
            <w:hideMark/>
          </w:tcPr>
          <w:p w14:paraId="11C8B2A4" w14:textId="77777777" w:rsidR="0020191D" w:rsidRPr="00B96B9F" w:rsidRDefault="0020191D" w:rsidP="007C4202">
            <w:pPr>
              <w:pStyle w:val="UZEINormaln"/>
              <w:spacing w:before="0" w:after="0"/>
              <w:rPr>
                <w:color w:val="000000"/>
                <w:sz w:val="20"/>
                <w:szCs w:val="20"/>
              </w:rPr>
            </w:pPr>
            <w:r w:rsidRPr="00DE001C">
              <w:rPr>
                <w:sz w:val="22"/>
                <w:szCs w:val="22"/>
              </w:rPr>
              <w:t>1,51</w:t>
            </w:r>
          </w:p>
        </w:tc>
        <w:tc>
          <w:tcPr>
            <w:tcW w:w="680" w:type="dxa"/>
            <w:tcBorders>
              <w:top w:val="nil"/>
              <w:left w:val="nil"/>
              <w:bottom w:val="single" w:sz="4" w:space="0" w:color="auto"/>
              <w:right w:val="single" w:sz="4" w:space="0" w:color="auto"/>
            </w:tcBorders>
            <w:shd w:val="clear" w:color="auto" w:fill="auto"/>
            <w:noWrap/>
            <w:vAlign w:val="center"/>
            <w:hideMark/>
          </w:tcPr>
          <w:p w14:paraId="5B79FDA4" w14:textId="77777777" w:rsidR="0020191D" w:rsidRPr="00B96B9F" w:rsidRDefault="0020191D" w:rsidP="007C4202">
            <w:pPr>
              <w:pStyle w:val="UZEINormaln"/>
              <w:spacing w:before="0" w:after="0"/>
              <w:rPr>
                <w:color w:val="000000"/>
                <w:sz w:val="20"/>
                <w:szCs w:val="20"/>
              </w:rPr>
            </w:pPr>
            <w:r w:rsidRPr="00DE001C">
              <w:rPr>
                <w:sz w:val="22"/>
                <w:szCs w:val="22"/>
              </w:rPr>
              <w:t>1,41</w:t>
            </w:r>
          </w:p>
        </w:tc>
        <w:tc>
          <w:tcPr>
            <w:tcW w:w="680" w:type="dxa"/>
            <w:tcBorders>
              <w:top w:val="nil"/>
              <w:left w:val="nil"/>
              <w:bottom w:val="single" w:sz="4" w:space="0" w:color="auto"/>
              <w:right w:val="single" w:sz="8" w:space="0" w:color="auto"/>
            </w:tcBorders>
            <w:shd w:val="clear" w:color="auto" w:fill="auto"/>
            <w:noWrap/>
            <w:vAlign w:val="center"/>
            <w:hideMark/>
          </w:tcPr>
          <w:p w14:paraId="72046207" w14:textId="77777777" w:rsidR="0020191D" w:rsidRPr="00B96B9F" w:rsidRDefault="0020191D" w:rsidP="007C4202">
            <w:pPr>
              <w:pStyle w:val="UZEINormaln"/>
              <w:spacing w:before="0" w:after="0"/>
              <w:rPr>
                <w:color w:val="000000"/>
                <w:sz w:val="20"/>
                <w:szCs w:val="20"/>
              </w:rPr>
            </w:pPr>
            <w:r w:rsidRPr="00DE001C">
              <w:rPr>
                <w:sz w:val="22"/>
                <w:szCs w:val="22"/>
              </w:rPr>
              <w:t>1,37</w:t>
            </w:r>
          </w:p>
        </w:tc>
        <w:tc>
          <w:tcPr>
            <w:tcW w:w="680" w:type="dxa"/>
            <w:tcBorders>
              <w:top w:val="nil"/>
              <w:left w:val="nil"/>
              <w:bottom w:val="single" w:sz="4" w:space="0" w:color="auto"/>
              <w:right w:val="single" w:sz="8" w:space="0" w:color="auto"/>
            </w:tcBorders>
            <w:vAlign w:val="center"/>
          </w:tcPr>
          <w:p w14:paraId="2D31A480" w14:textId="77777777" w:rsidR="0020191D" w:rsidRPr="00B96B9F" w:rsidRDefault="0020191D" w:rsidP="007C4202">
            <w:pPr>
              <w:pStyle w:val="UZEINormaln"/>
              <w:spacing w:before="0" w:after="0"/>
              <w:rPr>
                <w:color w:val="000000"/>
                <w:sz w:val="20"/>
                <w:szCs w:val="20"/>
              </w:rPr>
            </w:pPr>
            <w:r w:rsidRPr="00DE001C">
              <w:rPr>
                <w:sz w:val="22"/>
                <w:szCs w:val="22"/>
              </w:rPr>
              <w:t>1,53</w:t>
            </w:r>
          </w:p>
        </w:tc>
        <w:tc>
          <w:tcPr>
            <w:tcW w:w="680" w:type="dxa"/>
            <w:tcBorders>
              <w:top w:val="nil"/>
              <w:left w:val="nil"/>
              <w:bottom w:val="single" w:sz="4" w:space="0" w:color="auto"/>
              <w:right w:val="single" w:sz="8" w:space="0" w:color="auto"/>
            </w:tcBorders>
            <w:vAlign w:val="center"/>
          </w:tcPr>
          <w:p w14:paraId="64808303" w14:textId="77777777" w:rsidR="0020191D" w:rsidRPr="00B96B9F" w:rsidRDefault="0020191D" w:rsidP="007C4202">
            <w:pPr>
              <w:pStyle w:val="UZEINormaln"/>
              <w:spacing w:before="0" w:after="0"/>
              <w:rPr>
                <w:color w:val="000000"/>
                <w:sz w:val="20"/>
                <w:szCs w:val="20"/>
              </w:rPr>
            </w:pPr>
            <w:r w:rsidRPr="00DE001C">
              <w:rPr>
                <w:sz w:val="22"/>
                <w:szCs w:val="22"/>
              </w:rPr>
              <w:t>1,78</w:t>
            </w:r>
          </w:p>
        </w:tc>
      </w:tr>
      <w:tr w:rsidR="0020191D" w:rsidRPr="00B96B9F" w14:paraId="19484F08" w14:textId="77777777" w:rsidTr="007C4202">
        <w:trPr>
          <w:trHeight w:val="401"/>
        </w:trPr>
        <w:tc>
          <w:tcPr>
            <w:tcW w:w="2154" w:type="dxa"/>
            <w:tcBorders>
              <w:top w:val="nil"/>
              <w:left w:val="single" w:sz="8" w:space="0" w:color="auto"/>
              <w:bottom w:val="single" w:sz="4" w:space="0" w:color="auto"/>
              <w:right w:val="single" w:sz="8" w:space="0" w:color="auto"/>
            </w:tcBorders>
            <w:shd w:val="clear" w:color="auto" w:fill="auto"/>
            <w:noWrap/>
            <w:vAlign w:val="center"/>
            <w:hideMark/>
          </w:tcPr>
          <w:p w14:paraId="712CB923" w14:textId="77777777" w:rsidR="0020191D" w:rsidRPr="00B96B9F" w:rsidRDefault="0020191D" w:rsidP="007C4202">
            <w:pPr>
              <w:pStyle w:val="UZEINormaln"/>
              <w:spacing w:before="0" w:after="0"/>
              <w:rPr>
                <w:color w:val="000000"/>
                <w:sz w:val="20"/>
                <w:szCs w:val="20"/>
              </w:rPr>
            </w:pPr>
            <w:r w:rsidRPr="00DE001C">
              <w:rPr>
                <w:sz w:val="22"/>
                <w:szCs w:val="22"/>
              </w:rPr>
              <w:t>Chovy HZ – brojleři</w:t>
            </w:r>
          </w:p>
        </w:tc>
        <w:tc>
          <w:tcPr>
            <w:tcW w:w="680" w:type="dxa"/>
            <w:tcBorders>
              <w:top w:val="nil"/>
              <w:left w:val="nil"/>
              <w:bottom w:val="single" w:sz="4" w:space="0" w:color="auto"/>
              <w:right w:val="single" w:sz="4" w:space="0" w:color="auto"/>
            </w:tcBorders>
            <w:shd w:val="clear" w:color="auto" w:fill="auto"/>
            <w:noWrap/>
            <w:vAlign w:val="center"/>
            <w:hideMark/>
          </w:tcPr>
          <w:p w14:paraId="5BC75CC3" w14:textId="77777777" w:rsidR="0020191D" w:rsidRPr="00B96B9F" w:rsidRDefault="0020191D" w:rsidP="007C4202">
            <w:pPr>
              <w:pStyle w:val="UZEINormaln"/>
              <w:spacing w:before="0" w:after="0"/>
              <w:rPr>
                <w:color w:val="000000"/>
                <w:sz w:val="20"/>
                <w:szCs w:val="20"/>
              </w:rPr>
            </w:pPr>
            <w:r w:rsidRPr="00DE001C">
              <w:rPr>
                <w:sz w:val="22"/>
                <w:szCs w:val="22"/>
              </w:rPr>
              <w:t>2,38</w:t>
            </w:r>
          </w:p>
        </w:tc>
        <w:tc>
          <w:tcPr>
            <w:tcW w:w="680" w:type="dxa"/>
            <w:tcBorders>
              <w:top w:val="nil"/>
              <w:left w:val="nil"/>
              <w:bottom w:val="single" w:sz="4" w:space="0" w:color="auto"/>
              <w:right w:val="single" w:sz="4" w:space="0" w:color="auto"/>
            </w:tcBorders>
            <w:shd w:val="clear" w:color="auto" w:fill="auto"/>
            <w:noWrap/>
            <w:vAlign w:val="center"/>
            <w:hideMark/>
          </w:tcPr>
          <w:p w14:paraId="0A3E9828" w14:textId="77777777" w:rsidR="0020191D" w:rsidRPr="00B96B9F" w:rsidRDefault="0020191D" w:rsidP="007C4202">
            <w:pPr>
              <w:pStyle w:val="UZEINormaln"/>
              <w:spacing w:before="0" w:after="0"/>
              <w:rPr>
                <w:color w:val="000000"/>
                <w:sz w:val="20"/>
                <w:szCs w:val="20"/>
              </w:rPr>
            </w:pPr>
            <w:r w:rsidRPr="00DE001C">
              <w:rPr>
                <w:sz w:val="22"/>
                <w:szCs w:val="22"/>
              </w:rPr>
              <w:t>2,45</w:t>
            </w:r>
          </w:p>
        </w:tc>
        <w:tc>
          <w:tcPr>
            <w:tcW w:w="680" w:type="dxa"/>
            <w:tcBorders>
              <w:top w:val="nil"/>
              <w:left w:val="nil"/>
              <w:bottom w:val="single" w:sz="4" w:space="0" w:color="auto"/>
              <w:right w:val="single" w:sz="4" w:space="0" w:color="auto"/>
            </w:tcBorders>
            <w:shd w:val="clear" w:color="auto" w:fill="auto"/>
            <w:noWrap/>
            <w:vAlign w:val="center"/>
            <w:hideMark/>
          </w:tcPr>
          <w:p w14:paraId="1E5FFEEA" w14:textId="77777777" w:rsidR="0020191D" w:rsidRPr="00B96B9F" w:rsidRDefault="0020191D" w:rsidP="007C4202">
            <w:pPr>
              <w:pStyle w:val="UZEINormaln"/>
              <w:spacing w:before="0" w:after="0"/>
              <w:rPr>
                <w:color w:val="000000"/>
                <w:sz w:val="20"/>
                <w:szCs w:val="20"/>
              </w:rPr>
            </w:pPr>
            <w:r w:rsidRPr="00DE001C">
              <w:rPr>
                <w:sz w:val="22"/>
                <w:szCs w:val="22"/>
              </w:rPr>
              <w:t>2,40</w:t>
            </w:r>
          </w:p>
        </w:tc>
        <w:tc>
          <w:tcPr>
            <w:tcW w:w="680" w:type="dxa"/>
            <w:tcBorders>
              <w:top w:val="nil"/>
              <w:left w:val="nil"/>
              <w:bottom w:val="single" w:sz="4" w:space="0" w:color="auto"/>
              <w:right w:val="single" w:sz="4" w:space="0" w:color="auto"/>
            </w:tcBorders>
            <w:shd w:val="clear" w:color="auto" w:fill="auto"/>
            <w:noWrap/>
            <w:vAlign w:val="center"/>
            <w:hideMark/>
          </w:tcPr>
          <w:p w14:paraId="63C31C51" w14:textId="77777777" w:rsidR="0020191D" w:rsidRPr="00B96B9F" w:rsidRDefault="0020191D" w:rsidP="007C4202">
            <w:pPr>
              <w:pStyle w:val="UZEINormaln"/>
              <w:spacing w:before="0" w:after="0"/>
              <w:rPr>
                <w:color w:val="000000"/>
                <w:sz w:val="20"/>
                <w:szCs w:val="20"/>
              </w:rPr>
            </w:pPr>
            <w:r w:rsidRPr="00DE001C">
              <w:rPr>
                <w:sz w:val="22"/>
                <w:szCs w:val="22"/>
              </w:rPr>
              <w:t>1,94</w:t>
            </w:r>
          </w:p>
        </w:tc>
        <w:tc>
          <w:tcPr>
            <w:tcW w:w="680" w:type="dxa"/>
            <w:tcBorders>
              <w:top w:val="nil"/>
              <w:left w:val="nil"/>
              <w:bottom w:val="single" w:sz="4" w:space="0" w:color="auto"/>
              <w:right w:val="single" w:sz="4" w:space="0" w:color="auto"/>
            </w:tcBorders>
            <w:shd w:val="clear" w:color="auto" w:fill="auto"/>
            <w:noWrap/>
            <w:vAlign w:val="center"/>
            <w:hideMark/>
          </w:tcPr>
          <w:p w14:paraId="4F2229F0" w14:textId="77777777" w:rsidR="0020191D" w:rsidRPr="00B96B9F" w:rsidRDefault="0020191D" w:rsidP="007C4202">
            <w:pPr>
              <w:pStyle w:val="UZEINormaln"/>
              <w:spacing w:before="0" w:after="0"/>
              <w:rPr>
                <w:color w:val="000000"/>
                <w:sz w:val="20"/>
                <w:szCs w:val="20"/>
              </w:rPr>
            </w:pPr>
            <w:r w:rsidRPr="00DE001C">
              <w:rPr>
                <w:sz w:val="22"/>
                <w:szCs w:val="22"/>
              </w:rPr>
              <w:t>1,97</w:t>
            </w:r>
          </w:p>
        </w:tc>
        <w:tc>
          <w:tcPr>
            <w:tcW w:w="680" w:type="dxa"/>
            <w:tcBorders>
              <w:top w:val="nil"/>
              <w:left w:val="nil"/>
              <w:bottom w:val="single" w:sz="4" w:space="0" w:color="auto"/>
              <w:right w:val="single" w:sz="4" w:space="0" w:color="auto"/>
            </w:tcBorders>
            <w:shd w:val="clear" w:color="auto" w:fill="auto"/>
            <w:noWrap/>
            <w:vAlign w:val="center"/>
            <w:hideMark/>
          </w:tcPr>
          <w:p w14:paraId="6CAFC635" w14:textId="77777777" w:rsidR="0020191D" w:rsidRPr="00B96B9F" w:rsidRDefault="0020191D" w:rsidP="007C4202">
            <w:pPr>
              <w:pStyle w:val="UZEINormaln"/>
              <w:spacing w:before="0" w:after="0"/>
              <w:rPr>
                <w:color w:val="000000"/>
                <w:sz w:val="20"/>
                <w:szCs w:val="20"/>
              </w:rPr>
            </w:pPr>
            <w:r w:rsidRPr="00DE001C">
              <w:rPr>
                <w:sz w:val="22"/>
                <w:szCs w:val="22"/>
              </w:rPr>
              <w:t>2,05</w:t>
            </w:r>
          </w:p>
        </w:tc>
        <w:tc>
          <w:tcPr>
            <w:tcW w:w="680" w:type="dxa"/>
            <w:tcBorders>
              <w:top w:val="nil"/>
              <w:left w:val="nil"/>
              <w:bottom w:val="single" w:sz="4" w:space="0" w:color="auto"/>
              <w:right w:val="single" w:sz="4" w:space="0" w:color="auto"/>
            </w:tcBorders>
            <w:shd w:val="clear" w:color="auto" w:fill="auto"/>
            <w:noWrap/>
            <w:vAlign w:val="center"/>
            <w:hideMark/>
          </w:tcPr>
          <w:p w14:paraId="2E53E048" w14:textId="77777777" w:rsidR="0020191D" w:rsidRPr="00B96B9F" w:rsidRDefault="0020191D" w:rsidP="007C4202">
            <w:pPr>
              <w:pStyle w:val="UZEINormaln"/>
              <w:spacing w:before="0" w:after="0"/>
              <w:rPr>
                <w:color w:val="000000"/>
                <w:sz w:val="20"/>
                <w:szCs w:val="20"/>
              </w:rPr>
            </w:pPr>
            <w:r w:rsidRPr="00DE001C">
              <w:rPr>
                <w:sz w:val="22"/>
                <w:szCs w:val="22"/>
              </w:rPr>
              <w:t>1,86</w:t>
            </w:r>
          </w:p>
        </w:tc>
        <w:tc>
          <w:tcPr>
            <w:tcW w:w="680" w:type="dxa"/>
            <w:tcBorders>
              <w:top w:val="nil"/>
              <w:left w:val="nil"/>
              <w:bottom w:val="single" w:sz="4" w:space="0" w:color="auto"/>
              <w:right w:val="single" w:sz="4" w:space="0" w:color="auto"/>
            </w:tcBorders>
            <w:shd w:val="clear" w:color="auto" w:fill="auto"/>
            <w:noWrap/>
            <w:vAlign w:val="center"/>
            <w:hideMark/>
          </w:tcPr>
          <w:p w14:paraId="62CFFBE7" w14:textId="77777777" w:rsidR="0020191D" w:rsidRPr="00B96B9F" w:rsidRDefault="0020191D" w:rsidP="007C4202">
            <w:pPr>
              <w:pStyle w:val="UZEINormaln"/>
              <w:spacing w:before="0" w:after="0"/>
              <w:rPr>
                <w:color w:val="000000"/>
                <w:sz w:val="20"/>
                <w:szCs w:val="20"/>
              </w:rPr>
            </w:pPr>
            <w:r w:rsidRPr="00DE001C">
              <w:rPr>
                <w:sz w:val="22"/>
                <w:szCs w:val="22"/>
              </w:rPr>
              <w:t>2,03</w:t>
            </w:r>
          </w:p>
        </w:tc>
        <w:tc>
          <w:tcPr>
            <w:tcW w:w="680" w:type="dxa"/>
            <w:tcBorders>
              <w:top w:val="nil"/>
              <w:left w:val="nil"/>
              <w:bottom w:val="single" w:sz="4" w:space="0" w:color="auto"/>
              <w:right w:val="single" w:sz="8" w:space="0" w:color="auto"/>
            </w:tcBorders>
            <w:shd w:val="clear" w:color="auto" w:fill="auto"/>
            <w:noWrap/>
            <w:vAlign w:val="center"/>
            <w:hideMark/>
          </w:tcPr>
          <w:p w14:paraId="5FFFAD46" w14:textId="77777777" w:rsidR="0020191D" w:rsidRPr="00B96B9F" w:rsidRDefault="0020191D" w:rsidP="007C4202">
            <w:pPr>
              <w:pStyle w:val="UZEINormaln"/>
              <w:spacing w:before="0" w:after="0"/>
              <w:rPr>
                <w:color w:val="000000"/>
                <w:sz w:val="20"/>
                <w:szCs w:val="20"/>
              </w:rPr>
            </w:pPr>
            <w:r w:rsidRPr="00DE001C">
              <w:rPr>
                <w:sz w:val="22"/>
                <w:szCs w:val="22"/>
              </w:rPr>
              <w:t>1,92</w:t>
            </w:r>
          </w:p>
        </w:tc>
        <w:tc>
          <w:tcPr>
            <w:tcW w:w="680" w:type="dxa"/>
            <w:tcBorders>
              <w:top w:val="nil"/>
              <w:left w:val="nil"/>
              <w:bottom w:val="single" w:sz="4" w:space="0" w:color="auto"/>
              <w:right w:val="single" w:sz="8" w:space="0" w:color="auto"/>
            </w:tcBorders>
            <w:vAlign w:val="center"/>
          </w:tcPr>
          <w:p w14:paraId="6EA746E5" w14:textId="77777777" w:rsidR="0020191D" w:rsidRPr="00B96B9F" w:rsidRDefault="0020191D" w:rsidP="007C4202">
            <w:pPr>
              <w:pStyle w:val="UZEINormaln"/>
              <w:spacing w:before="0" w:after="0"/>
              <w:rPr>
                <w:color w:val="000000"/>
                <w:sz w:val="20"/>
                <w:szCs w:val="20"/>
              </w:rPr>
            </w:pPr>
            <w:r w:rsidRPr="00DE001C">
              <w:rPr>
                <w:sz w:val="22"/>
                <w:szCs w:val="22"/>
              </w:rPr>
              <w:t>1,83</w:t>
            </w:r>
          </w:p>
        </w:tc>
        <w:tc>
          <w:tcPr>
            <w:tcW w:w="680" w:type="dxa"/>
            <w:tcBorders>
              <w:top w:val="nil"/>
              <w:left w:val="nil"/>
              <w:bottom w:val="single" w:sz="4" w:space="0" w:color="auto"/>
              <w:right w:val="single" w:sz="8" w:space="0" w:color="auto"/>
            </w:tcBorders>
            <w:vAlign w:val="center"/>
          </w:tcPr>
          <w:p w14:paraId="2257B1AF" w14:textId="77777777" w:rsidR="0020191D" w:rsidRPr="00B96B9F" w:rsidRDefault="0020191D" w:rsidP="007C4202">
            <w:pPr>
              <w:pStyle w:val="UZEINormaln"/>
              <w:spacing w:before="0" w:after="0"/>
              <w:rPr>
                <w:color w:val="000000"/>
                <w:sz w:val="20"/>
                <w:szCs w:val="20"/>
              </w:rPr>
            </w:pPr>
            <w:r w:rsidRPr="00DE001C">
              <w:rPr>
                <w:sz w:val="22"/>
                <w:szCs w:val="22"/>
              </w:rPr>
              <w:t>1,</w:t>
            </w:r>
            <w:r w:rsidRPr="00B96B9F">
              <w:rPr>
                <w:color w:val="000000"/>
                <w:sz w:val="20"/>
                <w:szCs w:val="20"/>
              </w:rPr>
              <w:t>93</w:t>
            </w:r>
          </w:p>
        </w:tc>
      </w:tr>
      <w:tr w:rsidR="0020191D" w:rsidRPr="00B96B9F" w14:paraId="3ACFD3D1" w14:textId="77777777" w:rsidTr="007C4202">
        <w:trPr>
          <w:trHeight w:val="401"/>
        </w:trPr>
        <w:tc>
          <w:tcPr>
            <w:tcW w:w="2154" w:type="dxa"/>
            <w:tcBorders>
              <w:top w:val="nil"/>
              <w:left w:val="single" w:sz="8" w:space="0" w:color="auto"/>
              <w:bottom w:val="single" w:sz="4" w:space="0" w:color="auto"/>
              <w:right w:val="single" w:sz="8" w:space="0" w:color="auto"/>
            </w:tcBorders>
            <w:shd w:val="clear" w:color="auto" w:fill="auto"/>
            <w:noWrap/>
            <w:vAlign w:val="center"/>
            <w:hideMark/>
          </w:tcPr>
          <w:p w14:paraId="060CB230" w14:textId="77777777" w:rsidR="0020191D" w:rsidRPr="00B96B9F" w:rsidRDefault="0020191D" w:rsidP="007C4202">
            <w:pPr>
              <w:pStyle w:val="UZEINormaln"/>
              <w:spacing w:before="0" w:after="0"/>
              <w:rPr>
                <w:color w:val="000000"/>
                <w:sz w:val="20"/>
                <w:szCs w:val="20"/>
              </w:rPr>
            </w:pPr>
            <w:r w:rsidRPr="00DE001C">
              <w:rPr>
                <w:sz w:val="22"/>
                <w:szCs w:val="22"/>
              </w:rPr>
              <w:t>Chovy HZ – ostatní drůbež</w:t>
            </w:r>
          </w:p>
        </w:tc>
        <w:tc>
          <w:tcPr>
            <w:tcW w:w="680" w:type="dxa"/>
            <w:tcBorders>
              <w:top w:val="nil"/>
              <w:left w:val="nil"/>
              <w:bottom w:val="single" w:sz="4" w:space="0" w:color="auto"/>
              <w:right w:val="single" w:sz="4" w:space="0" w:color="auto"/>
            </w:tcBorders>
            <w:shd w:val="clear" w:color="auto" w:fill="auto"/>
            <w:noWrap/>
            <w:vAlign w:val="center"/>
            <w:hideMark/>
          </w:tcPr>
          <w:p w14:paraId="301C8B78" w14:textId="77777777" w:rsidR="0020191D" w:rsidRPr="00B96B9F" w:rsidRDefault="0020191D" w:rsidP="007C4202">
            <w:pPr>
              <w:pStyle w:val="UZEINormaln"/>
              <w:spacing w:before="0" w:after="0"/>
              <w:rPr>
                <w:color w:val="000000"/>
                <w:sz w:val="20"/>
                <w:szCs w:val="20"/>
              </w:rPr>
            </w:pPr>
            <w:r w:rsidRPr="00DE001C">
              <w:rPr>
                <w:sz w:val="22"/>
                <w:szCs w:val="22"/>
              </w:rPr>
              <w:t>0,38</w:t>
            </w:r>
          </w:p>
        </w:tc>
        <w:tc>
          <w:tcPr>
            <w:tcW w:w="680" w:type="dxa"/>
            <w:tcBorders>
              <w:top w:val="nil"/>
              <w:left w:val="nil"/>
              <w:bottom w:val="single" w:sz="4" w:space="0" w:color="auto"/>
              <w:right w:val="single" w:sz="4" w:space="0" w:color="auto"/>
            </w:tcBorders>
            <w:shd w:val="clear" w:color="auto" w:fill="auto"/>
            <w:noWrap/>
            <w:vAlign w:val="center"/>
            <w:hideMark/>
          </w:tcPr>
          <w:p w14:paraId="521F3EA1" w14:textId="77777777" w:rsidR="0020191D" w:rsidRPr="00B96B9F" w:rsidRDefault="0020191D" w:rsidP="007C4202">
            <w:pPr>
              <w:pStyle w:val="UZEINormaln"/>
              <w:spacing w:before="0" w:after="0"/>
              <w:rPr>
                <w:color w:val="000000"/>
                <w:sz w:val="20"/>
                <w:szCs w:val="20"/>
              </w:rPr>
            </w:pPr>
            <w:r w:rsidRPr="00DE001C">
              <w:rPr>
                <w:sz w:val="22"/>
                <w:szCs w:val="22"/>
              </w:rPr>
              <w:t>0,39</w:t>
            </w:r>
          </w:p>
        </w:tc>
        <w:tc>
          <w:tcPr>
            <w:tcW w:w="680" w:type="dxa"/>
            <w:tcBorders>
              <w:top w:val="nil"/>
              <w:left w:val="nil"/>
              <w:bottom w:val="single" w:sz="4" w:space="0" w:color="auto"/>
              <w:right w:val="single" w:sz="4" w:space="0" w:color="auto"/>
            </w:tcBorders>
            <w:shd w:val="clear" w:color="auto" w:fill="auto"/>
            <w:noWrap/>
            <w:vAlign w:val="center"/>
            <w:hideMark/>
          </w:tcPr>
          <w:p w14:paraId="13B27DA2" w14:textId="77777777" w:rsidR="0020191D" w:rsidRPr="00B96B9F" w:rsidRDefault="0020191D" w:rsidP="007C4202">
            <w:pPr>
              <w:pStyle w:val="UZEINormaln"/>
              <w:spacing w:before="0" w:after="0"/>
              <w:rPr>
                <w:color w:val="000000"/>
                <w:sz w:val="20"/>
                <w:szCs w:val="20"/>
              </w:rPr>
            </w:pPr>
            <w:r w:rsidRPr="00DE001C">
              <w:rPr>
                <w:sz w:val="22"/>
                <w:szCs w:val="22"/>
              </w:rPr>
              <w:t>0,24</w:t>
            </w:r>
          </w:p>
        </w:tc>
        <w:tc>
          <w:tcPr>
            <w:tcW w:w="680" w:type="dxa"/>
            <w:tcBorders>
              <w:top w:val="nil"/>
              <w:left w:val="nil"/>
              <w:bottom w:val="single" w:sz="4" w:space="0" w:color="auto"/>
              <w:right w:val="single" w:sz="4" w:space="0" w:color="auto"/>
            </w:tcBorders>
            <w:shd w:val="clear" w:color="auto" w:fill="auto"/>
            <w:noWrap/>
            <w:vAlign w:val="center"/>
            <w:hideMark/>
          </w:tcPr>
          <w:p w14:paraId="418A6CD8" w14:textId="77777777" w:rsidR="0020191D" w:rsidRPr="00B96B9F" w:rsidRDefault="0020191D" w:rsidP="007C4202">
            <w:pPr>
              <w:pStyle w:val="UZEINormaln"/>
              <w:spacing w:before="0" w:after="0"/>
              <w:rPr>
                <w:color w:val="000000"/>
                <w:sz w:val="20"/>
                <w:szCs w:val="20"/>
              </w:rPr>
            </w:pPr>
            <w:r w:rsidRPr="00DE001C">
              <w:rPr>
                <w:sz w:val="22"/>
                <w:szCs w:val="22"/>
              </w:rPr>
              <w:t>0,20</w:t>
            </w:r>
          </w:p>
        </w:tc>
        <w:tc>
          <w:tcPr>
            <w:tcW w:w="680" w:type="dxa"/>
            <w:tcBorders>
              <w:top w:val="nil"/>
              <w:left w:val="nil"/>
              <w:bottom w:val="single" w:sz="4" w:space="0" w:color="auto"/>
              <w:right w:val="single" w:sz="4" w:space="0" w:color="auto"/>
            </w:tcBorders>
            <w:shd w:val="clear" w:color="auto" w:fill="auto"/>
            <w:noWrap/>
            <w:vAlign w:val="center"/>
            <w:hideMark/>
          </w:tcPr>
          <w:p w14:paraId="767E6EC3" w14:textId="77777777" w:rsidR="0020191D" w:rsidRPr="00B96B9F" w:rsidRDefault="0020191D" w:rsidP="007C4202">
            <w:pPr>
              <w:pStyle w:val="UZEINormaln"/>
              <w:spacing w:before="0" w:after="0"/>
              <w:rPr>
                <w:color w:val="000000"/>
                <w:sz w:val="20"/>
                <w:szCs w:val="20"/>
              </w:rPr>
            </w:pPr>
            <w:r w:rsidRPr="00DE001C">
              <w:rPr>
                <w:sz w:val="22"/>
                <w:szCs w:val="22"/>
              </w:rPr>
              <w:t>0,18</w:t>
            </w:r>
          </w:p>
        </w:tc>
        <w:tc>
          <w:tcPr>
            <w:tcW w:w="680" w:type="dxa"/>
            <w:tcBorders>
              <w:top w:val="nil"/>
              <w:left w:val="nil"/>
              <w:bottom w:val="single" w:sz="4" w:space="0" w:color="auto"/>
              <w:right w:val="single" w:sz="4" w:space="0" w:color="auto"/>
            </w:tcBorders>
            <w:shd w:val="clear" w:color="auto" w:fill="auto"/>
            <w:noWrap/>
            <w:vAlign w:val="center"/>
            <w:hideMark/>
          </w:tcPr>
          <w:p w14:paraId="6B6C15F0" w14:textId="77777777" w:rsidR="0020191D" w:rsidRPr="00B96B9F" w:rsidRDefault="0020191D" w:rsidP="007C4202">
            <w:pPr>
              <w:pStyle w:val="UZEINormaln"/>
              <w:spacing w:before="0" w:after="0"/>
              <w:rPr>
                <w:color w:val="000000"/>
                <w:sz w:val="20"/>
                <w:szCs w:val="20"/>
              </w:rPr>
            </w:pPr>
            <w:r w:rsidRPr="00DE001C">
              <w:rPr>
                <w:sz w:val="22"/>
                <w:szCs w:val="22"/>
              </w:rPr>
              <w:t>0,22</w:t>
            </w:r>
          </w:p>
        </w:tc>
        <w:tc>
          <w:tcPr>
            <w:tcW w:w="680" w:type="dxa"/>
            <w:tcBorders>
              <w:top w:val="nil"/>
              <w:left w:val="nil"/>
              <w:bottom w:val="single" w:sz="4" w:space="0" w:color="auto"/>
              <w:right w:val="single" w:sz="4" w:space="0" w:color="auto"/>
            </w:tcBorders>
            <w:shd w:val="clear" w:color="auto" w:fill="auto"/>
            <w:noWrap/>
            <w:vAlign w:val="center"/>
            <w:hideMark/>
          </w:tcPr>
          <w:p w14:paraId="2C9295FE" w14:textId="77777777" w:rsidR="0020191D" w:rsidRPr="00B96B9F" w:rsidRDefault="0020191D" w:rsidP="007C4202">
            <w:pPr>
              <w:pStyle w:val="UZEINormaln"/>
              <w:spacing w:before="0" w:after="0"/>
              <w:rPr>
                <w:color w:val="000000"/>
                <w:sz w:val="20"/>
                <w:szCs w:val="20"/>
              </w:rPr>
            </w:pPr>
            <w:r w:rsidRPr="00DE001C">
              <w:rPr>
                <w:sz w:val="22"/>
                <w:szCs w:val="22"/>
              </w:rPr>
              <w:t>0,25</w:t>
            </w:r>
          </w:p>
        </w:tc>
        <w:tc>
          <w:tcPr>
            <w:tcW w:w="680" w:type="dxa"/>
            <w:tcBorders>
              <w:top w:val="nil"/>
              <w:left w:val="nil"/>
              <w:bottom w:val="single" w:sz="4" w:space="0" w:color="auto"/>
              <w:right w:val="single" w:sz="4" w:space="0" w:color="auto"/>
            </w:tcBorders>
            <w:shd w:val="clear" w:color="auto" w:fill="auto"/>
            <w:noWrap/>
            <w:vAlign w:val="center"/>
            <w:hideMark/>
          </w:tcPr>
          <w:p w14:paraId="0E910A37" w14:textId="77777777" w:rsidR="0020191D" w:rsidRPr="00B96B9F" w:rsidRDefault="0020191D" w:rsidP="007C4202">
            <w:pPr>
              <w:pStyle w:val="UZEINormaln"/>
              <w:spacing w:before="0" w:after="0"/>
              <w:rPr>
                <w:color w:val="000000"/>
                <w:sz w:val="20"/>
                <w:szCs w:val="20"/>
              </w:rPr>
            </w:pPr>
            <w:r w:rsidRPr="00DE001C">
              <w:rPr>
                <w:sz w:val="22"/>
                <w:szCs w:val="22"/>
              </w:rPr>
              <w:t>0,32</w:t>
            </w:r>
          </w:p>
        </w:tc>
        <w:tc>
          <w:tcPr>
            <w:tcW w:w="680" w:type="dxa"/>
            <w:tcBorders>
              <w:top w:val="nil"/>
              <w:left w:val="nil"/>
              <w:bottom w:val="single" w:sz="4" w:space="0" w:color="auto"/>
              <w:right w:val="single" w:sz="8" w:space="0" w:color="auto"/>
            </w:tcBorders>
            <w:shd w:val="clear" w:color="auto" w:fill="auto"/>
            <w:noWrap/>
            <w:vAlign w:val="center"/>
            <w:hideMark/>
          </w:tcPr>
          <w:p w14:paraId="6D41AAC2" w14:textId="77777777" w:rsidR="0020191D" w:rsidRPr="00B96B9F" w:rsidRDefault="0020191D" w:rsidP="007C4202">
            <w:pPr>
              <w:pStyle w:val="UZEINormaln"/>
              <w:spacing w:before="0" w:after="0"/>
              <w:rPr>
                <w:color w:val="000000"/>
                <w:sz w:val="20"/>
                <w:szCs w:val="20"/>
              </w:rPr>
            </w:pPr>
            <w:r w:rsidRPr="00DE001C">
              <w:rPr>
                <w:sz w:val="22"/>
                <w:szCs w:val="22"/>
              </w:rPr>
              <w:t>0,27</w:t>
            </w:r>
          </w:p>
        </w:tc>
        <w:tc>
          <w:tcPr>
            <w:tcW w:w="680" w:type="dxa"/>
            <w:tcBorders>
              <w:top w:val="nil"/>
              <w:left w:val="nil"/>
              <w:bottom w:val="single" w:sz="4" w:space="0" w:color="auto"/>
              <w:right w:val="single" w:sz="8" w:space="0" w:color="auto"/>
            </w:tcBorders>
            <w:vAlign w:val="center"/>
          </w:tcPr>
          <w:p w14:paraId="0B40B8F5" w14:textId="77777777" w:rsidR="0020191D" w:rsidRPr="00B96B9F" w:rsidRDefault="0020191D" w:rsidP="007C4202">
            <w:pPr>
              <w:pStyle w:val="UZEINormaln"/>
              <w:spacing w:before="0" w:after="0"/>
              <w:rPr>
                <w:color w:val="000000"/>
                <w:sz w:val="20"/>
                <w:szCs w:val="20"/>
              </w:rPr>
            </w:pPr>
            <w:r w:rsidRPr="00DE001C">
              <w:rPr>
                <w:sz w:val="22"/>
                <w:szCs w:val="22"/>
              </w:rPr>
              <w:t>0,17</w:t>
            </w:r>
          </w:p>
        </w:tc>
        <w:tc>
          <w:tcPr>
            <w:tcW w:w="680" w:type="dxa"/>
            <w:tcBorders>
              <w:top w:val="nil"/>
              <w:left w:val="nil"/>
              <w:bottom w:val="single" w:sz="4" w:space="0" w:color="auto"/>
              <w:right w:val="single" w:sz="8" w:space="0" w:color="auto"/>
            </w:tcBorders>
            <w:vAlign w:val="center"/>
          </w:tcPr>
          <w:p w14:paraId="4D0458CF" w14:textId="77777777" w:rsidR="0020191D" w:rsidRPr="00B96B9F" w:rsidRDefault="0020191D" w:rsidP="007C4202">
            <w:pPr>
              <w:pStyle w:val="UZEINormaln"/>
              <w:spacing w:before="0" w:after="0"/>
              <w:rPr>
                <w:color w:val="000000"/>
                <w:sz w:val="20"/>
                <w:szCs w:val="20"/>
              </w:rPr>
            </w:pPr>
            <w:r w:rsidRPr="00DE001C">
              <w:rPr>
                <w:sz w:val="22"/>
                <w:szCs w:val="22"/>
              </w:rPr>
              <w:t>0,24</w:t>
            </w:r>
          </w:p>
        </w:tc>
      </w:tr>
      <w:tr w:rsidR="0020191D" w:rsidRPr="00B96B9F" w14:paraId="65E347B9" w14:textId="77777777" w:rsidTr="007C4202">
        <w:trPr>
          <w:trHeight w:val="401"/>
        </w:trPr>
        <w:tc>
          <w:tcPr>
            <w:tcW w:w="2154" w:type="dxa"/>
            <w:tcBorders>
              <w:top w:val="nil"/>
              <w:left w:val="single" w:sz="8" w:space="0" w:color="auto"/>
              <w:bottom w:val="single" w:sz="4" w:space="0" w:color="auto"/>
              <w:right w:val="single" w:sz="8" w:space="0" w:color="auto"/>
            </w:tcBorders>
            <w:shd w:val="clear" w:color="auto" w:fill="auto"/>
            <w:noWrap/>
            <w:vAlign w:val="center"/>
            <w:hideMark/>
          </w:tcPr>
          <w:p w14:paraId="51FDD1DD" w14:textId="77777777" w:rsidR="0020191D" w:rsidRPr="00B96B9F" w:rsidRDefault="0020191D" w:rsidP="007C4202">
            <w:pPr>
              <w:pStyle w:val="UZEINormaln"/>
              <w:spacing w:before="0" w:after="0"/>
              <w:rPr>
                <w:color w:val="000000"/>
                <w:sz w:val="20"/>
                <w:szCs w:val="20"/>
              </w:rPr>
            </w:pPr>
            <w:r w:rsidRPr="00DE001C">
              <w:rPr>
                <w:sz w:val="22"/>
                <w:szCs w:val="22"/>
              </w:rPr>
              <w:t xml:space="preserve">Chovy HZ – </w:t>
            </w:r>
            <w:r w:rsidRPr="00B96B9F">
              <w:rPr>
                <w:color w:val="000000"/>
                <w:sz w:val="20"/>
                <w:szCs w:val="20"/>
              </w:rPr>
              <w:t>ostatní zvířata</w:t>
            </w:r>
          </w:p>
        </w:tc>
        <w:tc>
          <w:tcPr>
            <w:tcW w:w="680" w:type="dxa"/>
            <w:tcBorders>
              <w:top w:val="nil"/>
              <w:left w:val="nil"/>
              <w:bottom w:val="single" w:sz="4" w:space="0" w:color="auto"/>
              <w:right w:val="single" w:sz="4" w:space="0" w:color="auto"/>
            </w:tcBorders>
            <w:shd w:val="clear" w:color="auto" w:fill="auto"/>
            <w:noWrap/>
            <w:vAlign w:val="center"/>
            <w:hideMark/>
          </w:tcPr>
          <w:p w14:paraId="1168FC6E" w14:textId="77777777" w:rsidR="0020191D" w:rsidRPr="00B96B9F" w:rsidRDefault="0020191D" w:rsidP="007C4202">
            <w:pPr>
              <w:pStyle w:val="UZEINormaln"/>
              <w:spacing w:before="0" w:after="0"/>
              <w:rPr>
                <w:color w:val="000000"/>
                <w:sz w:val="20"/>
                <w:szCs w:val="20"/>
              </w:rPr>
            </w:pPr>
            <w:r w:rsidRPr="00DE001C">
              <w:rPr>
                <w:sz w:val="22"/>
                <w:szCs w:val="22"/>
              </w:rPr>
              <w:t>1,56</w:t>
            </w:r>
          </w:p>
        </w:tc>
        <w:tc>
          <w:tcPr>
            <w:tcW w:w="680" w:type="dxa"/>
            <w:tcBorders>
              <w:top w:val="nil"/>
              <w:left w:val="nil"/>
              <w:bottom w:val="single" w:sz="4" w:space="0" w:color="auto"/>
              <w:right w:val="single" w:sz="4" w:space="0" w:color="auto"/>
            </w:tcBorders>
            <w:shd w:val="clear" w:color="auto" w:fill="auto"/>
            <w:noWrap/>
            <w:vAlign w:val="center"/>
            <w:hideMark/>
          </w:tcPr>
          <w:p w14:paraId="03A8C615" w14:textId="77777777" w:rsidR="0020191D" w:rsidRPr="00B96B9F" w:rsidRDefault="0020191D" w:rsidP="007C4202">
            <w:pPr>
              <w:pStyle w:val="UZEINormaln"/>
              <w:spacing w:before="0" w:after="0"/>
              <w:rPr>
                <w:color w:val="000000"/>
                <w:sz w:val="20"/>
                <w:szCs w:val="20"/>
              </w:rPr>
            </w:pPr>
            <w:r w:rsidRPr="00DE001C">
              <w:rPr>
                <w:sz w:val="22"/>
                <w:szCs w:val="22"/>
              </w:rPr>
              <w:t>1,72</w:t>
            </w:r>
          </w:p>
        </w:tc>
        <w:tc>
          <w:tcPr>
            <w:tcW w:w="680" w:type="dxa"/>
            <w:tcBorders>
              <w:top w:val="nil"/>
              <w:left w:val="nil"/>
              <w:bottom w:val="single" w:sz="4" w:space="0" w:color="auto"/>
              <w:right w:val="single" w:sz="4" w:space="0" w:color="auto"/>
            </w:tcBorders>
            <w:shd w:val="clear" w:color="auto" w:fill="auto"/>
            <w:noWrap/>
            <w:vAlign w:val="center"/>
            <w:hideMark/>
          </w:tcPr>
          <w:p w14:paraId="7CC3B6FE" w14:textId="77777777" w:rsidR="0020191D" w:rsidRPr="00B96B9F" w:rsidRDefault="0020191D" w:rsidP="007C4202">
            <w:pPr>
              <w:pStyle w:val="UZEINormaln"/>
              <w:spacing w:before="0" w:after="0"/>
              <w:rPr>
                <w:color w:val="000000"/>
                <w:sz w:val="20"/>
                <w:szCs w:val="20"/>
              </w:rPr>
            </w:pPr>
            <w:r w:rsidRPr="00DE001C">
              <w:rPr>
                <w:sz w:val="22"/>
                <w:szCs w:val="22"/>
              </w:rPr>
              <w:t>1,29</w:t>
            </w:r>
          </w:p>
        </w:tc>
        <w:tc>
          <w:tcPr>
            <w:tcW w:w="680" w:type="dxa"/>
            <w:tcBorders>
              <w:top w:val="nil"/>
              <w:left w:val="nil"/>
              <w:bottom w:val="single" w:sz="4" w:space="0" w:color="auto"/>
              <w:right w:val="single" w:sz="4" w:space="0" w:color="auto"/>
            </w:tcBorders>
            <w:shd w:val="clear" w:color="auto" w:fill="auto"/>
            <w:noWrap/>
            <w:vAlign w:val="center"/>
            <w:hideMark/>
          </w:tcPr>
          <w:p w14:paraId="7B502448" w14:textId="77777777" w:rsidR="0020191D" w:rsidRPr="00B96B9F" w:rsidRDefault="0020191D" w:rsidP="007C4202">
            <w:pPr>
              <w:pStyle w:val="UZEINormaln"/>
              <w:spacing w:before="0" w:after="0"/>
              <w:rPr>
                <w:color w:val="000000"/>
                <w:sz w:val="20"/>
                <w:szCs w:val="20"/>
              </w:rPr>
            </w:pPr>
            <w:r w:rsidRPr="00DE001C">
              <w:rPr>
                <w:sz w:val="22"/>
                <w:szCs w:val="22"/>
              </w:rPr>
              <w:t>1,26</w:t>
            </w:r>
          </w:p>
        </w:tc>
        <w:tc>
          <w:tcPr>
            <w:tcW w:w="680" w:type="dxa"/>
            <w:tcBorders>
              <w:top w:val="nil"/>
              <w:left w:val="nil"/>
              <w:bottom w:val="single" w:sz="4" w:space="0" w:color="auto"/>
              <w:right w:val="single" w:sz="4" w:space="0" w:color="auto"/>
            </w:tcBorders>
            <w:shd w:val="clear" w:color="auto" w:fill="auto"/>
            <w:noWrap/>
            <w:vAlign w:val="center"/>
            <w:hideMark/>
          </w:tcPr>
          <w:p w14:paraId="4C8CE1A8" w14:textId="77777777" w:rsidR="0020191D" w:rsidRPr="00B96B9F" w:rsidRDefault="0020191D" w:rsidP="007C4202">
            <w:pPr>
              <w:pStyle w:val="UZEINormaln"/>
              <w:spacing w:before="0" w:after="0"/>
              <w:rPr>
                <w:color w:val="000000"/>
                <w:sz w:val="20"/>
                <w:szCs w:val="20"/>
              </w:rPr>
            </w:pPr>
            <w:r w:rsidRPr="00DE001C">
              <w:rPr>
                <w:sz w:val="22"/>
                <w:szCs w:val="22"/>
              </w:rPr>
              <w:t>1,18</w:t>
            </w:r>
          </w:p>
        </w:tc>
        <w:tc>
          <w:tcPr>
            <w:tcW w:w="680" w:type="dxa"/>
            <w:tcBorders>
              <w:top w:val="nil"/>
              <w:left w:val="nil"/>
              <w:bottom w:val="single" w:sz="4" w:space="0" w:color="auto"/>
              <w:right w:val="single" w:sz="4" w:space="0" w:color="auto"/>
            </w:tcBorders>
            <w:shd w:val="clear" w:color="auto" w:fill="auto"/>
            <w:noWrap/>
            <w:vAlign w:val="center"/>
            <w:hideMark/>
          </w:tcPr>
          <w:p w14:paraId="53B9BB7A" w14:textId="77777777" w:rsidR="0020191D" w:rsidRPr="00B96B9F" w:rsidRDefault="0020191D" w:rsidP="007C4202">
            <w:pPr>
              <w:pStyle w:val="UZEINormaln"/>
              <w:spacing w:before="0" w:after="0"/>
              <w:rPr>
                <w:color w:val="000000"/>
                <w:sz w:val="20"/>
                <w:szCs w:val="20"/>
              </w:rPr>
            </w:pPr>
            <w:r w:rsidRPr="00DE001C">
              <w:rPr>
                <w:sz w:val="22"/>
                <w:szCs w:val="22"/>
              </w:rPr>
              <w:t>1,07</w:t>
            </w:r>
          </w:p>
        </w:tc>
        <w:tc>
          <w:tcPr>
            <w:tcW w:w="680" w:type="dxa"/>
            <w:tcBorders>
              <w:top w:val="nil"/>
              <w:left w:val="nil"/>
              <w:bottom w:val="single" w:sz="4" w:space="0" w:color="auto"/>
              <w:right w:val="single" w:sz="4" w:space="0" w:color="auto"/>
            </w:tcBorders>
            <w:shd w:val="clear" w:color="auto" w:fill="auto"/>
            <w:noWrap/>
            <w:vAlign w:val="center"/>
            <w:hideMark/>
          </w:tcPr>
          <w:p w14:paraId="175A222C" w14:textId="77777777" w:rsidR="0020191D" w:rsidRPr="00B96B9F" w:rsidRDefault="0020191D" w:rsidP="007C4202">
            <w:pPr>
              <w:pStyle w:val="UZEINormaln"/>
              <w:spacing w:before="0" w:after="0"/>
              <w:rPr>
                <w:color w:val="000000"/>
                <w:sz w:val="20"/>
                <w:szCs w:val="20"/>
              </w:rPr>
            </w:pPr>
            <w:r w:rsidRPr="00DE001C">
              <w:rPr>
                <w:sz w:val="22"/>
                <w:szCs w:val="22"/>
              </w:rPr>
              <w:t>0,95</w:t>
            </w:r>
          </w:p>
        </w:tc>
        <w:tc>
          <w:tcPr>
            <w:tcW w:w="680" w:type="dxa"/>
            <w:tcBorders>
              <w:top w:val="nil"/>
              <w:left w:val="nil"/>
              <w:bottom w:val="single" w:sz="4" w:space="0" w:color="auto"/>
              <w:right w:val="single" w:sz="4" w:space="0" w:color="auto"/>
            </w:tcBorders>
            <w:shd w:val="clear" w:color="auto" w:fill="auto"/>
            <w:noWrap/>
            <w:vAlign w:val="center"/>
            <w:hideMark/>
          </w:tcPr>
          <w:p w14:paraId="77DDA635" w14:textId="77777777" w:rsidR="0020191D" w:rsidRPr="00B96B9F" w:rsidRDefault="0020191D" w:rsidP="007C4202">
            <w:pPr>
              <w:pStyle w:val="UZEINormaln"/>
              <w:spacing w:before="0" w:after="0"/>
              <w:rPr>
                <w:color w:val="000000"/>
                <w:sz w:val="20"/>
                <w:szCs w:val="20"/>
              </w:rPr>
            </w:pPr>
            <w:r w:rsidRPr="00DE001C">
              <w:rPr>
                <w:sz w:val="22"/>
                <w:szCs w:val="22"/>
              </w:rPr>
              <w:t>0,93</w:t>
            </w:r>
          </w:p>
        </w:tc>
        <w:tc>
          <w:tcPr>
            <w:tcW w:w="680" w:type="dxa"/>
            <w:tcBorders>
              <w:top w:val="nil"/>
              <w:left w:val="nil"/>
              <w:bottom w:val="single" w:sz="4" w:space="0" w:color="auto"/>
              <w:right w:val="single" w:sz="8" w:space="0" w:color="auto"/>
            </w:tcBorders>
            <w:shd w:val="clear" w:color="auto" w:fill="auto"/>
            <w:noWrap/>
            <w:vAlign w:val="center"/>
            <w:hideMark/>
          </w:tcPr>
          <w:p w14:paraId="0D3E3040" w14:textId="77777777" w:rsidR="0020191D" w:rsidRPr="00B96B9F" w:rsidRDefault="0020191D" w:rsidP="007C4202">
            <w:pPr>
              <w:pStyle w:val="UZEINormaln"/>
              <w:spacing w:before="0" w:after="0"/>
              <w:rPr>
                <w:color w:val="000000"/>
                <w:sz w:val="20"/>
                <w:szCs w:val="20"/>
              </w:rPr>
            </w:pPr>
            <w:r w:rsidRPr="00DE001C">
              <w:rPr>
                <w:sz w:val="22"/>
                <w:szCs w:val="22"/>
              </w:rPr>
              <w:t>0,91</w:t>
            </w:r>
          </w:p>
        </w:tc>
        <w:tc>
          <w:tcPr>
            <w:tcW w:w="680" w:type="dxa"/>
            <w:tcBorders>
              <w:top w:val="nil"/>
              <w:left w:val="nil"/>
              <w:bottom w:val="single" w:sz="4" w:space="0" w:color="auto"/>
              <w:right w:val="single" w:sz="8" w:space="0" w:color="auto"/>
            </w:tcBorders>
            <w:vAlign w:val="center"/>
          </w:tcPr>
          <w:p w14:paraId="25CDB76E" w14:textId="77777777" w:rsidR="0020191D" w:rsidRPr="00B96B9F" w:rsidRDefault="0020191D" w:rsidP="007C4202">
            <w:pPr>
              <w:pStyle w:val="UZEINormaln"/>
              <w:spacing w:before="0" w:after="0"/>
              <w:rPr>
                <w:color w:val="000000"/>
                <w:sz w:val="20"/>
                <w:szCs w:val="20"/>
              </w:rPr>
            </w:pPr>
            <w:r w:rsidRPr="00DE001C">
              <w:rPr>
                <w:sz w:val="22"/>
                <w:szCs w:val="22"/>
              </w:rPr>
              <w:t>1,03</w:t>
            </w:r>
          </w:p>
        </w:tc>
        <w:tc>
          <w:tcPr>
            <w:tcW w:w="680" w:type="dxa"/>
            <w:tcBorders>
              <w:top w:val="nil"/>
              <w:left w:val="nil"/>
              <w:bottom w:val="single" w:sz="4" w:space="0" w:color="auto"/>
              <w:right w:val="single" w:sz="8" w:space="0" w:color="auto"/>
            </w:tcBorders>
            <w:vAlign w:val="center"/>
          </w:tcPr>
          <w:p w14:paraId="6002C8EE" w14:textId="77777777" w:rsidR="0020191D" w:rsidRPr="00B96B9F" w:rsidRDefault="0020191D" w:rsidP="007C4202">
            <w:pPr>
              <w:pStyle w:val="UZEINormaln"/>
              <w:spacing w:before="0" w:after="0"/>
              <w:rPr>
                <w:color w:val="000000"/>
                <w:sz w:val="20"/>
                <w:szCs w:val="20"/>
              </w:rPr>
            </w:pPr>
            <w:r w:rsidRPr="00DE001C">
              <w:rPr>
                <w:sz w:val="22"/>
                <w:szCs w:val="22"/>
              </w:rPr>
              <w:t>1,04</w:t>
            </w:r>
          </w:p>
        </w:tc>
      </w:tr>
      <w:tr w:rsidR="0020191D" w:rsidRPr="00B96B9F" w14:paraId="7A5E226F" w14:textId="77777777" w:rsidTr="007C4202">
        <w:trPr>
          <w:trHeight w:val="458"/>
        </w:trPr>
        <w:tc>
          <w:tcPr>
            <w:tcW w:w="2154" w:type="dxa"/>
            <w:tcBorders>
              <w:top w:val="nil"/>
              <w:left w:val="single" w:sz="8" w:space="0" w:color="auto"/>
              <w:bottom w:val="single" w:sz="8" w:space="0" w:color="auto"/>
              <w:right w:val="single" w:sz="4" w:space="0" w:color="auto"/>
            </w:tcBorders>
            <w:shd w:val="clear" w:color="auto" w:fill="auto"/>
            <w:noWrap/>
            <w:vAlign w:val="center"/>
            <w:hideMark/>
          </w:tcPr>
          <w:p w14:paraId="5B43684F" w14:textId="77777777" w:rsidR="0020191D" w:rsidRPr="00B96B9F" w:rsidRDefault="0020191D" w:rsidP="007C4202">
            <w:pPr>
              <w:pStyle w:val="UZEINormaln"/>
              <w:spacing w:before="0" w:after="0"/>
              <w:rPr>
                <w:color w:val="000000"/>
                <w:sz w:val="20"/>
                <w:szCs w:val="20"/>
              </w:rPr>
            </w:pPr>
            <w:r w:rsidRPr="00DE001C">
              <w:rPr>
                <w:sz w:val="22"/>
                <w:szCs w:val="22"/>
              </w:rPr>
              <w:t>Statková hnojiva aplikovaná do půdy</w:t>
            </w:r>
          </w:p>
        </w:tc>
        <w:tc>
          <w:tcPr>
            <w:tcW w:w="680" w:type="dxa"/>
            <w:tcBorders>
              <w:top w:val="nil"/>
              <w:left w:val="nil"/>
              <w:bottom w:val="single" w:sz="8" w:space="0" w:color="auto"/>
              <w:right w:val="single" w:sz="4" w:space="0" w:color="auto"/>
            </w:tcBorders>
            <w:shd w:val="clear" w:color="auto" w:fill="auto"/>
            <w:noWrap/>
            <w:vAlign w:val="center"/>
            <w:hideMark/>
          </w:tcPr>
          <w:p w14:paraId="44059250" w14:textId="77777777" w:rsidR="0020191D" w:rsidRPr="00B96B9F" w:rsidRDefault="0020191D" w:rsidP="007C4202">
            <w:pPr>
              <w:pStyle w:val="UZEINormaln"/>
              <w:spacing w:before="0" w:after="0"/>
              <w:rPr>
                <w:color w:val="000000"/>
                <w:sz w:val="20"/>
                <w:szCs w:val="20"/>
              </w:rPr>
            </w:pPr>
            <w:r w:rsidRPr="00DE001C">
              <w:rPr>
                <w:sz w:val="22"/>
                <w:szCs w:val="22"/>
              </w:rPr>
              <w:t>28,20</w:t>
            </w:r>
          </w:p>
        </w:tc>
        <w:tc>
          <w:tcPr>
            <w:tcW w:w="680" w:type="dxa"/>
            <w:tcBorders>
              <w:top w:val="nil"/>
              <w:left w:val="nil"/>
              <w:bottom w:val="single" w:sz="8" w:space="0" w:color="auto"/>
              <w:right w:val="single" w:sz="4" w:space="0" w:color="auto"/>
            </w:tcBorders>
            <w:shd w:val="clear" w:color="auto" w:fill="auto"/>
            <w:noWrap/>
            <w:vAlign w:val="center"/>
            <w:hideMark/>
          </w:tcPr>
          <w:p w14:paraId="24CAEB52" w14:textId="77777777" w:rsidR="0020191D" w:rsidRPr="00B96B9F" w:rsidRDefault="0020191D" w:rsidP="007C4202">
            <w:pPr>
              <w:pStyle w:val="UZEINormaln"/>
              <w:spacing w:before="0" w:after="0"/>
              <w:rPr>
                <w:color w:val="000000"/>
                <w:sz w:val="20"/>
                <w:szCs w:val="20"/>
              </w:rPr>
            </w:pPr>
            <w:r w:rsidRPr="00DE001C">
              <w:rPr>
                <w:sz w:val="22"/>
                <w:szCs w:val="22"/>
              </w:rPr>
              <w:t>24,38</w:t>
            </w:r>
          </w:p>
        </w:tc>
        <w:tc>
          <w:tcPr>
            <w:tcW w:w="680" w:type="dxa"/>
            <w:tcBorders>
              <w:top w:val="nil"/>
              <w:left w:val="nil"/>
              <w:bottom w:val="single" w:sz="8" w:space="0" w:color="auto"/>
              <w:right w:val="single" w:sz="4" w:space="0" w:color="auto"/>
            </w:tcBorders>
            <w:shd w:val="clear" w:color="auto" w:fill="auto"/>
            <w:noWrap/>
            <w:vAlign w:val="center"/>
            <w:hideMark/>
          </w:tcPr>
          <w:p w14:paraId="17B25D9E" w14:textId="77777777" w:rsidR="0020191D" w:rsidRPr="00B96B9F" w:rsidRDefault="0020191D" w:rsidP="007C4202">
            <w:pPr>
              <w:pStyle w:val="UZEINormaln"/>
              <w:spacing w:before="0" w:after="0"/>
              <w:rPr>
                <w:color w:val="000000"/>
                <w:sz w:val="20"/>
                <w:szCs w:val="20"/>
              </w:rPr>
            </w:pPr>
            <w:r w:rsidRPr="00DE001C">
              <w:rPr>
                <w:sz w:val="22"/>
                <w:szCs w:val="22"/>
              </w:rPr>
              <w:t>19,81</w:t>
            </w:r>
          </w:p>
        </w:tc>
        <w:tc>
          <w:tcPr>
            <w:tcW w:w="680" w:type="dxa"/>
            <w:tcBorders>
              <w:top w:val="nil"/>
              <w:left w:val="nil"/>
              <w:bottom w:val="single" w:sz="8" w:space="0" w:color="auto"/>
              <w:right w:val="single" w:sz="4" w:space="0" w:color="auto"/>
            </w:tcBorders>
            <w:shd w:val="clear" w:color="auto" w:fill="auto"/>
            <w:noWrap/>
            <w:vAlign w:val="center"/>
            <w:hideMark/>
          </w:tcPr>
          <w:p w14:paraId="30BE2C0C" w14:textId="77777777" w:rsidR="0020191D" w:rsidRPr="00B96B9F" w:rsidRDefault="0020191D" w:rsidP="007C4202">
            <w:pPr>
              <w:pStyle w:val="UZEINormaln"/>
              <w:spacing w:before="0" w:after="0"/>
              <w:rPr>
                <w:color w:val="000000"/>
                <w:sz w:val="20"/>
                <w:szCs w:val="20"/>
              </w:rPr>
            </w:pPr>
            <w:r w:rsidRPr="00DE001C">
              <w:rPr>
                <w:sz w:val="22"/>
                <w:szCs w:val="22"/>
              </w:rPr>
              <w:t>18,57</w:t>
            </w:r>
          </w:p>
        </w:tc>
        <w:tc>
          <w:tcPr>
            <w:tcW w:w="680" w:type="dxa"/>
            <w:tcBorders>
              <w:top w:val="nil"/>
              <w:left w:val="nil"/>
              <w:bottom w:val="single" w:sz="8" w:space="0" w:color="auto"/>
              <w:right w:val="single" w:sz="4" w:space="0" w:color="auto"/>
            </w:tcBorders>
            <w:shd w:val="clear" w:color="auto" w:fill="auto"/>
            <w:noWrap/>
            <w:vAlign w:val="center"/>
            <w:hideMark/>
          </w:tcPr>
          <w:p w14:paraId="0AACA44D" w14:textId="77777777" w:rsidR="0020191D" w:rsidRPr="00B96B9F" w:rsidRDefault="0020191D" w:rsidP="007C4202">
            <w:pPr>
              <w:pStyle w:val="UZEINormaln"/>
              <w:spacing w:before="0" w:after="0"/>
              <w:rPr>
                <w:color w:val="000000"/>
                <w:sz w:val="20"/>
                <w:szCs w:val="20"/>
              </w:rPr>
            </w:pPr>
            <w:r w:rsidRPr="00DE001C">
              <w:rPr>
                <w:sz w:val="22"/>
                <w:szCs w:val="22"/>
              </w:rPr>
              <w:t>18,07</w:t>
            </w:r>
          </w:p>
        </w:tc>
        <w:tc>
          <w:tcPr>
            <w:tcW w:w="680" w:type="dxa"/>
            <w:tcBorders>
              <w:top w:val="nil"/>
              <w:left w:val="nil"/>
              <w:bottom w:val="single" w:sz="8" w:space="0" w:color="auto"/>
              <w:right w:val="single" w:sz="4" w:space="0" w:color="auto"/>
            </w:tcBorders>
            <w:shd w:val="clear" w:color="auto" w:fill="auto"/>
            <w:noWrap/>
            <w:vAlign w:val="center"/>
            <w:hideMark/>
          </w:tcPr>
          <w:p w14:paraId="1C27CC95" w14:textId="77777777" w:rsidR="0020191D" w:rsidRPr="00B96B9F" w:rsidRDefault="0020191D" w:rsidP="007C4202">
            <w:pPr>
              <w:pStyle w:val="UZEINormaln"/>
              <w:spacing w:before="0" w:after="0"/>
              <w:rPr>
                <w:color w:val="000000"/>
                <w:sz w:val="20"/>
                <w:szCs w:val="20"/>
              </w:rPr>
            </w:pPr>
            <w:r w:rsidRPr="00DE001C">
              <w:rPr>
                <w:sz w:val="22"/>
                <w:szCs w:val="22"/>
              </w:rPr>
              <w:t>18,21</w:t>
            </w:r>
          </w:p>
        </w:tc>
        <w:tc>
          <w:tcPr>
            <w:tcW w:w="680" w:type="dxa"/>
            <w:tcBorders>
              <w:top w:val="nil"/>
              <w:left w:val="nil"/>
              <w:bottom w:val="single" w:sz="8" w:space="0" w:color="auto"/>
              <w:right w:val="single" w:sz="4" w:space="0" w:color="auto"/>
            </w:tcBorders>
            <w:shd w:val="clear" w:color="auto" w:fill="auto"/>
            <w:noWrap/>
            <w:vAlign w:val="center"/>
            <w:hideMark/>
          </w:tcPr>
          <w:p w14:paraId="3DE022DB" w14:textId="77777777" w:rsidR="0020191D" w:rsidRPr="00B96B9F" w:rsidRDefault="0020191D" w:rsidP="007C4202">
            <w:pPr>
              <w:pStyle w:val="UZEINormaln"/>
              <w:spacing w:before="0" w:after="0"/>
              <w:rPr>
                <w:color w:val="000000"/>
                <w:sz w:val="20"/>
                <w:szCs w:val="20"/>
              </w:rPr>
            </w:pPr>
            <w:r w:rsidRPr="00DE001C">
              <w:rPr>
                <w:sz w:val="22"/>
                <w:szCs w:val="22"/>
              </w:rPr>
              <w:t>18,15</w:t>
            </w:r>
          </w:p>
        </w:tc>
        <w:tc>
          <w:tcPr>
            <w:tcW w:w="680" w:type="dxa"/>
            <w:tcBorders>
              <w:top w:val="nil"/>
              <w:left w:val="nil"/>
              <w:bottom w:val="single" w:sz="8" w:space="0" w:color="auto"/>
              <w:right w:val="single" w:sz="4" w:space="0" w:color="auto"/>
            </w:tcBorders>
            <w:shd w:val="clear" w:color="auto" w:fill="auto"/>
            <w:noWrap/>
            <w:vAlign w:val="center"/>
            <w:hideMark/>
          </w:tcPr>
          <w:p w14:paraId="5AA60446" w14:textId="77777777" w:rsidR="0020191D" w:rsidRPr="00B96B9F" w:rsidRDefault="0020191D" w:rsidP="007C4202">
            <w:pPr>
              <w:pStyle w:val="UZEINormaln"/>
              <w:spacing w:before="0" w:after="0"/>
              <w:rPr>
                <w:color w:val="000000"/>
                <w:sz w:val="20"/>
                <w:szCs w:val="20"/>
              </w:rPr>
            </w:pPr>
            <w:r w:rsidRPr="00DE001C">
              <w:rPr>
                <w:sz w:val="22"/>
                <w:szCs w:val="22"/>
              </w:rPr>
              <w:t>18,22</w:t>
            </w:r>
          </w:p>
        </w:tc>
        <w:tc>
          <w:tcPr>
            <w:tcW w:w="680" w:type="dxa"/>
            <w:tcBorders>
              <w:top w:val="nil"/>
              <w:left w:val="nil"/>
              <w:bottom w:val="single" w:sz="8" w:space="0" w:color="auto"/>
              <w:right w:val="single" w:sz="8" w:space="0" w:color="auto"/>
            </w:tcBorders>
            <w:shd w:val="clear" w:color="auto" w:fill="auto"/>
            <w:noWrap/>
            <w:vAlign w:val="center"/>
            <w:hideMark/>
          </w:tcPr>
          <w:p w14:paraId="2DFECDAB" w14:textId="77777777" w:rsidR="0020191D" w:rsidRPr="00B96B9F" w:rsidRDefault="0020191D" w:rsidP="007C4202">
            <w:pPr>
              <w:pStyle w:val="UZEINormaln"/>
              <w:spacing w:before="0" w:after="0"/>
              <w:rPr>
                <w:color w:val="000000"/>
                <w:sz w:val="20"/>
                <w:szCs w:val="20"/>
              </w:rPr>
            </w:pPr>
            <w:r w:rsidRPr="00DE001C">
              <w:rPr>
                <w:sz w:val="22"/>
                <w:szCs w:val="22"/>
              </w:rPr>
              <w:t>16,</w:t>
            </w:r>
            <w:r w:rsidRPr="00B96B9F">
              <w:rPr>
                <w:color w:val="000000"/>
                <w:sz w:val="20"/>
                <w:szCs w:val="20"/>
              </w:rPr>
              <w:t>19</w:t>
            </w:r>
          </w:p>
        </w:tc>
        <w:tc>
          <w:tcPr>
            <w:tcW w:w="680" w:type="dxa"/>
            <w:tcBorders>
              <w:top w:val="nil"/>
              <w:left w:val="nil"/>
              <w:bottom w:val="single" w:sz="8" w:space="0" w:color="auto"/>
              <w:right w:val="single" w:sz="8" w:space="0" w:color="auto"/>
            </w:tcBorders>
            <w:vAlign w:val="center"/>
          </w:tcPr>
          <w:p w14:paraId="2324E39A" w14:textId="77777777" w:rsidR="0020191D" w:rsidRPr="00B96B9F" w:rsidRDefault="0020191D" w:rsidP="007C4202">
            <w:pPr>
              <w:pStyle w:val="UZEINormaln"/>
              <w:spacing w:before="0" w:after="0"/>
              <w:rPr>
                <w:color w:val="000000"/>
                <w:sz w:val="20"/>
                <w:szCs w:val="20"/>
              </w:rPr>
            </w:pPr>
            <w:r w:rsidRPr="00DE001C">
              <w:rPr>
                <w:sz w:val="22"/>
                <w:szCs w:val="22"/>
              </w:rPr>
              <w:t>13,98</w:t>
            </w:r>
          </w:p>
        </w:tc>
        <w:tc>
          <w:tcPr>
            <w:tcW w:w="680" w:type="dxa"/>
            <w:tcBorders>
              <w:top w:val="nil"/>
              <w:left w:val="nil"/>
              <w:bottom w:val="single" w:sz="8" w:space="0" w:color="auto"/>
              <w:right w:val="single" w:sz="8" w:space="0" w:color="auto"/>
            </w:tcBorders>
            <w:vAlign w:val="center"/>
          </w:tcPr>
          <w:p w14:paraId="593C538D" w14:textId="77777777" w:rsidR="0020191D" w:rsidRPr="00B96B9F" w:rsidRDefault="0020191D" w:rsidP="007C4202">
            <w:pPr>
              <w:pStyle w:val="UZEINormaln"/>
              <w:spacing w:before="0" w:after="0"/>
              <w:rPr>
                <w:color w:val="000000"/>
                <w:sz w:val="20"/>
                <w:szCs w:val="20"/>
              </w:rPr>
            </w:pPr>
            <w:r w:rsidRPr="00DE001C">
              <w:rPr>
                <w:sz w:val="22"/>
                <w:szCs w:val="22"/>
              </w:rPr>
              <w:t>14,25</w:t>
            </w:r>
          </w:p>
        </w:tc>
      </w:tr>
      <w:tr w:rsidR="0020191D" w:rsidRPr="00B96B9F" w14:paraId="4A11438D" w14:textId="77777777" w:rsidTr="007C4202">
        <w:trPr>
          <w:trHeight w:val="458"/>
        </w:trPr>
        <w:tc>
          <w:tcPr>
            <w:tcW w:w="2154" w:type="dxa"/>
            <w:tcBorders>
              <w:top w:val="nil"/>
              <w:left w:val="single" w:sz="8" w:space="0" w:color="auto"/>
              <w:bottom w:val="single" w:sz="4" w:space="0" w:color="auto"/>
              <w:right w:val="single" w:sz="8" w:space="0" w:color="auto"/>
            </w:tcBorders>
            <w:shd w:val="clear" w:color="auto" w:fill="auto"/>
            <w:noWrap/>
            <w:vAlign w:val="center"/>
            <w:hideMark/>
          </w:tcPr>
          <w:p w14:paraId="085BF0D7" w14:textId="77777777" w:rsidR="0020191D" w:rsidRPr="00B96B9F" w:rsidRDefault="0020191D" w:rsidP="007C4202">
            <w:pPr>
              <w:pStyle w:val="UZEINormaln"/>
              <w:spacing w:before="0" w:after="0"/>
              <w:rPr>
                <w:color w:val="000000"/>
                <w:sz w:val="20"/>
                <w:szCs w:val="20"/>
              </w:rPr>
            </w:pPr>
            <w:r w:rsidRPr="00DE001C">
              <w:rPr>
                <w:sz w:val="22"/>
                <w:szCs w:val="22"/>
              </w:rPr>
              <w:t>Aplikace minerálních dusíkatých hnojiv (vč. aplikace močoviny)</w:t>
            </w:r>
          </w:p>
        </w:tc>
        <w:tc>
          <w:tcPr>
            <w:tcW w:w="680" w:type="dxa"/>
            <w:tcBorders>
              <w:top w:val="nil"/>
              <w:left w:val="nil"/>
              <w:bottom w:val="single" w:sz="4" w:space="0" w:color="auto"/>
              <w:right w:val="single" w:sz="4" w:space="0" w:color="auto"/>
            </w:tcBorders>
            <w:shd w:val="clear" w:color="auto" w:fill="auto"/>
            <w:noWrap/>
            <w:vAlign w:val="center"/>
            <w:hideMark/>
          </w:tcPr>
          <w:p w14:paraId="4A332CF7" w14:textId="77777777" w:rsidR="0020191D" w:rsidRPr="00B96B9F" w:rsidRDefault="0020191D" w:rsidP="007C4202">
            <w:pPr>
              <w:pStyle w:val="UZEINormaln"/>
              <w:spacing w:before="0" w:after="0"/>
              <w:rPr>
                <w:color w:val="000000"/>
                <w:sz w:val="20"/>
                <w:szCs w:val="20"/>
              </w:rPr>
            </w:pPr>
            <w:r w:rsidRPr="00DE001C">
              <w:rPr>
                <w:sz w:val="22"/>
                <w:szCs w:val="22"/>
              </w:rPr>
              <w:t>14,57</w:t>
            </w:r>
          </w:p>
        </w:tc>
        <w:tc>
          <w:tcPr>
            <w:tcW w:w="680" w:type="dxa"/>
            <w:tcBorders>
              <w:top w:val="nil"/>
              <w:left w:val="nil"/>
              <w:bottom w:val="single" w:sz="4" w:space="0" w:color="auto"/>
              <w:right w:val="single" w:sz="4" w:space="0" w:color="auto"/>
            </w:tcBorders>
            <w:shd w:val="clear" w:color="auto" w:fill="auto"/>
            <w:noWrap/>
            <w:vAlign w:val="center"/>
            <w:hideMark/>
          </w:tcPr>
          <w:p w14:paraId="2850D6CD" w14:textId="77777777" w:rsidR="0020191D" w:rsidRPr="00B96B9F" w:rsidRDefault="0020191D" w:rsidP="007C4202">
            <w:pPr>
              <w:pStyle w:val="UZEINormaln"/>
              <w:spacing w:before="0" w:after="0"/>
              <w:rPr>
                <w:color w:val="000000"/>
                <w:sz w:val="20"/>
                <w:szCs w:val="20"/>
              </w:rPr>
            </w:pPr>
            <w:r w:rsidRPr="00DE001C">
              <w:rPr>
                <w:sz w:val="22"/>
                <w:szCs w:val="22"/>
              </w:rPr>
              <w:t>14,13</w:t>
            </w:r>
          </w:p>
        </w:tc>
        <w:tc>
          <w:tcPr>
            <w:tcW w:w="680" w:type="dxa"/>
            <w:tcBorders>
              <w:top w:val="nil"/>
              <w:left w:val="nil"/>
              <w:bottom w:val="single" w:sz="4" w:space="0" w:color="auto"/>
              <w:right w:val="single" w:sz="4" w:space="0" w:color="auto"/>
            </w:tcBorders>
            <w:shd w:val="clear" w:color="auto" w:fill="auto"/>
            <w:noWrap/>
            <w:vAlign w:val="center"/>
            <w:hideMark/>
          </w:tcPr>
          <w:p w14:paraId="404D2C7F" w14:textId="77777777" w:rsidR="0020191D" w:rsidRPr="00B96B9F" w:rsidRDefault="0020191D" w:rsidP="007C4202">
            <w:pPr>
              <w:pStyle w:val="UZEINormaln"/>
              <w:spacing w:before="0" w:after="0"/>
              <w:rPr>
                <w:color w:val="000000"/>
                <w:sz w:val="20"/>
                <w:szCs w:val="20"/>
              </w:rPr>
            </w:pPr>
            <w:r w:rsidRPr="00DE001C">
              <w:rPr>
                <w:sz w:val="22"/>
                <w:szCs w:val="22"/>
              </w:rPr>
              <w:t>15,46</w:t>
            </w:r>
          </w:p>
        </w:tc>
        <w:tc>
          <w:tcPr>
            <w:tcW w:w="680" w:type="dxa"/>
            <w:tcBorders>
              <w:top w:val="nil"/>
              <w:left w:val="nil"/>
              <w:bottom w:val="single" w:sz="4" w:space="0" w:color="auto"/>
              <w:right w:val="single" w:sz="4" w:space="0" w:color="auto"/>
            </w:tcBorders>
            <w:shd w:val="clear" w:color="auto" w:fill="auto"/>
            <w:noWrap/>
            <w:vAlign w:val="center"/>
            <w:hideMark/>
          </w:tcPr>
          <w:p w14:paraId="6BB0DC8D" w14:textId="77777777" w:rsidR="0020191D" w:rsidRPr="00B96B9F" w:rsidRDefault="0020191D" w:rsidP="007C4202">
            <w:pPr>
              <w:pStyle w:val="UZEINormaln"/>
              <w:spacing w:before="0" w:after="0"/>
              <w:rPr>
                <w:color w:val="000000"/>
                <w:sz w:val="20"/>
                <w:szCs w:val="20"/>
              </w:rPr>
            </w:pPr>
            <w:r w:rsidRPr="00DE001C">
              <w:rPr>
                <w:sz w:val="22"/>
                <w:szCs w:val="22"/>
              </w:rPr>
              <w:t>16,32</w:t>
            </w:r>
          </w:p>
        </w:tc>
        <w:tc>
          <w:tcPr>
            <w:tcW w:w="680" w:type="dxa"/>
            <w:tcBorders>
              <w:top w:val="nil"/>
              <w:left w:val="nil"/>
              <w:bottom w:val="single" w:sz="4" w:space="0" w:color="auto"/>
              <w:right w:val="single" w:sz="4" w:space="0" w:color="auto"/>
            </w:tcBorders>
            <w:shd w:val="clear" w:color="auto" w:fill="auto"/>
            <w:noWrap/>
            <w:vAlign w:val="center"/>
            <w:hideMark/>
          </w:tcPr>
          <w:p w14:paraId="7B09F3F2" w14:textId="77777777" w:rsidR="0020191D" w:rsidRPr="00B96B9F" w:rsidRDefault="0020191D" w:rsidP="007C4202">
            <w:pPr>
              <w:pStyle w:val="UZEINormaln"/>
              <w:spacing w:before="0" w:after="0"/>
              <w:rPr>
                <w:color w:val="000000"/>
                <w:sz w:val="20"/>
                <w:szCs w:val="20"/>
              </w:rPr>
            </w:pPr>
            <w:r w:rsidRPr="00DE001C">
              <w:rPr>
                <w:sz w:val="22"/>
                <w:szCs w:val="22"/>
              </w:rPr>
              <w:t>16,96</w:t>
            </w:r>
          </w:p>
        </w:tc>
        <w:tc>
          <w:tcPr>
            <w:tcW w:w="680" w:type="dxa"/>
            <w:tcBorders>
              <w:top w:val="nil"/>
              <w:left w:val="nil"/>
              <w:bottom w:val="single" w:sz="4" w:space="0" w:color="auto"/>
              <w:right w:val="single" w:sz="4" w:space="0" w:color="auto"/>
            </w:tcBorders>
            <w:shd w:val="clear" w:color="auto" w:fill="auto"/>
            <w:noWrap/>
            <w:vAlign w:val="center"/>
            <w:hideMark/>
          </w:tcPr>
          <w:p w14:paraId="47E08C51" w14:textId="77777777" w:rsidR="0020191D" w:rsidRPr="00B96B9F" w:rsidRDefault="0020191D" w:rsidP="007C4202">
            <w:pPr>
              <w:pStyle w:val="UZEINormaln"/>
              <w:spacing w:before="0" w:after="0"/>
              <w:rPr>
                <w:color w:val="000000"/>
                <w:sz w:val="20"/>
                <w:szCs w:val="20"/>
              </w:rPr>
            </w:pPr>
            <w:r w:rsidRPr="00DE001C">
              <w:rPr>
                <w:sz w:val="22"/>
                <w:szCs w:val="22"/>
              </w:rPr>
              <w:t>17,87</w:t>
            </w:r>
          </w:p>
        </w:tc>
        <w:tc>
          <w:tcPr>
            <w:tcW w:w="680" w:type="dxa"/>
            <w:tcBorders>
              <w:top w:val="nil"/>
              <w:left w:val="nil"/>
              <w:bottom w:val="single" w:sz="4" w:space="0" w:color="auto"/>
              <w:right w:val="single" w:sz="4" w:space="0" w:color="auto"/>
            </w:tcBorders>
            <w:shd w:val="clear" w:color="auto" w:fill="auto"/>
            <w:noWrap/>
            <w:vAlign w:val="center"/>
            <w:hideMark/>
          </w:tcPr>
          <w:p w14:paraId="0C73CD94" w14:textId="77777777" w:rsidR="0020191D" w:rsidRPr="00B96B9F" w:rsidRDefault="0020191D" w:rsidP="007C4202">
            <w:pPr>
              <w:pStyle w:val="UZEINormaln"/>
              <w:spacing w:before="0" w:after="0"/>
              <w:rPr>
                <w:color w:val="000000"/>
                <w:sz w:val="20"/>
                <w:szCs w:val="20"/>
              </w:rPr>
            </w:pPr>
            <w:r w:rsidRPr="00DE001C">
              <w:rPr>
                <w:sz w:val="22"/>
                <w:szCs w:val="22"/>
              </w:rPr>
              <w:t>18,39</w:t>
            </w:r>
          </w:p>
        </w:tc>
        <w:tc>
          <w:tcPr>
            <w:tcW w:w="680" w:type="dxa"/>
            <w:tcBorders>
              <w:top w:val="nil"/>
              <w:left w:val="nil"/>
              <w:bottom w:val="single" w:sz="4" w:space="0" w:color="auto"/>
              <w:right w:val="single" w:sz="4" w:space="0" w:color="auto"/>
            </w:tcBorders>
            <w:shd w:val="clear" w:color="auto" w:fill="auto"/>
            <w:noWrap/>
            <w:vAlign w:val="center"/>
            <w:hideMark/>
          </w:tcPr>
          <w:p w14:paraId="51A26B8D" w14:textId="77777777" w:rsidR="0020191D" w:rsidRPr="00B96B9F" w:rsidRDefault="0020191D" w:rsidP="007C4202">
            <w:pPr>
              <w:pStyle w:val="UZEINormaln"/>
              <w:spacing w:before="0" w:after="0"/>
              <w:rPr>
                <w:color w:val="000000"/>
                <w:sz w:val="20"/>
                <w:szCs w:val="20"/>
              </w:rPr>
            </w:pPr>
            <w:r w:rsidRPr="00DE001C">
              <w:rPr>
                <w:sz w:val="22"/>
                <w:szCs w:val="22"/>
              </w:rPr>
              <w:t>18,47</w:t>
            </w:r>
          </w:p>
        </w:tc>
        <w:tc>
          <w:tcPr>
            <w:tcW w:w="680" w:type="dxa"/>
            <w:tcBorders>
              <w:top w:val="nil"/>
              <w:left w:val="nil"/>
              <w:bottom w:val="single" w:sz="4" w:space="0" w:color="auto"/>
              <w:right w:val="single" w:sz="8" w:space="0" w:color="auto"/>
            </w:tcBorders>
            <w:shd w:val="clear" w:color="auto" w:fill="auto"/>
            <w:noWrap/>
            <w:vAlign w:val="center"/>
            <w:hideMark/>
          </w:tcPr>
          <w:p w14:paraId="5F04D052" w14:textId="77777777" w:rsidR="0020191D" w:rsidRPr="00B96B9F" w:rsidRDefault="0020191D" w:rsidP="007C4202">
            <w:pPr>
              <w:pStyle w:val="UZEINormaln"/>
              <w:spacing w:before="0" w:after="0"/>
              <w:rPr>
                <w:color w:val="000000"/>
                <w:sz w:val="20"/>
                <w:szCs w:val="20"/>
              </w:rPr>
            </w:pPr>
            <w:r w:rsidRPr="00DE001C">
              <w:rPr>
                <w:sz w:val="22"/>
                <w:szCs w:val="22"/>
              </w:rPr>
              <w:t>20,02</w:t>
            </w:r>
          </w:p>
        </w:tc>
        <w:tc>
          <w:tcPr>
            <w:tcW w:w="680" w:type="dxa"/>
            <w:tcBorders>
              <w:top w:val="nil"/>
              <w:left w:val="nil"/>
              <w:bottom w:val="single" w:sz="4" w:space="0" w:color="auto"/>
              <w:right w:val="single" w:sz="8" w:space="0" w:color="auto"/>
            </w:tcBorders>
            <w:vAlign w:val="center"/>
          </w:tcPr>
          <w:p w14:paraId="56B8BA4C" w14:textId="77777777" w:rsidR="0020191D" w:rsidRPr="00B96B9F" w:rsidRDefault="0020191D" w:rsidP="007C4202">
            <w:pPr>
              <w:pStyle w:val="UZEINormaln"/>
              <w:spacing w:before="0" w:after="0"/>
              <w:rPr>
                <w:color w:val="000000"/>
                <w:sz w:val="20"/>
                <w:szCs w:val="20"/>
              </w:rPr>
            </w:pPr>
            <w:r w:rsidRPr="00DE001C">
              <w:rPr>
                <w:sz w:val="22"/>
                <w:szCs w:val="22"/>
              </w:rPr>
              <w:t>26,85</w:t>
            </w:r>
          </w:p>
        </w:tc>
        <w:tc>
          <w:tcPr>
            <w:tcW w:w="680" w:type="dxa"/>
            <w:tcBorders>
              <w:top w:val="nil"/>
              <w:left w:val="nil"/>
              <w:bottom w:val="single" w:sz="4" w:space="0" w:color="auto"/>
              <w:right w:val="single" w:sz="8" w:space="0" w:color="auto"/>
            </w:tcBorders>
            <w:vAlign w:val="center"/>
          </w:tcPr>
          <w:p w14:paraId="07CFCDA7" w14:textId="77777777" w:rsidR="0020191D" w:rsidRPr="00B96B9F" w:rsidRDefault="0020191D" w:rsidP="007C4202">
            <w:pPr>
              <w:pStyle w:val="UZEINormaln"/>
              <w:spacing w:before="0" w:after="0"/>
              <w:rPr>
                <w:color w:val="000000"/>
                <w:sz w:val="20"/>
                <w:szCs w:val="20"/>
              </w:rPr>
            </w:pPr>
            <w:r w:rsidRPr="00DE001C">
              <w:rPr>
                <w:sz w:val="22"/>
                <w:szCs w:val="22"/>
              </w:rPr>
              <w:t>23,15</w:t>
            </w:r>
          </w:p>
        </w:tc>
      </w:tr>
      <w:tr w:rsidR="0020191D" w:rsidRPr="00B96B9F" w14:paraId="4F36AC3F" w14:textId="77777777" w:rsidTr="007C4202">
        <w:trPr>
          <w:trHeight w:val="458"/>
        </w:trPr>
        <w:tc>
          <w:tcPr>
            <w:tcW w:w="2154" w:type="dxa"/>
            <w:tcBorders>
              <w:top w:val="nil"/>
              <w:left w:val="single" w:sz="8" w:space="0" w:color="auto"/>
              <w:bottom w:val="single" w:sz="8" w:space="0" w:color="auto"/>
              <w:right w:val="single" w:sz="4" w:space="0" w:color="auto"/>
            </w:tcBorders>
            <w:shd w:val="clear" w:color="auto" w:fill="auto"/>
            <w:noWrap/>
            <w:vAlign w:val="center"/>
            <w:hideMark/>
          </w:tcPr>
          <w:p w14:paraId="135967CB" w14:textId="77777777" w:rsidR="0020191D" w:rsidRPr="00B96B9F" w:rsidRDefault="0020191D" w:rsidP="007C4202">
            <w:pPr>
              <w:pStyle w:val="UZEINormaln"/>
              <w:spacing w:before="0" w:after="0"/>
              <w:rPr>
                <w:b/>
                <w:color w:val="000000"/>
                <w:sz w:val="20"/>
                <w:szCs w:val="20"/>
              </w:rPr>
            </w:pPr>
            <w:r w:rsidRPr="00DE001C">
              <w:rPr>
                <w:sz w:val="22"/>
                <w:szCs w:val="22"/>
              </w:rPr>
              <w:t>Celkem za sektor zemědělství</w:t>
            </w:r>
          </w:p>
        </w:tc>
        <w:tc>
          <w:tcPr>
            <w:tcW w:w="680" w:type="dxa"/>
            <w:tcBorders>
              <w:top w:val="nil"/>
              <w:left w:val="nil"/>
              <w:bottom w:val="single" w:sz="8" w:space="0" w:color="auto"/>
              <w:right w:val="single" w:sz="4" w:space="0" w:color="auto"/>
            </w:tcBorders>
            <w:shd w:val="clear" w:color="auto" w:fill="auto"/>
            <w:noWrap/>
            <w:vAlign w:val="center"/>
            <w:hideMark/>
          </w:tcPr>
          <w:p w14:paraId="67EF9BFA" w14:textId="77777777" w:rsidR="0020191D" w:rsidRPr="00B96B9F" w:rsidRDefault="0020191D" w:rsidP="007C4202">
            <w:pPr>
              <w:pStyle w:val="UZEINormaln"/>
              <w:spacing w:before="0" w:after="0"/>
              <w:rPr>
                <w:b/>
                <w:color w:val="000000"/>
                <w:sz w:val="20"/>
                <w:szCs w:val="20"/>
              </w:rPr>
            </w:pPr>
            <w:r w:rsidRPr="00DE001C">
              <w:rPr>
                <w:sz w:val="22"/>
                <w:szCs w:val="22"/>
              </w:rPr>
              <w:t>81,92</w:t>
            </w:r>
          </w:p>
        </w:tc>
        <w:tc>
          <w:tcPr>
            <w:tcW w:w="680" w:type="dxa"/>
            <w:tcBorders>
              <w:top w:val="nil"/>
              <w:left w:val="nil"/>
              <w:bottom w:val="single" w:sz="8" w:space="0" w:color="auto"/>
              <w:right w:val="single" w:sz="4" w:space="0" w:color="auto"/>
            </w:tcBorders>
            <w:shd w:val="clear" w:color="auto" w:fill="auto"/>
            <w:noWrap/>
            <w:vAlign w:val="center"/>
            <w:hideMark/>
          </w:tcPr>
          <w:p w14:paraId="6E3FBFBA" w14:textId="77777777" w:rsidR="0020191D" w:rsidRPr="00B96B9F" w:rsidRDefault="0020191D" w:rsidP="007C4202">
            <w:pPr>
              <w:pStyle w:val="UZEINormaln"/>
              <w:spacing w:before="0" w:after="0"/>
              <w:rPr>
                <w:b/>
                <w:color w:val="000000"/>
                <w:sz w:val="20"/>
                <w:szCs w:val="20"/>
              </w:rPr>
            </w:pPr>
            <w:r w:rsidRPr="00DE001C">
              <w:rPr>
                <w:sz w:val="22"/>
                <w:szCs w:val="22"/>
              </w:rPr>
              <w:t>72,11</w:t>
            </w:r>
          </w:p>
        </w:tc>
        <w:tc>
          <w:tcPr>
            <w:tcW w:w="680" w:type="dxa"/>
            <w:tcBorders>
              <w:top w:val="nil"/>
              <w:left w:val="nil"/>
              <w:bottom w:val="single" w:sz="8" w:space="0" w:color="auto"/>
              <w:right w:val="single" w:sz="4" w:space="0" w:color="auto"/>
            </w:tcBorders>
            <w:shd w:val="clear" w:color="auto" w:fill="auto"/>
            <w:noWrap/>
            <w:vAlign w:val="center"/>
            <w:hideMark/>
          </w:tcPr>
          <w:p w14:paraId="1EAB30B8" w14:textId="77777777" w:rsidR="0020191D" w:rsidRPr="00B96B9F" w:rsidRDefault="0020191D" w:rsidP="007C4202">
            <w:pPr>
              <w:pStyle w:val="UZEINormaln"/>
              <w:spacing w:before="0" w:after="0"/>
              <w:rPr>
                <w:b/>
                <w:color w:val="000000"/>
                <w:sz w:val="20"/>
                <w:szCs w:val="20"/>
              </w:rPr>
            </w:pPr>
            <w:r w:rsidRPr="00DE001C">
              <w:rPr>
                <w:sz w:val="22"/>
                <w:szCs w:val="22"/>
              </w:rPr>
              <w:t>65,02</w:t>
            </w:r>
          </w:p>
        </w:tc>
        <w:tc>
          <w:tcPr>
            <w:tcW w:w="680" w:type="dxa"/>
            <w:tcBorders>
              <w:top w:val="nil"/>
              <w:left w:val="nil"/>
              <w:bottom w:val="single" w:sz="8" w:space="0" w:color="auto"/>
              <w:right w:val="single" w:sz="4" w:space="0" w:color="auto"/>
            </w:tcBorders>
            <w:shd w:val="clear" w:color="auto" w:fill="auto"/>
            <w:noWrap/>
            <w:vAlign w:val="center"/>
            <w:hideMark/>
          </w:tcPr>
          <w:p w14:paraId="2878B6EC" w14:textId="77777777" w:rsidR="0020191D" w:rsidRPr="00B96B9F" w:rsidRDefault="0020191D" w:rsidP="007C4202">
            <w:pPr>
              <w:pStyle w:val="UZEINormaln"/>
              <w:spacing w:before="0" w:after="0"/>
              <w:rPr>
                <w:b/>
                <w:color w:val="000000"/>
                <w:sz w:val="20"/>
                <w:szCs w:val="20"/>
              </w:rPr>
            </w:pPr>
            <w:r w:rsidRPr="00DE001C">
              <w:rPr>
                <w:sz w:val="22"/>
                <w:szCs w:val="22"/>
              </w:rPr>
              <w:t>63,50</w:t>
            </w:r>
          </w:p>
        </w:tc>
        <w:tc>
          <w:tcPr>
            <w:tcW w:w="680" w:type="dxa"/>
            <w:tcBorders>
              <w:top w:val="nil"/>
              <w:left w:val="nil"/>
              <w:bottom w:val="single" w:sz="8" w:space="0" w:color="auto"/>
              <w:right w:val="single" w:sz="4" w:space="0" w:color="auto"/>
            </w:tcBorders>
            <w:shd w:val="clear" w:color="auto" w:fill="auto"/>
            <w:noWrap/>
            <w:vAlign w:val="center"/>
            <w:hideMark/>
          </w:tcPr>
          <w:p w14:paraId="3A0E386D" w14:textId="77777777" w:rsidR="0020191D" w:rsidRPr="00B96B9F" w:rsidRDefault="0020191D" w:rsidP="007C4202">
            <w:pPr>
              <w:pStyle w:val="UZEINormaln"/>
              <w:spacing w:before="0" w:after="0"/>
              <w:rPr>
                <w:b/>
                <w:color w:val="000000"/>
                <w:sz w:val="20"/>
                <w:szCs w:val="20"/>
              </w:rPr>
            </w:pPr>
            <w:r w:rsidRPr="00DE001C">
              <w:rPr>
                <w:sz w:val="22"/>
                <w:szCs w:val="22"/>
              </w:rPr>
              <w:t>63,13</w:t>
            </w:r>
          </w:p>
        </w:tc>
        <w:tc>
          <w:tcPr>
            <w:tcW w:w="680" w:type="dxa"/>
            <w:tcBorders>
              <w:top w:val="nil"/>
              <w:left w:val="nil"/>
              <w:bottom w:val="single" w:sz="8" w:space="0" w:color="auto"/>
              <w:right w:val="single" w:sz="4" w:space="0" w:color="auto"/>
            </w:tcBorders>
            <w:shd w:val="clear" w:color="auto" w:fill="auto"/>
            <w:noWrap/>
            <w:vAlign w:val="center"/>
            <w:hideMark/>
          </w:tcPr>
          <w:p w14:paraId="4E978C62" w14:textId="77777777" w:rsidR="0020191D" w:rsidRPr="00B96B9F" w:rsidRDefault="0020191D" w:rsidP="007C4202">
            <w:pPr>
              <w:pStyle w:val="UZEINormaln"/>
              <w:spacing w:before="0" w:after="0"/>
              <w:rPr>
                <w:b/>
                <w:color w:val="000000"/>
                <w:sz w:val="20"/>
                <w:szCs w:val="20"/>
              </w:rPr>
            </w:pPr>
            <w:r w:rsidRPr="00DE001C">
              <w:rPr>
                <w:sz w:val="22"/>
                <w:szCs w:val="22"/>
              </w:rPr>
              <w:t>64,77</w:t>
            </w:r>
          </w:p>
        </w:tc>
        <w:tc>
          <w:tcPr>
            <w:tcW w:w="680" w:type="dxa"/>
            <w:tcBorders>
              <w:top w:val="nil"/>
              <w:left w:val="nil"/>
              <w:bottom w:val="single" w:sz="8" w:space="0" w:color="auto"/>
              <w:right w:val="single" w:sz="4" w:space="0" w:color="auto"/>
            </w:tcBorders>
            <w:shd w:val="clear" w:color="auto" w:fill="auto"/>
            <w:noWrap/>
            <w:vAlign w:val="center"/>
            <w:hideMark/>
          </w:tcPr>
          <w:p w14:paraId="26F15CD3" w14:textId="77777777" w:rsidR="0020191D" w:rsidRPr="00B96B9F" w:rsidRDefault="0020191D" w:rsidP="007C4202">
            <w:pPr>
              <w:pStyle w:val="UZEINormaln"/>
              <w:spacing w:before="0" w:after="0"/>
              <w:rPr>
                <w:b/>
                <w:color w:val="000000"/>
                <w:sz w:val="20"/>
                <w:szCs w:val="20"/>
              </w:rPr>
            </w:pPr>
            <w:r w:rsidRPr="00DE001C">
              <w:rPr>
                <w:sz w:val="22"/>
                <w:szCs w:val="22"/>
              </w:rPr>
              <w:t>65,22</w:t>
            </w:r>
          </w:p>
        </w:tc>
        <w:tc>
          <w:tcPr>
            <w:tcW w:w="680" w:type="dxa"/>
            <w:tcBorders>
              <w:top w:val="nil"/>
              <w:left w:val="nil"/>
              <w:bottom w:val="single" w:sz="8" w:space="0" w:color="auto"/>
              <w:right w:val="single" w:sz="4" w:space="0" w:color="auto"/>
            </w:tcBorders>
            <w:shd w:val="clear" w:color="auto" w:fill="auto"/>
            <w:noWrap/>
            <w:vAlign w:val="center"/>
            <w:hideMark/>
          </w:tcPr>
          <w:p w14:paraId="1482E099" w14:textId="77777777" w:rsidR="0020191D" w:rsidRPr="00B96B9F" w:rsidRDefault="0020191D" w:rsidP="007C4202">
            <w:pPr>
              <w:pStyle w:val="UZEINormaln"/>
              <w:spacing w:before="0" w:after="0"/>
              <w:rPr>
                <w:b/>
                <w:color w:val="000000"/>
                <w:sz w:val="20"/>
                <w:szCs w:val="20"/>
              </w:rPr>
            </w:pPr>
            <w:r w:rsidRPr="00DE001C">
              <w:rPr>
                <w:sz w:val="22"/>
                <w:szCs w:val="22"/>
              </w:rPr>
              <w:t>65,91</w:t>
            </w:r>
          </w:p>
        </w:tc>
        <w:tc>
          <w:tcPr>
            <w:tcW w:w="680" w:type="dxa"/>
            <w:tcBorders>
              <w:top w:val="nil"/>
              <w:left w:val="nil"/>
              <w:bottom w:val="single" w:sz="8" w:space="0" w:color="auto"/>
              <w:right w:val="single" w:sz="8" w:space="0" w:color="auto"/>
            </w:tcBorders>
            <w:shd w:val="clear" w:color="auto" w:fill="auto"/>
            <w:noWrap/>
            <w:vAlign w:val="center"/>
            <w:hideMark/>
          </w:tcPr>
          <w:p w14:paraId="7BEF0E2B" w14:textId="77777777" w:rsidR="0020191D" w:rsidRPr="00B96B9F" w:rsidRDefault="0020191D" w:rsidP="007C4202">
            <w:pPr>
              <w:pStyle w:val="UZEINormaln"/>
              <w:spacing w:before="0" w:after="0"/>
              <w:rPr>
                <w:b/>
                <w:color w:val="000000"/>
                <w:sz w:val="20"/>
                <w:szCs w:val="20"/>
              </w:rPr>
            </w:pPr>
            <w:r w:rsidRPr="00DE001C">
              <w:rPr>
                <w:sz w:val="22"/>
                <w:szCs w:val="22"/>
              </w:rPr>
              <w:t>65,47</w:t>
            </w:r>
          </w:p>
        </w:tc>
        <w:tc>
          <w:tcPr>
            <w:tcW w:w="680" w:type="dxa"/>
            <w:tcBorders>
              <w:top w:val="nil"/>
              <w:left w:val="nil"/>
              <w:bottom w:val="single" w:sz="8" w:space="0" w:color="auto"/>
              <w:right w:val="single" w:sz="8" w:space="0" w:color="auto"/>
            </w:tcBorders>
            <w:shd w:val="clear" w:color="auto" w:fill="auto"/>
            <w:vAlign w:val="center"/>
          </w:tcPr>
          <w:p w14:paraId="1CFF777E" w14:textId="77777777" w:rsidR="0020191D" w:rsidRPr="00B96B9F" w:rsidRDefault="0020191D" w:rsidP="007C4202">
            <w:pPr>
              <w:pStyle w:val="UZEINormaln"/>
              <w:spacing w:before="0" w:after="0"/>
              <w:rPr>
                <w:b/>
                <w:color w:val="000000"/>
                <w:sz w:val="20"/>
                <w:szCs w:val="20"/>
              </w:rPr>
            </w:pPr>
            <w:r w:rsidRPr="00DE001C">
              <w:rPr>
                <w:sz w:val="22"/>
                <w:szCs w:val="22"/>
              </w:rPr>
              <w:t>67,96</w:t>
            </w:r>
          </w:p>
        </w:tc>
        <w:tc>
          <w:tcPr>
            <w:tcW w:w="680" w:type="dxa"/>
            <w:tcBorders>
              <w:top w:val="nil"/>
              <w:left w:val="nil"/>
              <w:bottom w:val="single" w:sz="8" w:space="0" w:color="auto"/>
              <w:right w:val="single" w:sz="8" w:space="0" w:color="auto"/>
            </w:tcBorders>
            <w:shd w:val="clear" w:color="auto" w:fill="auto"/>
            <w:vAlign w:val="center"/>
          </w:tcPr>
          <w:p w14:paraId="0F97D798" w14:textId="77777777" w:rsidR="0020191D" w:rsidRPr="00B96B9F" w:rsidRDefault="0020191D" w:rsidP="007C4202">
            <w:pPr>
              <w:pStyle w:val="UZEINormaln"/>
              <w:spacing w:before="0" w:after="0"/>
              <w:rPr>
                <w:b/>
                <w:color w:val="000000"/>
                <w:sz w:val="20"/>
                <w:szCs w:val="20"/>
              </w:rPr>
            </w:pPr>
            <w:r w:rsidRPr="00DE001C">
              <w:rPr>
                <w:sz w:val="22"/>
                <w:szCs w:val="22"/>
              </w:rPr>
              <w:t>64,77</w:t>
            </w:r>
          </w:p>
        </w:tc>
      </w:tr>
    </w:tbl>
    <w:p w14:paraId="7F7AD868" w14:textId="77777777" w:rsidR="0020191D" w:rsidRPr="00B96B9F" w:rsidRDefault="0020191D" w:rsidP="0020191D">
      <w:pPr>
        <w:pStyle w:val="UZEIZdroj"/>
        <w:rPr>
          <w:i w:val="0"/>
          <w:sz w:val="22"/>
        </w:rPr>
      </w:pPr>
      <w:r w:rsidRPr="00B96B9F">
        <w:t>Zdroj: Officially reported emission data: Emissions of NH₃ (kilotonnes), Czech Republic (</w:t>
      </w:r>
      <w:hyperlink r:id="rId26" w:history="1">
        <w:r w:rsidRPr="00B96B9F">
          <w:rPr>
            <w:i w:val="0"/>
            <w:sz w:val="22"/>
          </w:rPr>
          <w:t>www.ceip.at</w:t>
        </w:r>
      </w:hyperlink>
      <w:r w:rsidRPr="00B96B9F">
        <w:rPr>
          <w:i w:val="0"/>
          <w:sz w:val="22"/>
        </w:rPr>
        <w:t>), aktualizace 6/2021</w:t>
      </w:r>
    </w:p>
    <w:p w14:paraId="3CFAF666" w14:textId="77777777" w:rsidR="0020191D" w:rsidRDefault="0020191D" w:rsidP="00DD3B19">
      <w:pPr>
        <w:pStyle w:val="UZEINormaln"/>
        <w:rPr>
          <w:rFonts w:eastAsiaTheme="minorEastAsia"/>
        </w:rPr>
      </w:pPr>
    </w:p>
    <w:p w14:paraId="56D7B4C6" w14:textId="75E71419" w:rsidR="003E0F58" w:rsidRPr="005D1920" w:rsidRDefault="003E0F58" w:rsidP="005D1920">
      <w:pPr>
        <w:pStyle w:val="UZEIOdrky"/>
        <w:rPr>
          <w:rFonts w:eastAsiaTheme="minorEastAsia"/>
        </w:rPr>
      </w:pPr>
      <w:r w:rsidRPr="007C705C">
        <w:rPr>
          <w:rFonts w:eastAsiaTheme="minorEastAsia"/>
        </w:rPr>
        <w:t>Nevyužívání půdoochranných technologií, které mají vliv na snižování emisí</w:t>
      </w:r>
    </w:p>
    <w:p w14:paraId="2C3F0066" w14:textId="77777777" w:rsidR="003E0F58" w:rsidRPr="007C705C" w:rsidRDefault="003E0F58" w:rsidP="007F24B2">
      <w:pPr>
        <w:pStyle w:val="UZEINormaln"/>
        <w:rPr>
          <w:rFonts w:eastAsiaTheme="minorEastAsia"/>
        </w:rPr>
      </w:pPr>
      <w:r w:rsidRPr="007C705C">
        <w:rPr>
          <w:rFonts w:eastAsiaTheme="minorEastAsia"/>
        </w:rPr>
        <w:t>Za posledních padesát let se v půdách mírného pásu v důsledku kultivace snížil obsah uhlíku v organických látkách o 20–40 %.</w:t>
      </w:r>
    </w:p>
    <w:p w14:paraId="18FA4997" w14:textId="77777777" w:rsidR="0020191D" w:rsidRPr="007C705C" w:rsidRDefault="0020191D" w:rsidP="007F24B2">
      <w:pPr>
        <w:pStyle w:val="UZEINormaln"/>
        <w:rPr>
          <w:rFonts w:eastAsiaTheme="minorEastAsia"/>
          <w:u w:val="single"/>
        </w:rPr>
      </w:pPr>
    </w:p>
    <w:p w14:paraId="5FDC7487" w14:textId="73813140" w:rsidR="003E0F58" w:rsidRPr="007C705C" w:rsidRDefault="003E0F58" w:rsidP="007F24B2">
      <w:pPr>
        <w:pStyle w:val="UZEIOdrky"/>
        <w:rPr>
          <w:rFonts w:eastAsiaTheme="minorEastAsia"/>
          <w:u w:val="single"/>
        </w:rPr>
      </w:pPr>
      <w:r w:rsidRPr="007C705C">
        <w:rPr>
          <w:rFonts w:eastAsiaTheme="minorEastAsia"/>
        </w:rPr>
        <w:t>Nevyužívání změn managementu na půdě – zalesňování a zatravňování ZPF</w:t>
      </w:r>
    </w:p>
    <w:p w14:paraId="276F51AF" w14:textId="77777777" w:rsidR="003E0F58" w:rsidRPr="007C705C" w:rsidRDefault="003E0F58" w:rsidP="007F24B2">
      <w:pPr>
        <w:pStyle w:val="UZEINormaln"/>
        <w:rPr>
          <w:rFonts w:eastAsiaTheme="minorEastAsia"/>
        </w:rPr>
      </w:pPr>
      <w:r w:rsidRPr="007C705C">
        <w:rPr>
          <w:rFonts w:eastAsiaTheme="minorEastAsia"/>
        </w:rPr>
        <w:t xml:space="preserve">Svým prostorovým podílem 12,9% (2019) patří kategorie travních porostů na třetí místo mezi kategoriemi využití půdy v České republice. Tato půda se většinou používá jako pastviny pro dobytek a louky pro pěstování krmiva. Podle národních zemědělských programů by se měl prostorový podíl travních porostů dále zvýšit na přibližně 18% rozlohy země. Dominantní část by měla být převedena z kategorie „Cropland“, jejíž podíl je stále považován za nadměrný. Po zavedení dotací od roku 1990 se plocha pastvin zvýšila k roku 2019 o 22,2%. </w:t>
      </w:r>
    </w:p>
    <w:p w14:paraId="749D7CF7" w14:textId="1BEBCAA1" w:rsidR="003E0F58" w:rsidRPr="00CF6DF0" w:rsidRDefault="003E0F58" w:rsidP="007F24B2">
      <w:pPr>
        <w:pStyle w:val="UZEINormaln"/>
        <w:rPr>
          <w:rFonts w:eastAsiaTheme="minorEastAsia"/>
        </w:rPr>
      </w:pPr>
      <w:r w:rsidRPr="00CF6DF0">
        <w:rPr>
          <w:rFonts w:eastAsiaTheme="minorEastAsia"/>
        </w:rPr>
        <w:lastRenderedPageBreak/>
        <w:t>Zatravnění jako opatření směřující k mitigaci změny klimatu je opodstatněné zejména v méně příznivých zemědělských oblastech (ANC) – oblastech s přírodním znevýhodněním, které tvoří více jak polovinu zemědělského půdního fondu, protože v úrodnějších oblastech by vyvolaný pokles produkce výrazně snížil potravinovou bezpečnost a soběstačnost. Nicméně v rámci ANC již poměrně velkou část ploch zaujímají trvalé travní porosty</w:t>
      </w:r>
      <w:r w:rsidR="00CF6DF0">
        <w:rPr>
          <w:rFonts w:eastAsiaTheme="minorEastAsia"/>
        </w:rPr>
        <w:t>,</w:t>
      </w:r>
      <w:r w:rsidRPr="00CF6DF0">
        <w:rPr>
          <w:rFonts w:eastAsiaTheme="minorEastAsia"/>
        </w:rPr>
        <w:t xml:space="preserve"> a proto lze odhadnout, že plochu TTP lze reálně zvýšit o ca 200 tis ha (ca 5%). Při podpoře zatravnění je ale nutné zvážit, jaká je absorpční schopnost trhu pro biomasu produkovanou na travních porostech – živočišná výroba + bioplynové stanice a zde je potenciál pravděpodobně ještě nižší.  Mitigační účinek zatravnění se výrazně snižuje v aridních oblastech</w:t>
      </w:r>
      <w:r w:rsidR="00CF6DF0">
        <w:rPr>
          <w:rFonts w:eastAsiaTheme="minorEastAsia"/>
        </w:rPr>
        <w:t>,</w:t>
      </w:r>
      <w:r w:rsidRPr="00CF6DF0">
        <w:rPr>
          <w:rFonts w:eastAsiaTheme="minorEastAsia"/>
        </w:rPr>
        <w:t xml:space="preserve"> a proto by měla podpora zatravnění být vedle bonity půdy vázána na podmínky</w:t>
      </w:r>
      <w:r w:rsidR="00A36BA9">
        <w:rPr>
          <w:rFonts w:eastAsiaTheme="minorEastAsia"/>
        </w:rPr>
        <w:t>,</w:t>
      </w:r>
      <w:r w:rsidRPr="00CF6DF0">
        <w:rPr>
          <w:rFonts w:eastAsiaTheme="minorEastAsia"/>
        </w:rPr>
        <w:t xml:space="preserve"> kde jsou srážky a potenciální evapotranspirace přibližně vyrovnané. V prvních letech po zatravnění je možné očekávat ukládání uhlíku zhruba 1 t C na ha za rok, postupně ale ukládání klesá a ve vlhkých oblastech může být okolo 0.7 t na ha za rok v suchých oblastech pod 0.3 t na ha za rok. Pokud bychom počítali s 200 tis. ha nových travních ploch tak to představuje (při průměru 0.5 t na ha za rok) zvýšené ukládání uhlíku ca 100 tis t za rok díky zatravnění. </w:t>
      </w:r>
    </w:p>
    <w:p w14:paraId="58CFFA21" w14:textId="77777777" w:rsidR="003E0F58" w:rsidRPr="00CF6DF0" w:rsidRDefault="003E0F58" w:rsidP="007F24B2">
      <w:pPr>
        <w:pStyle w:val="UZEINormaln"/>
        <w:rPr>
          <w:rFonts w:eastAsiaTheme="minorEastAsia"/>
        </w:rPr>
      </w:pPr>
      <w:r w:rsidRPr="00CF6DF0">
        <w:rPr>
          <w:rFonts w:eastAsiaTheme="minorEastAsia"/>
        </w:rPr>
        <w:t>Adaptační potenciál spočívá v lepším zadržení vody díky lepší infiltraci a zvýšené retenční schopnosti a také výrazné omezení eroze. Krajina je tak schopna zadržovat větší množství vody a lépe překonávat období sucha, současně ale travní porosty vykazují poměrně vysokou transpiraci (výdej vody).</w:t>
      </w:r>
    </w:p>
    <w:p w14:paraId="3DBB9B21" w14:textId="7B48AF21" w:rsidR="003E0F58" w:rsidRPr="007C705C" w:rsidRDefault="003E0F58" w:rsidP="007F24B2">
      <w:pPr>
        <w:pStyle w:val="UZEINormaln"/>
        <w:rPr>
          <w:rFonts w:eastAsiaTheme="minorEastAsia"/>
          <w:u w:val="single"/>
        </w:rPr>
      </w:pPr>
      <w:r w:rsidRPr="007C705C">
        <w:rPr>
          <w:rFonts w:eastAsiaTheme="minorEastAsia"/>
          <w:lang w:eastAsia="x-none"/>
        </w:rPr>
        <w:t xml:space="preserve">Expertní hodnocení VÚMOP v.v.i. posuzuje závažnost problému na škále 1–5, přičemž 1 = vysoce závažný, 5 = nízce závažný problém. Stejným způsobem hodnotí míry jednotlivých příčin na vzniku problému, viz </w:t>
      </w:r>
      <w:r w:rsidR="003A1F35" w:rsidRPr="003A1F35">
        <w:fldChar w:fldCharType="begin"/>
      </w:r>
      <w:r w:rsidR="003A1F35" w:rsidRPr="003A1F35">
        <w:rPr>
          <w:rFonts w:eastAsiaTheme="minorEastAsia"/>
          <w:lang w:eastAsia="x-none"/>
        </w:rPr>
        <w:instrText xml:space="preserve"> REF _Ref81423456 \r \h </w:instrText>
      </w:r>
      <w:r w:rsidR="003A1F35" w:rsidRPr="003A1F35">
        <w:fldChar w:fldCharType="separate"/>
      </w:r>
      <w:r w:rsidR="00127D64">
        <w:rPr>
          <w:rFonts w:eastAsiaTheme="minorEastAsia"/>
          <w:lang w:eastAsia="x-none"/>
        </w:rPr>
        <w:t>Tabulka 86</w:t>
      </w:r>
      <w:r w:rsidR="003A1F35" w:rsidRPr="003A1F35">
        <w:fldChar w:fldCharType="end"/>
      </w:r>
      <w:r w:rsidR="003A1F35" w:rsidRPr="003A1F35">
        <w:t>.</w:t>
      </w:r>
    </w:p>
    <w:p w14:paraId="613B2457" w14:textId="3E4B5072" w:rsidR="003E0F58" w:rsidRPr="007C705C" w:rsidRDefault="003E0F58" w:rsidP="007F24B2">
      <w:pPr>
        <w:pStyle w:val="UZEIOdrky"/>
        <w:rPr>
          <w:rFonts w:eastAsiaTheme="minorEastAsia"/>
        </w:rPr>
      </w:pPr>
      <w:r w:rsidRPr="007C705C">
        <w:rPr>
          <w:rFonts w:eastAsiaTheme="minorEastAsia"/>
        </w:rPr>
        <w:t>Pomalé zavádění technologií snižujících emise GHG a NH</w:t>
      </w:r>
      <w:r w:rsidRPr="005D1920">
        <w:rPr>
          <w:rFonts w:eastAsiaTheme="minorEastAsia"/>
          <w:vertAlign w:val="subscript"/>
        </w:rPr>
        <w:t>3</w:t>
      </w:r>
      <w:r w:rsidRPr="007C705C">
        <w:rPr>
          <w:rFonts w:eastAsiaTheme="minorEastAsia"/>
        </w:rPr>
        <w:t xml:space="preserve"> v živočišné a rostlinné výrobě</w:t>
      </w:r>
    </w:p>
    <w:p w14:paraId="15BE38B4" w14:textId="28F7409A" w:rsidR="001F7140" w:rsidRPr="00B96B9F" w:rsidRDefault="001F7140" w:rsidP="005D1920">
      <w:pPr>
        <w:pStyle w:val="UZEIOdrky"/>
        <w:numPr>
          <w:ilvl w:val="0"/>
          <w:numId w:val="0"/>
        </w:numPr>
      </w:pPr>
      <w:r w:rsidRPr="00B96B9F">
        <w:t>Povinnost zavádět technologie pro snižování emisí NH</w:t>
      </w:r>
      <w:r w:rsidRPr="00B96B9F">
        <w:rPr>
          <w:vertAlign w:val="subscript"/>
        </w:rPr>
        <w:t>3</w:t>
      </w:r>
      <w:r w:rsidRPr="00B96B9F">
        <w:t xml:space="preserve"> se týká naprosté většiny intenzivních chovů prasat a drůbeže v ČR. Do roku 2020 musí tyto provozy splňovat nařízení „Prováděcího rozhodnutí Komise (EU) 2017/302 ze dne 15. února 2017“. To se týká celkem 261 subjektů s</w:t>
      </w:r>
      <w:r>
        <w:t> </w:t>
      </w:r>
      <w:r w:rsidRPr="00B96B9F">
        <w:t>intenzivním chovem drůbeže nebo prasat s prostorem pro více než 40 000 kusů drůbeže; 144</w:t>
      </w:r>
      <w:r>
        <w:t> </w:t>
      </w:r>
      <w:r w:rsidRPr="00B96B9F">
        <w:t>podniků s intenzivním chovem drůbeže nebo prasat s prostorem pro více než 2 000 kusů prasat na porážku nad 30 kg a 41 intenzivních chovů drůbeže nebo prasat s prostorem pro více než 750 kusů prasnic (dostupné na http://www.mzp.cz/www/ippc4.nsf/seznamy.xsp). Podle Integrovaného registru znečišťovatelů (IRZ) z dat MŽP z roku 2014.</w:t>
      </w:r>
    </w:p>
    <w:p w14:paraId="34EE1844" w14:textId="7D91BD03" w:rsidR="003E0F58" w:rsidRDefault="003E0F58" w:rsidP="007F24B2">
      <w:pPr>
        <w:pStyle w:val="UZEINormaln"/>
        <w:rPr>
          <w:rFonts w:eastAsiaTheme="minorEastAsia"/>
        </w:rPr>
      </w:pPr>
      <w:r w:rsidRPr="007C705C">
        <w:rPr>
          <w:rFonts w:eastAsiaTheme="minorEastAsia"/>
        </w:rPr>
        <w:t>Stejně jako jsou zavedeny emisní limity pro NH</w:t>
      </w:r>
      <w:r w:rsidRPr="005D1920">
        <w:rPr>
          <w:rFonts w:eastAsiaTheme="minorEastAsia"/>
          <w:vertAlign w:val="subscript"/>
        </w:rPr>
        <w:t>3</w:t>
      </w:r>
      <w:r w:rsidRPr="007C705C">
        <w:rPr>
          <w:rFonts w:eastAsiaTheme="minorEastAsia"/>
        </w:rPr>
        <w:t xml:space="preserve"> lze očekávat zavádění emisních limitů i pro GHG, zejména CH</w:t>
      </w:r>
      <w:r w:rsidRPr="005D1920">
        <w:rPr>
          <w:rFonts w:eastAsiaTheme="minorEastAsia"/>
          <w:vertAlign w:val="subscript"/>
        </w:rPr>
        <w:t>4</w:t>
      </w:r>
      <w:r w:rsidRPr="007C705C">
        <w:rPr>
          <w:rFonts w:eastAsiaTheme="minorEastAsia"/>
        </w:rPr>
        <w:t xml:space="preserve"> a N</w:t>
      </w:r>
      <w:r w:rsidRPr="005D1920">
        <w:rPr>
          <w:rFonts w:eastAsiaTheme="minorEastAsia"/>
          <w:vertAlign w:val="subscript"/>
        </w:rPr>
        <w:t>2</w:t>
      </w:r>
      <w:r w:rsidRPr="007C705C">
        <w:rPr>
          <w:rFonts w:eastAsiaTheme="minorEastAsia"/>
        </w:rPr>
        <w:t>O v důsledku plnění závazků Pařížské dohody z roku 2015 na snižování emisí GHG. Nebudou-li včas zavedena opatření pro snižování emisí NH</w:t>
      </w:r>
      <w:r w:rsidRPr="005D1920">
        <w:rPr>
          <w:rFonts w:eastAsiaTheme="minorEastAsia"/>
          <w:vertAlign w:val="subscript"/>
        </w:rPr>
        <w:t>3</w:t>
      </w:r>
      <w:r w:rsidRPr="007C705C">
        <w:rPr>
          <w:rFonts w:eastAsiaTheme="minorEastAsia"/>
        </w:rPr>
        <w:t xml:space="preserve"> a GHG, nebudou splněny emisní limity vyžadované již platnou nebo očekávanou legislativou. Ze strany MZe jsou patrné snahy o vypisování podpor pro zavádění opatření vedoucích přímo či nepřímo ke snižování emisí (výstavba BPS, zlepšování stájového mikroklimatu).</w:t>
      </w:r>
    </w:p>
    <w:p w14:paraId="0C628E9B" w14:textId="7AD13996" w:rsidR="001F7140" w:rsidRPr="00B96B9F" w:rsidRDefault="001F7140" w:rsidP="005D1920">
      <w:pPr>
        <w:pStyle w:val="UZEIOdrky"/>
        <w:numPr>
          <w:ilvl w:val="0"/>
          <w:numId w:val="0"/>
        </w:numPr>
      </w:pPr>
      <w:r w:rsidRPr="00B96B9F">
        <w:t>V rámci IRZ (Integrovaný registr znečištění) ohlašují zemědělské podniky nejčastěji amoniak. Prahová hodnota pro úniky amoniaku do ovzduší je 10 000 kg/rok, pro oxidy dusíku 100</w:t>
      </w:r>
      <w:r>
        <w:t> </w:t>
      </w:r>
      <w:r w:rsidRPr="00B96B9F">
        <w:t>000</w:t>
      </w:r>
      <w:r>
        <w:t> </w:t>
      </w:r>
      <w:r w:rsidRPr="00B96B9F">
        <w:t>kg/rok a pro oxid uhelnatý 500 000 kg/rok. Ty podniky (resp. v kontextu IRZ provozovny), které emitují stejně nebo méně než je prahová hodnota, nemusí tento údaj vůbec ohlásit. Ohlašovací povinnost vzniká až ve chvíli překročení limitu. V roce 2017 to bylo 401</w:t>
      </w:r>
      <w:r>
        <w:t> </w:t>
      </w:r>
      <w:r w:rsidRPr="00B96B9F">
        <w:t xml:space="preserve">provozoven, které nahlásily nadlimitní množství amoniaku vypouštěného do ovzduší (celkové množství 9 590 471,59 kg/rok) a 79 provozoven, které nahlásily nadlimitní množství oxidů dusíku vypouštěného do ovzduší (tj. 62 654 988,16 kg/rok) a 13 provozoven s nadlimitním množstvím vypouštěného oxidu uhelnatého do ovzduší (tj. 135 599 808,63 kg/rok) viz Tab. 22. </w:t>
      </w:r>
    </w:p>
    <w:p w14:paraId="3C0582E3" w14:textId="30760F4A" w:rsidR="001F7140" w:rsidRPr="00B96B9F" w:rsidRDefault="001F7140" w:rsidP="005D1920">
      <w:pPr>
        <w:pStyle w:val="UZEIOdrky"/>
        <w:numPr>
          <w:ilvl w:val="0"/>
          <w:numId w:val="0"/>
        </w:numPr>
        <w:rPr>
          <w:rFonts w:ascii="Arial" w:hAnsi="Arial"/>
          <w:b/>
          <w:caps/>
          <w:kern w:val="28"/>
          <w:sz w:val="28"/>
          <w:szCs w:val="20"/>
        </w:rPr>
      </w:pPr>
      <w:r w:rsidRPr="00B96B9F">
        <w:lastRenderedPageBreak/>
        <w:t>Závěry o BAT vymezují mimo jiné úrovně emisí amoniaku do ovzduší z chovu prasat a chovu drůbeže při použití nejlepších dostupných technik. Maximální hodnoty uvedené v tomto předpisu (BAT) pro příslušnou kategorii zvířat je možno považovat za emisní limity, které by neměl chovatel překračovat při podání žádosti o vydání integrovaného povolení. Pokud by byla hodnota uvedená níže</w:t>
      </w:r>
      <w:r w:rsidRPr="00B96B9F">
        <w:rPr>
          <w:strike/>
        </w:rPr>
        <w:t xml:space="preserve"> </w:t>
      </w:r>
      <w:r w:rsidRPr="00B96B9F">
        <w:t>překročena a tento stav by měl setrvat i po datu 21. 2. 2021, který je nejzazším termínem pro implementaci „Závěrů o BAT“, měl by povolovací orgán zvážit výjimku z BAT podle zákona o integrované prevenci uvedenou v § 15 odst. 4 zákona o integrované prevenci.</w:t>
      </w:r>
    </w:p>
    <w:p w14:paraId="3A7B093E" w14:textId="77777777" w:rsidR="001F7140" w:rsidRPr="00B96B9F" w:rsidRDefault="001F7140" w:rsidP="005D1920">
      <w:pPr>
        <w:pStyle w:val="UZEIOdrky"/>
        <w:numPr>
          <w:ilvl w:val="0"/>
          <w:numId w:val="0"/>
        </w:numPr>
      </w:pPr>
      <w:r w:rsidRPr="00B96B9F">
        <w:t>Závěry o BAT vymezují mimo jiné úrovně emisí amoniaku do ovzduší z chovu:</w:t>
      </w:r>
    </w:p>
    <w:p w14:paraId="1D1E7401" w14:textId="77777777" w:rsidR="001F7140" w:rsidRPr="00B96B9F" w:rsidRDefault="001F7140" w:rsidP="001F7140">
      <w:pPr>
        <w:pStyle w:val="UZEIOdrky"/>
        <w:numPr>
          <w:ilvl w:val="1"/>
          <w:numId w:val="2"/>
        </w:numPr>
        <w:rPr>
          <w:b/>
        </w:rPr>
      </w:pPr>
      <w:r w:rsidRPr="00B96B9F">
        <w:rPr>
          <w:b/>
        </w:rPr>
        <w:t>prasat</w:t>
      </w:r>
    </w:p>
    <w:p w14:paraId="34551418" w14:textId="77777777" w:rsidR="001F7140" w:rsidRPr="00B96B9F" w:rsidRDefault="001F7140" w:rsidP="001F7140">
      <w:pPr>
        <w:pStyle w:val="UZEIOdrky"/>
        <w:numPr>
          <w:ilvl w:val="2"/>
          <w:numId w:val="2"/>
        </w:numPr>
      </w:pPr>
      <w:r w:rsidRPr="00B96B9F">
        <w:t>Prasnice k připuštění a březí prasnice: 0,2 – 2,7 (kg NH</w:t>
      </w:r>
      <w:r w:rsidRPr="00B96B9F">
        <w:rPr>
          <w:vertAlign w:val="subscript"/>
        </w:rPr>
        <w:t>3</w:t>
      </w:r>
      <w:r w:rsidRPr="00B96B9F">
        <w:t xml:space="preserve"> / prostor pro zvíře / rok), </w:t>
      </w:r>
    </w:p>
    <w:p w14:paraId="3EF0AC5E" w14:textId="77777777" w:rsidR="001F7140" w:rsidRPr="00B96B9F" w:rsidRDefault="001F7140" w:rsidP="001F7140">
      <w:pPr>
        <w:pStyle w:val="UZEIOdrky"/>
        <w:numPr>
          <w:ilvl w:val="2"/>
          <w:numId w:val="2"/>
        </w:numPr>
      </w:pPr>
      <w:r w:rsidRPr="00B96B9F">
        <w:t>Plemenné prasnice (včetně selat v kotcích): 0,4 – 5,6 (kg NH</w:t>
      </w:r>
      <w:r w:rsidRPr="00B96B9F">
        <w:rPr>
          <w:vertAlign w:val="subscript"/>
        </w:rPr>
        <w:t>3</w:t>
      </w:r>
      <w:r w:rsidRPr="00B96B9F">
        <w:t xml:space="preserve"> / prostor pro zvíře / rok),</w:t>
      </w:r>
    </w:p>
    <w:p w14:paraId="32116F36" w14:textId="77777777" w:rsidR="001F7140" w:rsidRPr="00B96B9F" w:rsidRDefault="001F7140" w:rsidP="001F7140">
      <w:pPr>
        <w:pStyle w:val="UZEIOdrky"/>
        <w:numPr>
          <w:ilvl w:val="2"/>
          <w:numId w:val="2"/>
        </w:numPr>
      </w:pPr>
      <w:r w:rsidRPr="00B96B9F">
        <w:t>Odstávčata: 0,03 – 0,53 (kg NH</w:t>
      </w:r>
      <w:r w:rsidRPr="00B96B9F">
        <w:rPr>
          <w:vertAlign w:val="subscript"/>
        </w:rPr>
        <w:t>3</w:t>
      </w:r>
      <w:r w:rsidRPr="00B96B9F">
        <w:t xml:space="preserve"> / prostor pro zvíře / rok),</w:t>
      </w:r>
    </w:p>
    <w:p w14:paraId="61E43505" w14:textId="77777777" w:rsidR="001F7140" w:rsidRPr="00B96B9F" w:rsidRDefault="001F7140" w:rsidP="001F7140">
      <w:pPr>
        <w:pStyle w:val="UZEIOdrky"/>
        <w:numPr>
          <w:ilvl w:val="2"/>
          <w:numId w:val="2"/>
        </w:numPr>
      </w:pPr>
      <w:r w:rsidRPr="00B96B9F">
        <w:t>Prasata na výkrm: 0,1 – 2,6 (kg NH</w:t>
      </w:r>
      <w:r w:rsidRPr="00B96B9F">
        <w:rPr>
          <w:vertAlign w:val="subscript"/>
        </w:rPr>
        <w:t>3</w:t>
      </w:r>
      <w:r w:rsidRPr="00B96B9F">
        <w:t xml:space="preserve"> / prostor pro zvíře / rok)</w:t>
      </w:r>
    </w:p>
    <w:p w14:paraId="0AD2E8D2" w14:textId="77777777" w:rsidR="001F7140" w:rsidRPr="00B96B9F" w:rsidRDefault="001F7140" w:rsidP="001F7140">
      <w:pPr>
        <w:pStyle w:val="UZEIOdrky"/>
        <w:numPr>
          <w:ilvl w:val="1"/>
          <w:numId w:val="2"/>
        </w:numPr>
        <w:rPr>
          <w:b/>
        </w:rPr>
      </w:pPr>
      <w:r w:rsidRPr="00B96B9F">
        <w:rPr>
          <w:b/>
        </w:rPr>
        <w:t>drůbeže</w:t>
      </w:r>
    </w:p>
    <w:p w14:paraId="583A7842" w14:textId="77777777" w:rsidR="001F7140" w:rsidRPr="00B96B9F" w:rsidRDefault="001F7140" w:rsidP="001F7140">
      <w:pPr>
        <w:pStyle w:val="UZEIOdrky"/>
        <w:numPr>
          <w:ilvl w:val="2"/>
          <w:numId w:val="2"/>
        </w:numPr>
      </w:pPr>
      <w:r w:rsidRPr="00B96B9F">
        <w:t>Nosnice – Klecový systém: 0,02 – 0,08 (kg NH</w:t>
      </w:r>
      <w:r w:rsidRPr="00B96B9F">
        <w:rPr>
          <w:vertAlign w:val="subscript"/>
        </w:rPr>
        <w:t>3</w:t>
      </w:r>
      <w:r w:rsidRPr="00B96B9F">
        <w:t xml:space="preserve"> / prostor pro zvíře / rok),</w:t>
      </w:r>
    </w:p>
    <w:p w14:paraId="5624701D" w14:textId="77777777" w:rsidR="001F7140" w:rsidRPr="00B96B9F" w:rsidRDefault="001F7140" w:rsidP="001F7140">
      <w:pPr>
        <w:pStyle w:val="UZEIOdrky"/>
        <w:numPr>
          <w:ilvl w:val="2"/>
          <w:numId w:val="2"/>
        </w:numPr>
      </w:pPr>
      <w:r w:rsidRPr="00B96B9F">
        <w:t>Nosnice – bez klecí: 0,02 – 0,13 (kg NH</w:t>
      </w:r>
      <w:r w:rsidRPr="00B96B9F">
        <w:rPr>
          <w:vertAlign w:val="subscript"/>
        </w:rPr>
        <w:t>3</w:t>
      </w:r>
      <w:r w:rsidRPr="00B96B9F">
        <w:t xml:space="preserve"> / prostor pro zvíře / rok),</w:t>
      </w:r>
    </w:p>
    <w:p w14:paraId="4EEDF734" w14:textId="77777777" w:rsidR="001F7140" w:rsidRPr="00B96B9F" w:rsidRDefault="001F7140" w:rsidP="001F7140">
      <w:pPr>
        <w:pStyle w:val="UZEIOdrky"/>
        <w:numPr>
          <w:ilvl w:val="2"/>
          <w:numId w:val="2"/>
        </w:numPr>
      </w:pPr>
      <w:r w:rsidRPr="00B96B9F">
        <w:t>Brojleři do 2,5 kg: 0,01 – 0,08 (kg NH</w:t>
      </w:r>
      <w:r w:rsidRPr="00B96B9F">
        <w:rPr>
          <w:vertAlign w:val="subscript"/>
        </w:rPr>
        <w:t>3</w:t>
      </w:r>
      <w:r w:rsidRPr="00B96B9F">
        <w:t xml:space="preserve"> / prostor pro zvíře / rok).</w:t>
      </w:r>
    </w:p>
    <w:p w14:paraId="1A316A99" w14:textId="77777777" w:rsidR="001F7140" w:rsidRPr="00B96B9F" w:rsidRDefault="001F7140" w:rsidP="001F7140">
      <w:pPr>
        <w:pStyle w:val="UZEINormaln"/>
        <w:rPr>
          <w:i/>
        </w:rPr>
      </w:pPr>
      <w:r w:rsidRPr="00D141EB">
        <w:rPr>
          <w:i/>
        </w:rPr>
        <w:t>Úrovně emisí amoniaku (vyjádřený jako NH</w:t>
      </w:r>
      <w:r w:rsidRPr="00B96B9F">
        <w:rPr>
          <w:i/>
          <w:vertAlign w:val="subscript"/>
        </w:rPr>
        <w:t>3</w:t>
      </w:r>
      <w:r w:rsidRPr="00B96B9F">
        <w:rPr>
          <w:i/>
        </w:rPr>
        <w:t>) do ovzduší z chovu prasat podle kategorií.</w:t>
      </w:r>
    </w:p>
    <w:p w14:paraId="74D327DA" w14:textId="77777777" w:rsidR="001F7140" w:rsidRPr="003F656E" w:rsidRDefault="001F7140" w:rsidP="001F7140">
      <w:pPr>
        <w:pStyle w:val="UZEITaB"/>
      </w:pPr>
      <w:bookmarkStart w:id="293" w:name="_Toc81088060"/>
      <w:bookmarkStart w:id="294" w:name="_Toc81749902"/>
      <w:bookmarkStart w:id="295" w:name="_Toc94181594"/>
      <w:r w:rsidRPr="00B96B9F">
        <w:t>Nahlášené emise amoniaku, oxidů dusíku a oxidu uhelnatého do ovzduší za rok 2017</w:t>
      </w:r>
      <w:r w:rsidRPr="00B96B9F">
        <w:rPr>
          <w:vertAlign w:val="superscript"/>
        </w:rPr>
        <w:t>1)</w:t>
      </w:r>
      <w:bookmarkEnd w:id="293"/>
      <w:bookmarkEnd w:id="294"/>
      <w:bookmarkEnd w:id="295"/>
    </w:p>
    <w:tbl>
      <w:tblPr>
        <w:tblW w:w="8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114"/>
        <w:gridCol w:w="1903"/>
        <w:gridCol w:w="1904"/>
        <w:gridCol w:w="1904"/>
      </w:tblGrid>
      <w:tr w:rsidR="001F7140" w:rsidRPr="00B96B9F" w14:paraId="55F38820" w14:textId="77777777" w:rsidTr="007C4202">
        <w:trPr>
          <w:trHeight w:val="454"/>
        </w:trPr>
        <w:tc>
          <w:tcPr>
            <w:tcW w:w="3114" w:type="dxa"/>
            <w:shd w:val="clear" w:color="auto" w:fill="D9D9D9"/>
            <w:noWrap/>
            <w:vAlign w:val="center"/>
            <w:hideMark/>
          </w:tcPr>
          <w:p w14:paraId="63ACBFD8" w14:textId="77777777" w:rsidR="001F7140" w:rsidRPr="00B96B9F" w:rsidRDefault="001F7140" w:rsidP="007C4202">
            <w:pPr>
              <w:pStyle w:val="UZEINormaln"/>
              <w:spacing w:before="0" w:after="0"/>
              <w:jc w:val="center"/>
              <w:rPr>
                <w:b/>
                <w:color w:val="000000"/>
                <w:sz w:val="22"/>
              </w:rPr>
            </w:pPr>
            <w:r w:rsidRPr="003F656E">
              <w:rPr>
                <w:b/>
                <w:sz w:val="22"/>
                <w:szCs w:val="22"/>
              </w:rPr>
              <w:t>Látka</w:t>
            </w:r>
            <w:r w:rsidRPr="00B96B9F">
              <w:rPr>
                <w:b/>
                <w:color w:val="000000"/>
                <w:sz w:val="22"/>
                <w:vertAlign w:val="superscript"/>
              </w:rPr>
              <w:t>2)</w:t>
            </w:r>
            <w:r w:rsidRPr="00B96B9F">
              <w:rPr>
                <w:b/>
                <w:color w:val="000000"/>
                <w:sz w:val="22"/>
              </w:rPr>
              <w:t xml:space="preserve"> / Počet provozoven</w:t>
            </w:r>
          </w:p>
        </w:tc>
        <w:tc>
          <w:tcPr>
            <w:tcW w:w="1903" w:type="dxa"/>
            <w:shd w:val="clear" w:color="auto" w:fill="D9D9D9"/>
            <w:noWrap/>
            <w:vAlign w:val="center"/>
            <w:hideMark/>
          </w:tcPr>
          <w:p w14:paraId="75489FCD" w14:textId="77777777" w:rsidR="001F7140" w:rsidRPr="00B96B9F" w:rsidRDefault="001F7140" w:rsidP="007C4202">
            <w:pPr>
              <w:pStyle w:val="UZEINormaln"/>
              <w:spacing w:before="0" w:after="0"/>
              <w:jc w:val="center"/>
              <w:rPr>
                <w:b/>
                <w:color w:val="000000"/>
                <w:sz w:val="22"/>
              </w:rPr>
            </w:pPr>
            <w:r w:rsidRPr="003F656E">
              <w:rPr>
                <w:b/>
                <w:sz w:val="22"/>
                <w:szCs w:val="22"/>
              </w:rPr>
              <w:t>Amoniak</w:t>
            </w:r>
          </w:p>
        </w:tc>
        <w:tc>
          <w:tcPr>
            <w:tcW w:w="1904" w:type="dxa"/>
            <w:shd w:val="clear" w:color="auto" w:fill="D9D9D9"/>
            <w:noWrap/>
            <w:vAlign w:val="center"/>
            <w:hideMark/>
          </w:tcPr>
          <w:p w14:paraId="7E276F9C" w14:textId="77777777" w:rsidR="001F7140" w:rsidRPr="00B96B9F" w:rsidRDefault="001F7140" w:rsidP="007C4202">
            <w:pPr>
              <w:pStyle w:val="UZEINormaln"/>
              <w:spacing w:before="0" w:after="0"/>
              <w:jc w:val="center"/>
              <w:rPr>
                <w:b/>
                <w:color w:val="000000"/>
                <w:sz w:val="22"/>
              </w:rPr>
            </w:pPr>
            <w:r w:rsidRPr="003F656E">
              <w:rPr>
                <w:b/>
                <w:sz w:val="22"/>
                <w:szCs w:val="22"/>
              </w:rPr>
              <w:t>Oxidy dusíku</w:t>
            </w:r>
          </w:p>
        </w:tc>
        <w:tc>
          <w:tcPr>
            <w:tcW w:w="1904" w:type="dxa"/>
            <w:shd w:val="clear" w:color="auto" w:fill="D9D9D9"/>
            <w:noWrap/>
            <w:vAlign w:val="center"/>
            <w:hideMark/>
          </w:tcPr>
          <w:p w14:paraId="49F1A27E" w14:textId="77777777" w:rsidR="001F7140" w:rsidRPr="00B96B9F" w:rsidRDefault="001F7140" w:rsidP="007C4202">
            <w:pPr>
              <w:pStyle w:val="UZEINormaln"/>
              <w:spacing w:before="0" w:after="0"/>
              <w:jc w:val="center"/>
              <w:rPr>
                <w:b/>
                <w:color w:val="000000"/>
                <w:sz w:val="22"/>
              </w:rPr>
            </w:pPr>
            <w:r w:rsidRPr="003F656E">
              <w:rPr>
                <w:b/>
                <w:sz w:val="22"/>
                <w:szCs w:val="22"/>
              </w:rPr>
              <w:t>Oxid uhelnatý</w:t>
            </w:r>
          </w:p>
        </w:tc>
      </w:tr>
      <w:tr w:rsidR="001F7140" w:rsidRPr="00B96B9F" w14:paraId="65D22215" w14:textId="77777777" w:rsidTr="007C4202">
        <w:trPr>
          <w:trHeight w:val="315"/>
        </w:trPr>
        <w:tc>
          <w:tcPr>
            <w:tcW w:w="3114" w:type="dxa"/>
            <w:shd w:val="clear" w:color="auto" w:fill="auto"/>
            <w:noWrap/>
            <w:vAlign w:val="bottom"/>
            <w:hideMark/>
          </w:tcPr>
          <w:p w14:paraId="7ABA10FB" w14:textId="77777777" w:rsidR="001F7140" w:rsidRPr="00B96B9F" w:rsidRDefault="001F7140" w:rsidP="007C4202">
            <w:pPr>
              <w:pStyle w:val="UZEINormaln"/>
              <w:spacing w:before="0" w:after="0"/>
              <w:rPr>
                <w:color w:val="000000"/>
                <w:sz w:val="22"/>
              </w:rPr>
            </w:pPr>
            <w:r w:rsidRPr="003F656E">
              <w:rPr>
                <w:sz w:val="22"/>
                <w:szCs w:val="22"/>
              </w:rPr>
              <w:t xml:space="preserve">Celkové </w:t>
            </w:r>
            <w:r w:rsidRPr="00B96B9F">
              <w:rPr>
                <w:color w:val="000000"/>
                <w:sz w:val="22"/>
              </w:rPr>
              <w:t>množství (v kg/rok)</w:t>
            </w:r>
          </w:p>
        </w:tc>
        <w:tc>
          <w:tcPr>
            <w:tcW w:w="1903" w:type="dxa"/>
            <w:shd w:val="clear" w:color="auto" w:fill="auto"/>
            <w:noWrap/>
            <w:vAlign w:val="bottom"/>
            <w:hideMark/>
          </w:tcPr>
          <w:p w14:paraId="4F2A79D3" w14:textId="77777777" w:rsidR="001F7140" w:rsidRPr="00B96B9F" w:rsidRDefault="001F7140" w:rsidP="007C4202">
            <w:pPr>
              <w:pStyle w:val="UZEINormaln"/>
              <w:spacing w:before="0" w:after="0"/>
              <w:rPr>
                <w:color w:val="000000"/>
                <w:sz w:val="22"/>
              </w:rPr>
            </w:pPr>
            <w:r w:rsidRPr="003F656E">
              <w:rPr>
                <w:sz w:val="22"/>
                <w:szCs w:val="22"/>
              </w:rPr>
              <w:t>9 727 610,66</w:t>
            </w:r>
          </w:p>
        </w:tc>
        <w:tc>
          <w:tcPr>
            <w:tcW w:w="1904" w:type="dxa"/>
            <w:shd w:val="clear" w:color="auto" w:fill="auto"/>
            <w:noWrap/>
            <w:vAlign w:val="bottom"/>
            <w:hideMark/>
          </w:tcPr>
          <w:p w14:paraId="2B906B3F" w14:textId="77777777" w:rsidR="001F7140" w:rsidRPr="00B96B9F" w:rsidRDefault="001F7140" w:rsidP="007C4202">
            <w:pPr>
              <w:pStyle w:val="UZEINormaln"/>
              <w:spacing w:before="0" w:after="0"/>
              <w:rPr>
                <w:color w:val="000000"/>
                <w:sz w:val="22"/>
              </w:rPr>
            </w:pPr>
            <w:r w:rsidRPr="003F656E">
              <w:rPr>
                <w:sz w:val="22"/>
                <w:szCs w:val="22"/>
              </w:rPr>
              <w:t>63 052 749,17</w:t>
            </w:r>
          </w:p>
        </w:tc>
        <w:tc>
          <w:tcPr>
            <w:tcW w:w="1904" w:type="dxa"/>
            <w:shd w:val="clear" w:color="auto" w:fill="auto"/>
            <w:noWrap/>
            <w:vAlign w:val="bottom"/>
            <w:hideMark/>
          </w:tcPr>
          <w:p w14:paraId="5E6F1053" w14:textId="77777777" w:rsidR="001F7140" w:rsidRPr="00B96B9F" w:rsidRDefault="001F7140" w:rsidP="007C4202">
            <w:pPr>
              <w:pStyle w:val="UZEINormaln"/>
              <w:spacing w:before="0" w:after="0"/>
              <w:rPr>
                <w:color w:val="000000"/>
                <w:sz w:val="22"/>
              </w:rPr>
            </w:pPr>
            <w:r w:rsidRPr="003F656E">
              <w:rPr>
                <w:sz w:val="22"/>
                <w:szCs w:val="22"/>
              </w:rPr>
              <w:t>136 178 245,00</w:t>
            </w:r>
          </w:p>
        </w:tc>
      </w:tr>
      <w:tr w:rsidR="001F7140" w:rsidRPr="00B96B9F" w14:paraId="1FBCC70D" w14:textId="77777777" w:rsidTr="007C4202">
        <w:trPr>
          <w:trHeight w:val="315"/>
        </w:trPr>
        <w:tc>
          <w:tcPr>
            <w:tcW w:w="3114" w:type="dxa"/>
            <w:tcBorders>
              <w:bottom w:val="single" w:sz="12" w:space="0" w:color="auto"/>
            </w:tcBorders>
            <w:shd w:val="clear" w:color="auto" w:fill="auto"/>
            <w:noWrap/>
            <w:vAlign w:val="bottom"/>
            <w:hideMark/>
          </w:tcPr>
          <w:p w14:paraId="497268FA" w14:textId="77777777" w:rsidR="001F7140" w:rsidRPr="00B96B9F" w:rsidRDefault="001F7140" w:rsidP="007C4202">
            <w:pPr>
              <w:pStyle w:val="UZEINormaln"/>
              <w:spacing w:before="0" w:after="0"/>
              <w:rPr>
                <w:color w:val="000000"/>
                <w:sz w:val="22"/>
              </w:rPr>
            </w:pPr>
            <w:r w:rsidRPr="003F656E">
              <w:rPr>
                <w:sz w:val="22"/>
                <w:szCs w:val="22"/>
              </w:rPr>
              <w:t>Počet provozoven</w:t>
            </w:r>
          </w:p>
        </w:tc>
        <w:tc>
          <w:tcPr>
            <w:tcW w:w="1903" w:type="dxa"/>
            <w:tcBorders>
              <w:bottom w:val="single" w:sz="12" w:space="0" w:color="auto"/>
            </w:tcBorders>
            <w:shd w:val="clear" w:color="auto" w:fill="auto"/>
            <w:noWrap/>
            <w:vAlign w:val="bottom"/>
            <w:hideMark/>
          </w:tcPr>
          <w:p w14:paraId="4532277F" w14:textId="77777777" w:rsidR="001F7140" w:rsidRPr="00B96B9F" w:rsidRDefault="001F7140" w:rsidP="007C4202">
            <w:pPr>
              <w:pStyle w:val="UZEINormaln"/>
              <w:spacing w:before="0" w:after="0"/>
              <w:rPr>
                <w:color w:val="000000"/>
                <w:sz w:val="22"/>
              </w:rPr>
            </w:pPr>
            <w:r w:rsidRPr="003F656E">
              <w:rPr>
                <w:sz w:val="22"/>
                <w:szCs w:val="22"/>
              </w:rPr>
              <w:t>425</w:t>
            </w:r>
          </w:p>
        </w:tc>
        <w:tc>
          <w:tcPr>
            <w:tcW w:w="1904" w:type="dxa"/>
            <w:tcBorders>
              <w:bottom w:val="single" w:sz="12" w:space="0" w:color="auto"/>
            </w:tcBorders>
            <w:shd w:val="clear" w:color="auto" w:fill="auto"/>
            <w:noWrap/>
            <w:vAlign w:val="bottom"/>
            <w:hideMark/>
          </w:tcPr>
          <w:p w14:paraId="30220376" w14:textId="77777777" w:rsidR="001F7140" w:rsidRPr="00B96B9F" w:rsidRDefault="001F7140" w:rsidP="007C4202">
            <w:pPr>
              <w:pStyle w:val="UZEINormaln"/>
              <w:spacing w:before="0" w:after="0"/>
              <w:rPr>
                <w:color w:val="000000"/>
                <w:sz w:val="22"/>
              </w:rPr>
            </w:pPr>
            <w:r w:rsidRPr="003F656E">
              <w:rPr>
                <w:sz w:val="22"/>
                <w:szCs w:val="22"/>
              </w:rPr>
              <w:t>127</w:t>
            </w:r>
          </w:p>
        </w:tc>
        <w:tc>
          <w:tcPr>
            <w:tcW w:w="1904" w:type="dxa"/>
            <w:tcBorders>
              <w:bottom w:val="single" w:sz="12" w:space="0" w:color="auto"/>
            </w:tcBorders>
            <w:shd w:val="clear" w:color="auto" w:fill="auto"/>
            <w:noWrap/>
            <w:vAlign w:val="bottom"/>
            <w:hideMark/>
          </w:tcPr>
          <w:p w14:paraId="23EB94EB" w14:textId="77777777" w:rsidR="001F7140" w:rsidRPr="00B96B9F" w:rsidRDefault="001F7140" w:rsidP="007C4202">
            <w:pPr>
              <w:pStyle w:val="UZEINormaln"/>
              <w:spacing w:before="0" w:after="0"/>
              <w:rPr>
                <w:color w:val="000000"/>
                <w:sz w:val="22"/>
              </w:rPr>
            </w:pPr>
            <w:r w:rsidRPr="003F656E">
              <w:rPr>
                <w:sz w:val="22"/>
                <w:szCs w:val="22"/>
              </w:rPr>
              <w:t>56</w:t>
            </w:r>
          </w:p>
        </w:tc>
      </w:tr>
      <w:tr w:rsidR="001F7140" w:rsidRPr="00B96B9F" w14:paraId="18F59AAF" w14:textId="77777777" w:rsidTr="007C4202">
        <w:trPr>
          <w:trHeight w:val="315"/>
        </w:trPr>
        <w:tc>
          <w:tcPr>
            <w:tcW w:w="3114" w:type="dxa"/>
            <w:tcBorders>
              <w:top w:val="single" w:sz="12" w:space="0" w:color="auto"/>
            </w:tcBorders>
            <w:shd w:val="clear" w:color="auto" w:fill="auto"/>
            <w:noWrap/>
            <w:vAlign w:val="bottom"/>
            <w:hideMark/>
          </w:tcPr>
          <w:p w14:paraId="282D02BC" w14:textId="77777777" w:rsidR="001F7140" w:rsidRPr="00B96B9F" w:rsidRDefault="001F7140" w:rsidP="007C4202">
            <w:pPr>
              <w:pStyle w:val="UZEINormaln"/>
              <w:spacing w:before="0" w:after="0"/>
              <w:rPr>
                <w:color w:val="000000"/>
                <w:sz w:val="22"/>
              </w:rPr>
            </w:pPr>
            <w:r w:rsidRPr="003F656E">
              <w:rPr>
                <w:sz w:val="22"/>
                <w:szCs w:val="22"/>
              </w:rPr>
              <w:t xml:space="preserve">Nadlimitní množství (v </w:t>
            </w:r>
            <w:r w:rsidRPr="00B96B9F">
              <w:rPr>
                <w:color w:val="000000"/>
                <w:sz w:val="22"/>
              </w:rPr>
              <w:t>kg/rok)</w:t>
            </w:r>
            <w:r w:rsidRPr="00B96B9F">
              <w:rPr>
                <w:color w:val="000000"/>
                <w:sz w:val="22"/>
                <w:vertAlign w:val="superscript"/>
              </w:rPr>
              <w:t>3)</w:t>
            </w:r>
          </w:p>
        </w:tc>
        <w:tc>
          <w:tcPr>
            <w:tcW w:w="1903" w:type="dxa"/>
            <w:tcBorders>
              <w:top w:val="single" w:sz="12" w:space="0" w:color="auto"/>
            </w:tcBorders>
            <w:shd w:val="clear" w:color="auto" w:fill="auto"/>
            <w:noWrap/>
            <w:vAlign w:val="bottom"/>
            <w:hideMark/>
          </w:tcPr>
          <w:p w14:paraId="61CEA4EF" w14:textId="77777777" w:rsidR="001F7140" w:rsidRPr="00B96B9F" w:rsidRDefault="001F7140" w:rsidP="007C4202">
            <w:pPr>
              <w:pStyle w:val="UZEINormaln"/>
              <w:spacing w:before="0" w:after="0"/>
              <w:rPr>
                <w:color w:val="000000"/>
                <w:sz w:val="22"/>
              </w:rPr>
            </w:pPr>
            <w:r w:rsidRPr="003F656E">
              <w:rPr>
                <w:sz w:val="22"/>
                <w:szCs w:val="22"/>
              </w:rPr>
              <w:t>9 590 471,59</w:t>
            </w:r>
          </w:p>
        </w:tc>
        <w:tc>
          <w:tcPr>
            <w:tcW w:w="1904" w:type="dxa"/>
            <w:tcBorders>
              <w:top w:val="single" w:sz="12" w:space="0" w:color="auto"/>
            </w:tcBorders>
            <w:shd w:val="clear" w:color="auto" w:fill="auto"/>
            <w:noWrap/>
            <w:vAlign w:val="bottom"/>
            <w:hideMark/>
          </w:tcPr>
          <w:p w14:paraId="4F9A5F55" w14:textId="77777777" w:rsidR="001F7140" w:rsidRPr="00B96B9F" w:rsidRDefault="001F7140" w:rsidP="007C4202">
            <w:pPr>
              <w:pStyle w:val="UZEINormaln"/>
              <w:spacing w:before="0" w:after="0"/>
              <w:rPr>
                <w:color w:val="000000"/>
                <w:sz w:val="22"/>
              </w:rPr>
            </w:pPr>
            <w:r w:rsidRPr="003F656E">
              <w:rPr>
                <w:sz w:val="22"/>
                <w:szCs w:val="22"/>
              </w:rPr>
              <w:t>62 654 988,16</w:t>
            </w:r>
          </w:p>
        </w:tc>
        <w:tc>
          <w:tcPr>
            <w:tcW w:w="1904" w:type="dxa"/>
            <w:tcBorders>
              <w:top w:val="single" w:sz="12" w:space="0" w:color="auto"/>
            </w:tcBorders>
            <w:shd w:val="clear" w:color="auto" w:fill="auto"/>
            <w:noWrap/>
            <w:vAlign w:val="bottom"/>
            <w:hideMark/>
          </w:tcPr>
          <w:p w14:paraId="7048190A" w14:textId="77777777" w:rsidR="001F7140" w:rsidRPr="00B96B9F" w:rsidRDefault="001F7140" w:rsidP="007C4202">
            <w:pPr>
              <w:pStyle w:val="UZEINormaln"/>
              <w:spacing w:before="0" w:after="0"/>
              <w:rPr>
                <w:color w:val="000000"/>
                <w:sz w:val="22"/>
              </w:rPr>
            </w:pPr>
            <w:r w:rsidRPr="003F656E">
              <w:rPr>
                <w:sz w:val="22"/>
                <w:szCs w:val="22"/>
              </w:rPr>
              <w:t>135 599 808,63</w:t>
            </w:r>
          </w:p>
        </w:tc>
      </w:tr>
      <w:tr w:rsidR="001F7140" w:rsidRPr="00B96B9F" w14:paraId="67412131" w14:textId="77777777" w:rsidTr="007C4202">
        <w:trPr>
          <w:trHeight w:val="315"/>
        </w:trPr>
        <w:tc>
          <w:tcPr>
            <w:tcW w:w="3114" w:type="dxa"/>
            <w:shd w:val="clear" w:color="auto" w:fill="auto"/>
            <w:noWrap/>
            <w:vAlign w:val="bottom"/>
            <w:hideMark/>
          </w:tcPr>
          <w:p w14:paraId="213BDD67" w14:textId="77777777" w:rsidR="001F7140" w:rsidRPr="00B96B9F" w:rsidRDefault="001F7140" w:rsidP="007C4202">
            <w:pPr>
              <w:pStyle w:val="UZEINormaln"/>
              <w:spacing w:before="0" w:after="0"/>
              <w:rPr>
                <w:color w:val="000000"/>
                <w:sz w:val="22"/>
              </w:rPr>
            </w:pPr>
            <w:r w:rsidRPr="003F656E">
              <w:rPr>
                <w:sz w:val="22"/>
                <w:szCs w:val="22"/>
              </w:rPr>
              <w:t>Počet provozoven</w:t>
            </w:r>
          </w:p>
        </w:tc>
        <w:tc>
          <w:tcPr>
            <w:tcW w:w="1903" w:type="dxa"/>
            <w:shd w:val="clear" w:color="auto" w:fill="auto"/>
            <w:noWrap/>
            <w:vAlign w:val="bottom"/>
            <w:hideMark/>
          </w:tcPr>
          <w:p w14:paraId="10A98A3E" w14:textId="77777777" w:rsidR="001F7140" w:rsidRPr="00B96B9F" w:rsidRDefault="001F7140" w:rsidP="007C4202">
            <w:pPr>
              <w:pStyle w:val="UZEINormaln"/>
              <w:spacing w:before="0" w:after="0"/>
              <w:rPr>
                <w:color w:val="000000"/>
                <w:sz w:val="22"/>
              </w:rPr>
            </w:pPr>
            <w:r w:rsidRPr="003F656E">
              <w:rPr>
                <w:sz w:val="22"/>
                <w:szCs w:val="22"/>
              </w:rPr>
              <w:t>401</w:t>
            </w:r>
          </w:p>
        </w:tc>
        <w:tc>
          <w:tcPr>
            <w:tcW w:w="1904" w:type="dxa"/>
            <w:shd w:val="clear" w:color="auto" w:fill="auto"/>
            <w:noWrap/>
            <w:vAlign w:val="bottom"/>
            <w:hideMark/>
          </w:tcPr>
          <w:p w14:paraId="53292D7C" w14:textId="77777777" w:rsidR="001F7140" w:rsidRPr="00B96B9F" w:rsidRDefault="001F7140" w:rsidP="007C4202">
            <w:pPr>
              <w:pStyle w:val="UZEINormaln"/>
              <w:spacing w:before="0" w:after="0"/>
              <w:rPr>
                <w:color w:val="000000"/>
                <w:sz w:val="22"/>
              </w:rPr>
            </w:pPr>
            <w:r w:rsidRPr="003F656E">
              <w:rPr>
                <w:sz w:val="22"/>
                <w:szCs w:val="22"/>
              </w:rPr>
              <w:t>79</w:t>
            </w:r>
          </w:p>
        </w:tc>
        <w:tc>
          <w:tcPr>
            <w:tcW w:w="1904" w:type="dxa"/>
            <w:shd w:val="clear" w:color="auto" w:fill="auto"/>
            <w:noWrap/>
            <w:vAlign w:val="bottom"/>
            <w:hideMark/>
          </w:tcPr>
          <w:p w14:paraId="6DC2DA64" w14:textId="77777777" w:rsidR="001F7140" w:rsidRPr="00B96B9F" w:rsidRDefault="001F7140" w:rsidP="007C4202">
            <w:pPr>
              <w:pStyle w:val="UZEINormaln"/>
              <w:spacing w:before="0" w:after="0"/>
              <w:rPr>
                <w:color w:val="000000"/>
                <w:sz w:val="22"/>
              </w:rPr>
            </w:pPr>
            <w:r w:rsidRPr="003F656E">
              <w:rPr>
                <w:sz w:val="22"/>
                <w:szCs w:val="22"/>
              </w:rPr>
              <w:t>13</w:t>
            </w:r>
          </w:p>
        </w:tc>
      </w:tr>
    </w:tbl>
    <w:p w14:paraId="48A3402C" w14:textId="77777777" w:rsidR="001F7140" w:rsidRPr="00B96B9F" w:rsidRDefault="001F7140" w:rsidP="001F7140">
      <w:pPr>
        <w:pStyle w:val="Odstavecseseznamem"/>
        <w:numPr>
          <w:ilvl w:val="0"/>
          <w:numId w:val="49"/>
        </w:numPr>
        <w:spacing w:before="60" w:line="360" w:lineRule="atLeast"/>
        <w:rPr>
          <w:i/>
          <w:sz w:val="22"/>
          <w:szCs w:val="22"/>
        </w:rPr>
      </w:pPr>
      <w:r w:rsidRPr="00B96B9F">
        <w:rPr>
          <w:i/>
          <w:sz w:val="22"/>
          <w:szCs w:val="22"/>
        </w:rPr>
        <w:t>Údaje za ohlašovací rok 2018 nejsou dosud k dispozici.</w:t>
      </w:r>
    </w:p>
    <w:p w14:paraId="39E1BCFD" w14:textId="77777777" w:rsidR="001F7140" w:rsidRPr="00B96B9F" w:rsidRDefault="001F7140" w:rsidP="001F7140">
      <w:pPr>
        <w:pStyle w:val="Odstavecseseznamem"/>
        <w:numPr>
          <w:ilvl w:val="0"/>
          <w:numId w:val="49"/>
        </w:numPr>
        <w:spacing w:before="60" w:line="360" w:lineRule="atLeast"/>
        <w:rPr>
          <w:i/>
          <w:sz w:val="22"/>
          <w:szCs w:val="22"/>
        </w:rPr>
      </w:pPr>
      <w:r w:rsidRPr="00B96B9F">
        <w:rPr>
          <w:i/>
          <w:sz w:val="22"/>
          <w:szCs w:val="22"/>
        </w:rPr>
        <w:t>Údaje jsou platné k 18. březnu 2019.</w:t>
      </w:r>
    </w:p>
    <w:p w14:paraId="241C0A0F" w14:textId="77777777" w:rsidR="001F7140" w:rsidRPr="00B96B9F" w:rsidRDefault="001F7140" w:rsidP="001F7140">
      <w:pPr>
        <w:pStyle w:val="Odstavecseseznamem"/>
        <w:numPr>
          <w:ilvl w:val="0"/>
          <w:numId w:val="49"/>
        </w:numPr>
        <w:spacing w:before="60" w:line="360" w:lineRule="atLeast"/>
        <w:rPr>
          <w:i/>
          <w:sz w:val="22"/>
          <w:szCs w:val="22"/>
        </w:rPr>
      </w:pPr>
      <w:r w:rsidRPr="00B96B9F">
        <w:rPr>
          <w:i/>
          <w:sz w:val="22"/>
          <w:szCs w:val="22"/>
        </w:rPr>
        <w:t xml:space="preserve">Nadlimitní množství látky je takové množství, které je ohlášeno striktně dle zákona č. 25/2008 Sb., o integrovaném registru znečišťování životního prostředí a integrovaném systému plnění ohlašovacích povinností v oblasti životního prostředí a o změně některých zákonů, ve znění pozdějších předpisů. Ohlašované množství rovné nebo pod výše uvedeným prahem je považováno za dobrovolné. Povinnost ohlásit mají provozovny pouze v případě překročení příslušných ohlašovacích prahů. </w:t>
      </w:r>
    </w:p>
    <w:p w14:paraId="62BA9440" w14:textId="77777777" w:rsidR="001F7140" w:rsidRPr="00B96B9F" w:rsidRDefault="001F7140" w:rsidP="001F7140">
      <w:pPr>
        <w:pStyle w:val="UZEIZdroj"/>
        <w:rPr>
          <w:i w:val="0"/>
          <w:sz w:val="22"/>
        </w:rPr>
      </w:pPr>
      <w:r w:rsidRPr="00B96B9F">
        <w:t>Zdroj: MŽP, Eduard Hlavatý</w:t>
      </w:r>
    </w:p>
    <w:p w14:paraId="5F59A02C" w14:textId="77777777" w:rsidR="001F7140" w:rsidRPr="007C705C" w:rsidRDefault="001F7140" w:rsidP="007F24B2">
      <w:pPr>
        <w:pStyle w:val="UZEINormaln"/>
        <w:rPr>
          <w:rFonts w:eastAsiaTheme="minorEastAsia"/>
        </w:rPr>
      </w:pPr>
    </w:p>
    <w:p w14:paraId="2D25A971" w14:textId="77777777" w:rsidR="003E0F58" w:rsidRPr="007C705C" w:rsidRDefault="003E0F58" w:rsidP="005D1920">
      <w:pPr>
        <w:pStyle w:val="Odstavecseseznamem"/>
        <w:keepNext/>
        <w:numPr>
          <w:ilvl w:val="0"/>
          <w:numId w:val="17"/>
        </w:numPr>
        <w:spacing w:before="60" w:line="360" w:lineRule="atLeast"/>
        <w:ind w:left="714" w:hanging="357"/>
        <w:rPr>
          <w:rFonts w:eastAsiaTheme="minorEastAsia"/>
          <w:b/>
          <w:bCs/>
        </w:rPr>
      </w:pPr>
      <w:r w:rsidRPr="007C705C">
        <w:rPr>
          <w:rFonts w:eastAsiaTheme="minorEastAsia"/>
          <w:b/>
          <w:bCs/>
        </w:rPr>
        <w:t>Nízký obsah organického uhlíku v půdě</w:t>
      </w:r>
    </w:p>
    <w:p w14:paraId="18E22B7F" w14:textId="6A5A0A57" w:rsidR="003E0F58" w:rsidRPr="007C705C" w:rsidRDefault="003E0F58" w:rsidP="007F24B2">
      <w:pPr>
        <w:pStyle w:val="UZEIOdrky"/>
        <w:rPr>
          <w:rFonts w:eastAsiaTheme="minorEastAsia"/>
        </w:rPr>
      </w:pPr>
      <w:bookmarkStart w:id="296" w:name="_Hlk525814893"/>
      <w:r w:rsidRPr="007C705C">
        <w:rPr>
          <w:rFonts w:eastAsiaTheme="minorEastAsia"/>
        </w:rPr>
        <w:t>Úbytek organického uhlíku v orné půdě</w:t>
      </w:r>
      <w:bookmarkEnd w:id="296"/>
    </w:p>
    <w:p w14:paraId="37AB59A4" w14:textId="1D29043F" w:rsidR="003E0F58" w:rsidRPr="007C705C" w:rsidRDefault="003E0F58" w:rsidP="00D75B9C">
      <w:pPr>
        <w:pStyle w:val="UZEIOdrky"/>
        <w:rPr>
          <w:rFonts w:eastAsiaTheme="minorEastAsia"/>
        </w:rPr>
      </w:pPr>
      <w:r w:rsidRPr="007C705C">
        <w:rPr>
          <w:rFonts w:eastAsiaTheme="minorEastAsia"/>
        </w:rPr>
        <w:t xml:space="preserve">Jedná se o problém, který má negativní dopady nejen z pohledu možného zmírnění (mitigace) změny klimatu, ale je velmi důležitý také pro konkurenceschopné a </w:t>
      </w:r>
      <w:r w:rsidRPr="007C705C">
        <w:rPr>
          <w:rFonts w:eastAsiaTheme="minorEastAsia"/>
        </w:rPr>
        <w:lastRenderedPageBreak/>
        <w:t xml:space="preserve">udržitelné zemědělství. Jestliže nízká úroveň ukládání uhlíku do půdy v současném intenzivním zemědělství vede ke snížení retenční schopnosti půd a zvýšené erozi, má to důsledek v poklesu úrodnosti, nižší odolnosti vůči obdobím sucha a také v nižším zachycení vody v krajině s návazným poklesem zásob povrchových a především podzemních vod. Nižší zachycení vody v krajině pak může mít za následek redukci malého vodního cyklu, a tudíž především množství srážek v letním období prostřednictvím bouřek. Důsledkem je pak desertifikace zemědělské krajiny. Více viz </w:t>
      </w:r>
      <w:r w:rsidRPr="007D14F3">
        <w:rPr>
          <w:rFonts w:eastAsiaTheme="minorEastAsia"/>
          <w:color w:val="auto"/>
        </w:rPr>
        <w:t xml:space="preserve">kapitola </w:t>
      </w:r>
      <w:r w:rsidRPr="007D14F3">
        <w:rPr>
          <w:color w:val="auto"/>
        </w:rPr>
        <w:fldChar w:fldCharType="begin"/>
      </w:r>
      <w:r w:rsidRPr="007D14F3">
        <w:rPr>
          <w:rFonts w:eastAsiaTheme="minorEastAsia"/>
          <w:color w:val="auto"/>
        </w:rPr>
        <w:instrText xml:space="preserve"> REF _Ref522802537 \r \h </w:instrText>
      </w:r>
      <w:r w:rsidRPr="007D14F3">
        <w:rPr>
          <w:color w:val="auto"/>
        </w:rPr>
        <w:instrText xml:space="preserve"> \* MERGEFORMAT </w:instrText>
      </w:r>
      <w:r w:rsidRPr="007D14F3">
        <w:rPr>
          <w:color w:val="auto"/>
        </w:rPr>
      </w:r>
      <w:r w:rsidRPr="007D14F3">
        <w:rPr>
          <w:rFonts w:eastAsiaTheme="minorEastAsia"/>
          <w:color w:val="auto"/>
        </w:rPr>
        <w:fldChar w:fldCharType="separate"/>
      </w:r>
      <w:r w:rsidR="00127D64">
        <w:rPr>
          <w:rFonts w:eastAsiaTheme="minorEastAsia"/>
          <w:color w:val="auto"/>
        </w:rPr>
        <w:t>11.4</w:t>
      </w:r>
      <w:r w:rsidRPr="007D14F3">
        <w:rPr>
          <w:color w:val="auto"/>
        </w:rPr>
        <w:fldChar w:fldCharType="end"/>
      </w:r>
      <w:r w:rsidRPr="007D14F3">
        <w:rPr>
          <w:rFonts w:eastAsiaTheme="minorEastAsia"/>
          <w:color w:val="auto"/>
        </w:rPr>
        <w:t>.</w:t>
      </w:r>
    </w:p>
    <w:p w14:paraId="439AAC63" w14:textId="491C5157" w:rsidR="003E0F58" w:rsidRPr="007C705C" w:rsidRDefault="003E0F58" w:rsidP="00D75B9C">
      <w:pPr>
        <w:pStyle w:val="UZEIOdrky"/>
        <w:rPr>
          <w:rFonts w:eastAsiaTheme="minorEastAsia"/>
          <w:u w:val="single"/>
        </w:rPr>
      </w:pPr>
      <w:r w:rsidRPr="007C705C">
        <w:rPr>
          <w:rFonts w:eastAsiaTheme="minorEastAsia"/>
        </w:rPr>
        <w:t>Nedostatečné hospodaření na půdě z hlediska bilancování organické hmoty</w:t>
      </w:r>
    </w:p>
    <w:p w14:paraId="1FD43A91" w14:textId="6896EC10" w:rsidR="003E0F58" w:rsidRPr="007C705C" w:rsidRDefault="003E0F58" w:rsidP="00D75B9C">
      <w:pPr>
        <w:pStyle w:val="UZEINormaln"/>
        <w:rPr>
          <w:rFonts w:eastAsiaTheme="minorEastAsia"/>
        </w:rPr>
      </w:pPr>
      <w:r w:rsidRPr="007C705C">
        <w:rPr>
          <w:rFonts w:eastAsiaTheme="minorEastAsia"/>
        </w:rPr>
        <w:t xml:space="preserve">Expertní hodnocení VÚMOP v.v.i. posuzuje závažnost problému na škále 1–5, přičemž 1 = vysoce závažný, 5 = nízce závažný problém. Stejným způsobem hodnotí míry jednotlivých příčin na vzniku </w:t>
      </w:r>
      <w:r w:rsidRPr="007E6F6D">
        <w:rPr>
          <w:rFonts w:eastAsiaTheme="minorEastAsia"/>
        </w:rPr>
        <w:t xml:space="preserve">problému, viz </w:t>
      </w:r>
      <w:r w:rsidR="007E6F6D" w:rsidRPr="007E6F6D">
        <w:fldChar w:fldCharType="begin"/>
      </w:r>
      <w:r w:rsidR="007E6F6D" w:rsidRPr="007E6F6D">
        <w:rPr>
          <w:rFonts w:eastAsiaTheme="minorEastAsia"/>
        </w:rPr>
        <w:instrText xml:space="preserve"> REF _Ref81423624 \r \h </w:instrText>
      </w:r>
      <w:r w:rsidR="007E6F6D" w:rsidRPr="007E6F6D">
        <w:fldChar w:fldCharType="separate"/>
      </w:r>
      <w:r w:rsidR="00127D64">
        <w:rPr>
          <w:rFonts w:eastAsiaTheme="minorEastAsia"/>
        </w:rPr>
        <w:t>Tabulka 87</w:t>
      </w:r>
      <w:r w:rsidR="007E6F6D" w:rsidRPr="007E6F6D">
        <w:fldChar w:fldCharType="end"/>
      </w:r>
      <w:r w:rsidRPr="007E6F6D">
        <w:t>.</w:t>
      </w:r>
    </w:p>
    <w:p w14:paraId="2BD79608" w14:textId="77777777" w:rsidR="003E0F58" w:rsidRPr="007C705C" w:rsidRDefault="003E0F58" w:rsidP="008A1AE3">
      <w:pPr>
        <w:pStyle w:val="Odstavecseseznamem"/>
        <w:numPr>
          <w:ilvl w:val="0"/>
          <w:numId w:val="17"/>
        </w:numPr>
        <w:spacing w:before="60" w:line="360" w:lineRule="atLeast"/>
        <w:rPr>
          <w:rFonts w:eastAsiaTheme="minorEastAsia"/>
          <w:b/>
          <w:bCs/>
        </w:rPr>
      </w:pPr>
      <w:bookmarkStart w:id="297" w:name="_Hlk525815408"/>
      <w:r w:rsidRPr="007C705C">
        <w:rPr>
          <w:rFonts w:eastAsiaTheme="minorEastAsia"/>
          <w:b/>
          <w:bCs/>
        </w:rPr>
        <w:t>Nevyužitý potenciál a neefektivní výroba energií z OZE v zemědělství a lesnictví</w:t>
      </w:r>
      <w:bookmarkEnd w:id="297"/>
    </w:p>
    <w:p w14:paraId="040EBE93" w14:textId="6FAC57F4" w:rsidR="003E0F58" w:rsidRPr="00561D07" w:rsidRDefault="003E0F58" w:rsidP="00561D07">
      <w:pPr>
        <w:pStyle w:val="UZEINormaln"/>
        <w:rPr>
          <w:rFonts w:eastAsiaTheme="minorEastAsia"/>
          <w:color w:val="FF0000"/>
        </w:rPr>
      </w:pPr>
      <w:r w:rsidRPr="007C705C">
        <w:tab/>
      </w:r>
      <w:r w:rsidRPr="007C705C">
        <w:rPr>
          <w:rFonts w:eastAsiaTheme="minorEastAsia"/>
        </w:rPr>
        <w:t>Venkov zaujímá 73 % plochy ČR, více než 95 % z tohoto území činí zemědělská půda a lesní pozemky.  Zemědělská půda produkuje ročně fytomasu na ploše 3,54 mil. ha, lesní půda poskytuje dendromasu na rozloze 2,66 mil. ha. Potenciál biomasy, především cíleně pěstované fytomasy pro energetické účely není stále využitý</w:t>
      </w:r>
      <w:r w:rsidRPr="00D75B9C">
        <w:rPr>
          <w:rFonts w:eastAsiaTheme="minorEastAsia"/>
          <w:color w:val="FF0000"/>
        </w:rPr>
        <w:t xml:space="preserve">. </w:t>
      </w:r>
      <w:r w:rsidR="00AA6FEF" w:rsidRPr="00AA6FEF">
        <w:fldChar w:fldCharType="begin"/>
      </w:r>
      <w:r w:rsidR="00AA6FEF" w:rsidRPr="00AA6FEF">
        <w:rPr>
          <w:rFonts w:eastAsiaTheme="minorEastAsia"/>
        </w:rPr>
        <w:instrText xml:space="preserve"> REF _Ref81423831 \r \h </w:instrText>
      </w:r>
      <w:r w:rsidR="00AA6FEF" w:rsidRPr="00AA6FEF">
        <w:fldChar w:fldCharType="separate"/>
      </w:r>
      <w:r w:rsidR="00127D64">
        <w:rPr>
          <w:rFonts w:eastAsiaTheme="minorEastAsia"/>
        </w:rPr>
        <w:t>Tabulka 88</w:t>
      </w:r>
      <w:r w:rsidR="00AA6FEF" w:rsidRPr="00AA6FEF">
        <w:fldChar w:fldCharType="end"/>
      </w:r>
      <w:r w:rsidRPr="00AA6FEF">
        <w:rPr>
          <w:rFonts w:eastAsiaTheme="minorEastAsia"/>
        </w:rPr>
        <w:t xml:space="preserve"> </w:t>
      </w:r>
      <w:r w:rsidRPr="007C705C">
        <w:rPr>
          <w:rFonts w:eastAsiaTheme="minorEastAsia"/>
        </w:rPr>
        <w:t xml:space="preserve">ukazuje disponibilní plochu v závislosti na předpokládané </w:t>
      </w:r>
      <w:r w:rsidRPr="00BE5139">
        <w:rPr>
          <w:rFonts w:eastAsiaTheme="minorEastAsia"/>
        </w:rPr>
        <w:t xml:space="preserve">míře soběstačnosti v produkci potravin a krmiv a </w:t>
      </w:r>
      <w:r w:rsidRPr="00BE5139">
        <w:fldChar w:fldCharType="begin"/>
      </w:r>
      <w:r w:rsidRPr="00BE5139">
        <w:rPr>
          <w:rFonts w:eastAsiaTheme="minorEastAsia"/>
        </w:rPr>
        <w:instrText xml:space="preserve"> REF _Ref523146220 \h </w:instrText>
      </w:r>
      <w:r w:rsidRPr="00BE5139">
        <w:instrText xml:space="preserve"> \* MERGEFORMAT </w:instrText>
      </w:r>
      <w:r w:rsidRPr="00BE5139">
        <w:rPr>
          <w:rFonts w:eastAsiaTheme="minorEastAsia"/>
        </w:rPr>
        <w:fldChar w:fldCharType="separate"/>
      </w:r>
      <w:r w:rsidR="00127D64" w:rsidRPr="007C705C">
        <w:rPr>
          <w:rFonts w:eastAsiaTheme="minorEastAsia"/>
        </w:rPr>
        <w:t xml:space="preserve">Struktura </w:t>
      </w:r>
      <w:r w:rsidR="00127D64" w:rsidRPr="00127D64">
        <w:t>využití</w:t>
      </w:r>
      <w:r w:rsidR="00127D64" w:rsidRPr="007C705C">
        <w:rPr>
          <w:rFonts w:eastAsiaTheme="minorEastAsia"/>
        </w:rPr>
        <w:t xml:space="preserve"> zemědělské půdy v roce 2017</w:t>
      </w:r>
      <w:r w:rsidRPr="00BE5139">
        <w:fldChar w:fldCharType="end"/>
      </w:r>
      <w:r w:rsidRPr="00BE5139">
        <w:rPr>
          <w:rFonts w:eastAsiaTheme="minorEastAsia"/>
        </w:rPr>
        <w:t xml:space="preserve"> </w:t>
      </w:r>
      <w:r w:rsidRPr="007C705C">
        <w:rPr>
          <w:rFonts w:eastAsiaTheme="minorEastAsia"/>
        </w:rPr>
        <w:t xml:space="preserve">strukturu využití zemědělské půdy v roce 2017. </w:t>
      </w:r>
      <w:r w:rsidRPr="00561D07">
        <w:rPr>
          <w:rFonts w:eastAsiaTheme="minorEastAsia"/>
        </w:rPr>
        <w:t xml:space="preserve">Následující </w:t>
      </w:r>
      <w:r w:rsidR="00561D07" w:rsidRPr="00561D07">
        <w:fldChar w:fldCharType="begin"/>
      </w:r>
      <w:r w:rsidR="00561D07" w:rsidRPr="00561D07">
        <w:rPr>
          <w:rFonts w:eastAsiaTheme="minorEastAsia"/>
        </w:rPr>
        <w:instrText xml:space="preserve"> REF _Ref7418457 \r \h </w:instrText>
      </w:r>
      <w:r w:rsidR="00561D07" w:rsidRPr="00561D07">
        <w:fldChar w:fldCharType="separate"/>
      </w:r>
      <w:r w:rsidR="00127D64">
        <w:rPr>
          <w:rFonts w:eastAsiaTheme="minorEastAsia"/>
        </w:rPr>
        <w:t xml:space="preserve">Tabulka </w:t>
      </w:r>
      <w:r w:rsidR="00561D07" w:rsidRPr="00561D07">
        <w:fldChar w:fldCharType="end"/>
      </w:r>
      <w:r w:rsidR="001F7140">
        <w:t>44</w:t>
      </w:r>
      <w:r w:rsidRPr="00561D07">
        <w:rPr>
          <w:rFonts w:eastAsiaTheme="minorEastAsia"/>
        </w:rPr>
        <w:t xml:space="preserve"> </w:t>
      </w:r>
      <w:r w:rsidRPr="007C705C">
        <w:rPr>
          <w:rFonts w:eastAsiaTheme="minorEastAsia"/>
        </w:rPr>
        <w:t xml:space="preserve">znázorňuje výsledný vývoj výroby obnovitelné energie v zemědělství a lesnictví. Zde je vidět strmý nárůst v letech 2006–2013, kdy byly zavedeny výhodné dotační stimuly. S jejich ukončením v roce 2013 následně došlo ke stagnaci oboru. Detailní rozbor </w:t>
      </w:r>
      <w:r w:rsidRPr="00B57720">
        <w:rPr>
          <w:rFonts w:eastAsiaTheme="minorEastAsia"/>
        </w:rPr>
        <w:t xml:space="preserve">situace je uveden v kapitole </w:t>
      </w:r>
      <w:r w:rsidRPr="00B57720">
        <w:fldChar w:fldCharType="begin"/>
      </w:r>
      <w:r w:rsidRPr="00B57720">
        <w:rPr>
          <w:rFonts w:eastAsiaTheme="minorEastAsia"/>
        </w:rPr>
        <w:instrText xml:space="preserve"> REF _Ref523146276 \r \h </w:instrText>
      </w:r>
      <w:r w:rsidRPr="00B57720">
        <w:instrText xml:space="preserve"> \* MERGEFORMAT </w:instrText>
      </w:r>
      <w:r w:rsidRPr="00B57720">
        <w:rPr>
          <w:rFonts w:eastAsiaTheme="minorEastAsia"/>
        </w:rPr>
        <w:fldChar w:fldCharType="separate"/>
      </w:r>
      <w:r w:rsidR="00127D64">
        <w:rPr>
          <w:rFonts w:eastAsiaTheme="minorEastAsia"/>
        </w:rPr>
        <w:t>11.5</w:t>
      </w:r>
      <w:r w:rsidRPr="00B57720">
        <w:fldChar w:fldCharType="end"/>
      </w:r>
      <w:r w:rsidRPr="00B57720">
        <w:rPr>
          <w:rFonts w:eastAsiaTheme="minorEastAsia"/>
        </w:rPr>
        <w:t xml:space="preserve"> přílohy.</w:t>
      </w:r>
    </w:p>
    <w:p w14:paraId="44B1AF92" w14:textId="056F3C07" w:rsidR="003E0F58" w:rsidRPr="007C705C" w:rsidRDefault="003E0F58" w:rsidP="00561D07">
      <w:pPr>
        <w:pStyle w:val="UZEITaB"/>
      </w:pPr>
      <w:bookmarkStart w:id="298" w:name="_Ref7418457"/>
      <w:bookmarkStart w:id="299" w:name="_Toc77245831"/>
      <w:bookmarkStart w:id="300" w:name="_Toc94181595"/>
      <w:r w:rsidRPr="007C705C">
        <w:t>Vývoj výroby obnovitelné energie v zemědělství a lesnictví</w:t>
      </w:r>
      <w:bookmarkEnd w:id="298"/>
      <w:bookmarkEnd w:id="299"/>
      <w:bookmarkEnd w:id="300"/>
    </w:p>
    <w:tbl>
      <w:tblPr>
        <w:tblW w:w="11315" w:type="dxa"/>
        <w:tblInd w:w="-1132" w:type="dxa"/>
        <w:tblCellMar>
          <w:left w:w="70" w:type="dxa"/>
          <w:right w:w="70" w:type="dxa"/>
        </w:tblCellMar>
        <w:tblLook w:val="04A0" w:firstRow="1" w:lastRow="0" w:firstColumn="1" w:lastColumn="0" w:noHBand="0" w:noVBand="1"/>
      </w:tblPr>
      <w:tblGrid>
        <w:gridCol w:w="1353"/>
        <w:gridCol w:w="631"/>
        <w:gridCol w:w="781"/>
        <w:gridCol w:w="855"/>
        <w:gridCol w:w="855"/>
        <w:gridCol w:w="855"/>
        <w:gridCol w:w="855"/>
        <w:gridCol w:w="855"/>
        <w:gridCol w:w="855"/>
        <w:gridCol w:w="855"/>
        <w:gridCol w:w="855"/>
        <w:gridCol w:w="855"/>
        <w:gridCol w:w="855"/>
      </w:tblGrid>
      <w:tr w:rsidR="003E0F58" w:rsidRPr="007C705C" w14:paraId="0344824D" w14:textId="77777777" w:rsidTr="00A36BA9">
        <w:trPr>
          <w:trHeight w:val="429"/>
        </w:trPr>
        <w:tc>
          <w:tcPr>
            <w:tcW w:w="1984" w:type="dxa"/>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14:paraId="6FA94748" w14:textId="77777777" w:rsidR="003E0F58" w:rsidRPr="007C705C" w:rsidRDefault="003E0F58" w:rsidP="004D2249">
            <w:pPr>
              <w:ind w:left="-501"/>
              <w:jc w:val="center"/>
              <w:rPr>
                <w:rFonts w:eastAsiaTheme="minorEastAsia" w:cs="Times New Roman"/>
                <w:b/>
                <w:bCs/>
                <w:color w:val="000000" w:themeColor="text1"/>
                <w:sz w:val="20"/>
                <w:szCs w:val="20"/>
                <w:lang w:val="cs-CZ"/>
              </w:rPr>
            </w:pPr>
            <w:bookmarkStart w:id="301" w:name="_Hlk7418184"/>
            <w:r w:rsidRPr="007C705C">
              <w:rPr>
                <w:rFonts w:eastAsiaTheme="minorEastAsia" w:cs="Times New Roman"/>
                <w:b/>
                <w:bCs/>
                <w:color w:val="000000" w:themeColor="text1"/>
                <w:sz w:val="20"/>
                <w:szCs w:val="20"/>
                <w:lang w:val="cs-CZ"/>
              </w:rPr>
              <w:t> </w:t>
            </w:r>
          </w:p>
          <w:p w14:paraId="4C208DCA" w14:textId="77777777" w:rsidR="003E0F58" w:rsidRPr="007C705C" w:rsidRDefault="003E0F58" w:rsidP="004D2249">
            <w:pPr>
              <w:jc w:val="left"/>
              <w:rPr>
                <w:rFonts w:eastAsiaTheme="minorEastAsia" w:cs="Times New Roman"/>
                <w:b/>
                <w:bCs/>
                <w:color w:val="000000" w:themeColor="text1"/>
                <w:sz w:val="20"/>
                <w:szCs w:val="20"/>
                <w:lang w:val="cs-CZ"/>
              </w:rPr>
            </w:pPr>
            <w:r w:rsidRPr="007C705C">
              <w:rPr>
                <w:rFonts w:eastAsiaTheme="minorEastAsia" w:cs="Times New Roman"/>
                <w:b/>
                <w:bCs/>
                <w:color w:val="000000" w:themeColor="text1"/>
                <w:sz w:val="20"/>
                <w:szCs w:val="20"/>
                <w:lang w:val="cs-CZ"/>
              </w:rPr>
              <w:t> </w:t>
            </w:r>
          </w:p>
        </w:tc>
        <w:tc>
          <w:tcPr>
            <w:tcW w:w="781"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7EC694F" w14:textId="77777777" w:rsidR="003E0F58" w:rsidRPr="007C705C" w:rsidRDefault="003E0F58" w:rsidP="004D2249">
            <w:pPr>
              <w:jc w:val="center"/>
              <w:rPr>
                <w:rFonts w:eastAsiaTheme="minorEastAsia" w:cs="Times New Roman"/>
                <w:b/>
                <w:bCs/>
                <w:color w:val="000000" w:themeColor="text1"/>
                <w:sz w:val="20"/>
                <w:szCs w:val="20"/>
                <w:lang w:val="cs-CZ"/>
              </w:rPr>
            </w:pPr>
            <w:r w:rsidRPr="007C705C">
              <w:rPr>
                <w:rFonts w:cs="Times New Roman"/>
                <w:b/>
                <w:sz w:val="20"/>
                <w:lang w:val="cs-CZ"/>
              </w:rPr>
              <w:t>2008</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hideMark/>
          </w:tcPr>
          <w:p w14:paraId="6390B6E4" w14:textId="77777777" w:rsidR="003E0F58" w:rsidRPr="007C705C" w:rsidRDefault="003E0F58" w:rsidP="004D2249">
            <w:pPr>
              <w:jc w:val="center"/>
              <w:rPr>
                <w:rFonts w:eastAsiaTheme="minorEastAsia" w:cs="Times New Roman"/>
                <w:b/>
                <w:bCs/>
                <w:color w:val="000000" w:themeColor="text1"/>
                <w:sz w:val="20"/>
                <w:szCs w:val="20"/>
                <w:lang w:val="cs-CZ"/>
              </w:rPr>
            </w:pPr>
            <w:r w:rsidRPr="007C705C">
              <w:rPr>
                <w:rFonts w:cs="Times New Roman"/>
                <w:b/>
                <w:sz w:val="20"/>
                <w:lang w:val="cs-CZ"/>
              </w:rPr>
              <w:t>2009</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hideMark/>
          </w:tcPr>
          <w:p w14:paraId="41C535B3" w14:textId="77777777" w:rsidR="003E0F58" w:rsidRPr="007C705C" w:rsidRDefault="003E0F58" w:rsidP="004D2249">
            <w:pPr>
              <w:jc w:val="center"/>
              <w:rPr>
                <w:rFonts w:eastAsiaTheme="minorEastAsia" w:cs="Times New Roman"/>
                <w:b/>
                <w:bCs/>
                <w:color w:val="000000" w:themeColor="text1"/>
                <w:sz w:val="20"/>
                <w:szCs w:val="20"/>
                <w:lang w:val="cs-CZ"/>
              </w:rPr>
            </w:pPr>
            <w:r w:rsidRPr="007C705C">
              <w:rPr>
                <w:rFonts w:cs="Times New Roman"/>
                <w:b/>
                <w:sz w:val="20"/>
                <w:lang w:val="cs-CZ"/>
              </w:rPr>
              <w:t>2010</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hideMark/>
          </w:tcPr>
          <w:p w14:paraId="45A9EAF2" w14:textId="77777777" w:rsidR="003E0F58" w:rsidRPr="007C705C" w:rsidRDefault="003E0F58" w:rsidP="004D2249">
            <w:pPr>
              <w:jc w:val="center"/>
              <w:rPr>
                <w:rFonts w:eastAsiaTheme="minorEastAsia" w:cs="Times New Roman"/>
                <w:b/>
                <w:bCs/>
                <w:color w:val="000000" w:themeColor="text1"/>
                <w:sz w:val="20"/>
                <w:szCs w:val="20"/>
                <w:lang w:val="cs-CZ"/>
              </w:rPr>
            </w:pPr>
            <w:r w:rsidRPr="007C705C">
              <w:rPr>
                <w:rFonts w:cs="Times New Roman"/>
                <w:b/>
                <w:sz w:val="20"/>
                <w:lang w:val="cs-CZ"/>
              </w:rPr>
              <w:t>2011</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hideMark/>
          </w:tcPr>
          <w:p w14:paraId="22A7145E" w14:textId="77777777" w:rsidR="003E0F58" w:rsidRPr="007C705C" w:rsidRDefault="003E0F58" w:rsidP="004D2249">
            <w:pPr>
              <w:jc w:val="center"/>
              <w:rPr>
                <w:rFonts w:eastAsiaTheme="minorEastAsia" w:cs="Times New Roman"/>
                <w:b/>
                <w:bCs/>
                <w:color w:val="000000" w:themeColor="text1"/>
                <w:sz w:val="20"/>
                <w:szCs w:val="20"/>
                <w:lang w:val="cs-CZ"/>
              </w:rPr>
            </w:pPr>
            <w:r w:rsidRPr="007C705C">
              <w:rPr>
                <w:rFonts w:cs="Times New Roman"/>
                <w:b/>
                <w:sz w:val="20"/>
                <w:lang w:val="cs-CZ"/>
              </w:rPr>
              <w:t>2012</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hideMark/>
          </w:tcPr>
          <w:p w14:paraId="7EC51470" w14:textId="77777777" w:rsidR="003E0F58" w:rsidRPr="007C705C" w:rsidRDefault="003E0F58" w:rsidP="004D2249">
            <w:pPr>
              <w:jc w:val="center"/>
              <w:rPr>
                <w:rFonts w:eastAsiaTheme="minorEastAsia" w:cs="Times New Roman"/>
                <w:b/>
                <w:bCs/>
                <w:color w:val="000000" w:themeColor="text1"/>
                <w:sz w:val="20"/>
                <w:szCs w:val="20"/>
                <w:lang w:val="cs-CZ"/>
              </w:rPr>
            </w:pPr>
            <w:r w:rsidRPr="007C705C">
              <w:rPr>
                <w:rFonts w:cs="Times New Roman"/>
                <w:b/>
                <w:sz w:val="20"/>
                <w:lang w:val="cs-CZ"/>
              </w:rPr>
              <w:t>2013</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hideMark/>
          </w:tcPr>
          <w:p w14:paraId="69AE1907" w14:textId="77777777" w:rsidR="003E0F58" w:rsidRPr="007C705C" w:rsidRDefault="003E0F58" w:rsidP="004D2249">
            <w:pPr>
              <w:jc w:val="center"/>
              <w:rPr>
                <w:rFonts w:eastAsiaTheme="minorEastAsia" w:cs="Times New Roman"/>
                <w:b/>
                <w:bCs/>
                <w:color w:val="000000" w:themeColor="text1"/>
                <w:sz w:val="20"/>
                <w:szCs w:val="20"/>
                <w:lang w:val="cs-CZ"/>
              </w:rPr>
            </w:pPr>
            <w:r w:rsidRPr="007C705C">
              <w:rPr>
                <w:rFonts w:cs="Times New Roman"/>
                <w:b/>
                <w:sz w:val="20"/>
                <w:lang w:val="cs-CZ"/>
              </w:rPr>
              <w:t>2014</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hideMark/>
          </w:tcPr>
          <w:p w14:paraId="5703039F" w14:textId="77777777" w:rsidR="003E0F58" w:rsidRPr="007C705C" w:rsidRDefault="003E0F58" w:rsidP="004D2249">
            <w:pPr>
              <w:jc w:val="center"/>
              <w:rPr>
                <w:rFonts w:eastAsiaTheme="minorEastAsia" w:cs="Times New Roman"/>
                <w:b/>
                <w:bCs/>
                <w:color w:val="000000" w:themeColor="text1"/>
                <w:sz w:val="20"/>
                <w:szCs w:val="20"/>
                <w:lang w:val="cs-CZ"/>
              </w:rPr>
            </w:pPr>
            <w:r w:rsidRPr="007C705C">
              <w:rPr>
                <w:rFonts w:cs="Times New Roman"/>
                <w:b/>
                <w:sz w:val="20"/>
                <w:lang w:val="cs-CZ"/>
              </w:rPr>
              <w:t>2015</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hideMark/>
          </w:tcPr>
          <w:p w14:paraId="29AEE20D" w14:textId="77777777" w:rsidR="003E0F58" w:rsidRPr="007C705C" w:rsidRDefault="003E0F58" w:rsidP="004D2249">
            <w:pPr>
              <w:jc w:val="center"/>
              <w:rPr>
                <w:rFonts w:eastAsiaTheme="minorEastAsia" w:cs="Times New Roman"/>
                <w:b/>
                <w:bCs/>
                <w:color w:val="000000" w:themeColor="text1"/>
                <w:sz w:val="20"/>
                <w:szCs w:val="20"/>
                <w:lang w:val="cs-CZ"/>
              </w:rPr>
            </w:pPr>
            <w:r w:rsidRPr="007C705C">
              <w:rPr>
                <w:rFonts w:cs="Times New Roman"/>
                <w:b/>
                <w:sz w:val="20"/>
                <w:lang w:val="cs-CZ"/>
              </w:rPr>
              <w:t>2016</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hideMark/>
          </w:tcPr>
          <w:p w14:paraId="3522C6CB" w14:textId="77777777" w:rsidR="003E0F58" w:rsidRPr="007C705C" w:rsidRDefault="003E0F58" w:rsidP="004D2249">
            <w:pPr>
              <w:jc w:val="center"/>
              <w:rPr>
                <w:rFonts w:eastAsiaTheme="minorEastAsia" w:cs="Times New Roman"/>
                <w:b/>
                <w:bCs/>
                <w:color w:val="000000" w:themeColor="text1"/>
                <w:sz w:val="20"/>
                <w:szCs w:val="20"/>
                <w:lang w:val="cs-CZ"/>
              </w:rPr>
            </w:pPr>
            <w:r w:rsidRPr="007C705C">
              <w:rPr>
                <w:rFonts w:cs="Times New Roman"/>
                <w:b/>
                <w:sz w:val="20"/>
                <w:lang w:val="cs-CZ"/>
              </w:rPr>
              <w:t>2017</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hideMark/>
          </w:tcPr>
          <w:p w14:paraId="12312AD2" w14:textId="77777777" w:rsidR="003E0F58" w:rsidRPr="007C705C" w:rsidRDefault="003E0F58" w:rsidP="004D2249">
            <w:pPr>
              <w:jc w:val="center"/>
              <w:rPr>
                <w:rFonts w:eastAsiaTheme="minorEastAsia" w:cs="Times New Roman"/>
                <w:b/>
                <w:bCs/>
                <w:color w:val="000000" w:themeColor="text1"/>
                <w:sz w:val="20"/>
                <w:szCs w:val="20"/>
                <w:lang w:val="cs-CZ"/>
              </w:rPr>
            </w:pPr>
            <w:r w:rsidRPr="007C705C">
              <w:rPr>
                <w:rFonts w:cs="Times New Roman"/>
                <w:b/>
                <w:sz w:val="20"/>
                <w:lang w:val="cs-CZ"/>
              </w:rPr>
              <w:t>2018</w:t>
            </w:r>
          </w:p>
        </w:tc>
      </w:tr>
      <w:tr w:rsidR="003E0F58" w:rsidRPr="007C705C" w14:paraId="12FBF083" w14:textId="77777777" w:rsidTr="00A36BA9">
        <w:trPr>
          <w:trHeight w:val="429"/>
        </w:trPr>
        <w:tc>
          <w:tcPr>
            <w:tcW w:w="1353"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76476670" w14:textId="77777777" w:rsidR="003E0F58" w:rsidRPr="007C705C" w:rsidRDefault="003E0F58" w:rsidP="004D2249">
            <w:pPr>
              <w:jc w:val="left"/>
              <w:rPr>
                <w:rFonts w:eastAsiaTheme="minorEastAsia" w:cs="Times New Roman"/>
                <w:color w:val="000000" w:themeColor="text1"/>
                <w:sz w:val="20"/>
                <w:szCs w:val="20"/>
                <w:lang w:val="cs-CZ"/>
              </w:rPr>
            </w:pPr>
            <w:r w:rsidRPr="007C705C">
              <w:rPr>
                <w:rFonts w:eastAsiaTheme="minorEastAsia" w:cs="Times New Roman"/>
                <w:color w:val="000000" w:themeColor="text1"/>
                <w:sz w:val="20"/>
                <w:szCs w:val="20"/>
                <w:lang w:val="cs-CZ"/>
              </w:rPr>
              <w:t>Výroba obnovitelné energie v zemědělství</w:t>
            </w:r>
          </w:p>
        </w:tc>
        <w:tc>
          <w:tcPr>
            <w:tcW w:w="631" w:type="dxa"/>
            <w:tcBorders>
              <w:top w:val="single" w:sz="8" w:space="0" w:color="auto"/>
              <w:left w:val="nil"/>
              <w:bottom w:val="single" w:sz="4" w:space="0" w:color="auto"/>
              <w:right w:val="single" w:sz="4" w:space="0" w:color="auto"/>
            </w:tcBorders>
            <w:shd w:val="clear" w:color="auto" w:fill="auto"/>
            <w:noWrap/>
            <w:vAlign w:val="bottom"/>
            <w:hideMark/>
          </w:tcPr>
          <w:p w14:paraId="2C31C5CF" w14:textId="77777777" w:rsidR="003E0F58" w:rsidRPr="007C705C" w:rsidRDefault="003E0F58" w:rsidP="004D2249">
            <w:pPr>
              <w:jc w:val="center"/>
              <w:rPr>
                <w:rFonts w:eastAsiaTheme="minorEastAsia" w:cs="Times New Roman"/>
                <w:color w:val="000000" w:themeColor="text1"/>
                <w:sz w:val="20"/>
                <w:szCs w:val="20"/>
                <w:lang w:val="cs-CZ"/>
              </w:rPr>
            </w:pPr>
            <w:r w:rsidRPr="007C705C">
              <w:rPr>
                <w:rFonts w:eastAsiaTheme="minorEastAsia" w:cs="Times New Roman"/>
                <w:color w:val="000000" w:themeColor="text1"/>
                <w:sz w:val="20"/>
                <w:szCs w:val="20"/>
                <w:lang w:val="cs-CZ"/>
              </w:rPr>
              <w:t>ktoe</w:t>
            </w:r>
          </w:p>
        </w:tc>
        <w:tc>
          <w:tcPr>
            <w:tcW w:w="781" w:type="dxa"/>
            <w:tcBorders>
              <w:top w:val="single" w:sz="8" w:space="0" w:color="auto"/>
              <w:left w:val="nil"/>
              <w:bottom w:val="single" w:sz="4" w:space="0" w:color="auto"/>
              <w:right w:val="single" w:sz="4" w:space="0" w:color="auto"/>
            </w:tcBorders>
            <w:shd w:val="clear" w:color="auto" w:fill="auto"/>
            <w:noWrap/>
            <w:vAlign w:val="bottom"/>
            <w:hideMark/>
          </w:tcPr>
          <w:p w14:paraId="0C7E6EFE" w14:textId="77777777" w:rsidR="003E0F58" w:rsidRPr="007C705C" w:rsidRDefault="003E0F58" w:rsidP="004D2249">
            <w:pPr>
              <w:jc w:val="right"/>
              <w:rPr>
                <w:rFonts w:eastAsiaTheme="minorEastAsia" w:cs="Times New Roman"/>
                <w:color w:val="000000" w:themeColor="text1"/>
                <w:sz w:val="20"/>
                <w:szCs w:val="20"/>
                <w:lang w:val="cs-CZ"/>
              </w:rPr>
            </w:pPr>
            <w:r w:rsidRPr="007C705C">
              <w:rPr>
                <w:rFonts w:cs="Times New Roman"/>
                <w:sz w:val="20"/>
                <w:lang w:val="cs-CZ"/>
              </w:rPr>
              <w:t>173,4</w:t>
            </w:r>
          </w:p>
        </w:tc>
        <w:tc>
          <w:tcPr>
            <w:tcW w:w="0" w:type="auto"/>
            <w:tcBorders>
              <w:top w:val="single" w:sz="8" w:space="0" w:color="auto"/>
              <w:left w:val="nil"/>
              <w:bottom w:val="single" w:sz="4" w:space="0" w:color="auto"/>
              <w:right w:val="single" w:sz="4" w:space="0" w:color="auto"/>
            </w:tcBorders>
            <w:shd w:val="clear" w:color="auto" w:fill="auto"/>
            <w:noWrap/>
            <w:vAlign w:val="bottom"/>
            <w:hideMark/>
          </w:tcPr>
          <w:p w14:paraId="6974C31D" w14:textId="77777777" w:rsidR="003E0F58" w:rsidRPr="007C705C" w:rsidRDefault="003E0F58" w:rsidP="004D2249">
            <w:pPr>
              <w:jc w:val="right"/>
              <w:rPr>
                <w:rFonts w:eastAsiaTheme="minorEastAsia" w:cs="Times New Roman"/>
                <w:color w:val="000000" w:themeColor="text1"/>
                <w:sz w:val="20"/>
                <w:szCs w:val="20"/>
                <w:lang w:val="cs-CZ"/>
              </w:rPr>
            </w:pPr>
            <w:r w:rsidRPr="007C705C">
              <w:rPr>
                <w:rFonts w:cs="Times New Roman"/>
                <w:sz w:val="20"/>
                <w:lang w:val="cs-CZ"/>
              </w:rPr>
              <w:t>347,6</w:t>
            </w:r>
          </w:p>
        </w:tc>
        <w:tc>
          <w:tcPr>
            <w:tcW w:w="0" w:type="auto"/>
            <w:tcBorders>
              <w:top w:val="single" w:sz="8" w:space="0" w:color="auto"/>
              <w:left w:val="nil"/>
              <w:bottom w:val="single" w:sz="4" w:space="0" w:color="auto"/>
              <w:right w:val="single" w:sz="4" w:space="0" w:color="auto"/>
            </w:tcBorders>
            <w:shd w:val="clear" w:color="auto" w:fill="auto"/>
            <w:noWrap/>
            <w:vAlign w:val="bottom"/>
            <w:hideMark/>
          </w:tcPr>
          <w:p w14:paraId="3F6E1C42" w14:textId="77777777" w:rsidR="003E0F58" w:rsidRPr="007C705C" w:rsidRDefault="003E0F58" w:rsidP="004D2249">
            <w:pPr>
              <w:jc w:val="right"/>
              <w:rPr>
                <w:rFonts w:eastAsiaTheme="minorEastAsia" w:cs="Times New Roman"/>
                <w:color w:val="000000" w:themeColor="text1"/>
                <w:sz w:val="20"/>
                <w:szCs w:val="20"/>
                <w:lang w:val="cs-CZ"/>
              </w:rPr>
            </w:pPr>
            <w:r w:rsidRPr="007C705C">
              <w:rPr>
                <w:rFonts w:cs="Times New Roman"/>
                <w:sz w:val="20"/>
                <w:lang w:val="cs-CZ"/>
              </w:rPr>
              <w:t>459,3</w:t>
            </w:r>
          </w:p>
        </w:tc>
        <w:tc>
          <w:tcPr>
            <w:tcW w:w="0" w:type="auto"/>
            <w:tcBorders>
              <w:top w:val="single" w:sz="8" w:space="0" w:color="auto"/>
              <w:left w:val="nil"/>
              <w:bottom w:val="single" w:sz="4" w:space="0" w:color="auto"/>
              <w:right w:val="single" w:sz="4" w:space="0" w:color="auto"/>
            </w:tcBorders>
            <w:shd w:val="clear" w:color="auto" w:fill="auto"/>
            <w:noWrap/>
            <w:vAlign w:val="bottom"/>
            <w:hideMark/>
          </w:tcPr>
          <w:p w14:paraId="7E3ED8F4" w14:textId="77777777" w:rsidR="003E0F58" w:rsidRPr="007C705C" w:rsidRDefault="003E0F58" w:rsidP="004D2249">
            <w:pPr>
              <w:jc w:val="right"/>
              <w:rPr>
                <w:rFonts w:eastAsiaTheme="minorEastAsia" w:cs="Times New Roman"/>
                <w:color w:val="000000" w:themeColor="text1"/>
                <w:sz w:val="20"/>
                <w:szCs w:val="20"/>
                <w:lang w:val="cs-CZ"/>
              </w:rPr>
            </w:pPr>
            <w:r w:rsidRPr="007C705C">
              <w:rPr>
                <w:rFonts w:cs="Times New Roman"/>
                <w:sz w:val="20"/>
                <w:lang w:val="cs-CZ"/>
              </w:rPr>
              <w:t>522,1</w:t>
            </w:r>
          </w:p>
        </w:tc>
        <w:tc>
          <w:tcPr>
            <w:tcW w:w="0" w:type="auto"/>
            <w:tcBorders>
              <w:top w:val="single" w:sz="8" w:space="0" w:color="auto"/>
              <w:left w:val="nil"/>
              <w:bottom w:val="single" w:sz="4" w:space="0" w:color="auto"/>
              <w:right w:val="single" w:sz="4" w:space="0" w:color="auto"/>
            </w:tcBorders>
            <w:shd w:val="clear" w:color="auto" w:fill="auto"/>
            <w:noWrap/>
            <w:vAlign w:val="bottom"/>
            <w:hideMark/>
          </w:tcPr>
          <w:p w14:paraId="4C1605B2" w14:textId="77777777" w:rsidR="003E0F58" w:rsidRPr="007C705C" w:rsidRDefault="003E0F58" w:rsidP="004D2249">
            <w:pPr>
              <w:jc w:val="right"/>
              <w:rPr>
                <w:rFonts w:eastAsiaTheme="minorEastAsia" w:cs="Times New Roman"/>
                <w:color w:val="000000" w:themeColor="text1"/>
                <w:sz w:val="20"/>
                <w:szCs w:val="20"/>
                <w:lang w:val="cs-CZ"/>
              </w:rPr>
            </w:pPr>
            <w:r w:rsidRPr="007C705C">
              <w:rPr>
                <w:rFonts w:cs="Times New Roman"/>
                <w:sz w:val="20"/>
                <w:lang w:val="cs-CZ"/>
              </w:rPr>
              <w:t>646,7</w:t>
            </w:r>
          </w:p>
        </w:tc>
        <w:tc>
          <w:tcPr>
            <w:tcW w:w="0" w:type="auto"/>
            <w:tcBorders>
              <w:top w:val="single" w:sz="8" w:space="0" w:color="auto"/>
              <w:left w:val="nil"/>
              <w:bottom w:val="single" w:sz="4" w:space="0" w:color="auto"/>
              <w:right w:val="single" w:sz="4" w:space="0" w:color="auto"/>
            </w:tcBorders>
            <w:shd w:val="clear" w:color="auto" w:fill="auto"/>
            <w:noWrap/>
            <w:vAlign w:val="bottom"/>
            <w:hideMark/>
          </w:tcPr>
          <w:p w14:paraId="03E55DA7" w14:textId="77777777" w:rsidR="003E0F58" w:rsidRPr="007C705C" w:rsidRDefault="003E0F58" w:rsidP="004D2249">
            <w:pPr>
              <w:jc w:val="right"/>
              <w:rPr>
                <w:rFonts w:eastAsiaTheme="minorEastAsia" w:cs="Times New Roman"/>
                <w:color w:val="000000" w:themeColor="text1"/>
                <w:sz w:val="20"/>
                <w:szCs w:val="20"/>
                <w:lang w:val="cs-CZ"/>
              </w:rPr>
            </w:pPr>
            <w:r w:rsidRPr="007C705C">
              <w:rPr>
                <w:rFonts w:cs="Times New Roman"/>
                <w:sz w:val="20"/>
                <w:lang w:val="cs-CZ"/>
              </w:rPr>
              <w:t>844,0</w:t>
            </w:r>
          </w:p>
        </w:tc>
        <w:tc>
          <w:tcPr>
            <w:tcW w:w="0" w:type="auto"/>
            <w:tcBorders>
              <w:top w:val="single" w:sz="8" w:space="0" w:color="auto"/>
              <w:left w:val="nil"/>
              <w:bottom w:val="single" w:sz="4" w:space="0" w:color="auto"/>
              <w:right w:val="single" w:sz="4" w:space="0" w:color="auto"/>
            </w:tcBorders>
            <w:shd w:val="clear" w:color="auto" w:fill="auto"/>
            <w:noWrap/>
            <w:vAlign w:val="bottom"/>
            <w:hideMark/>
          </w:tcPr>
          <w:p w14:paraId="114676EF" w14:textId="77777777" w:rsidR="003E0F58" w:rsidRPr="007C705C" w:rsidRDefault="003E0F58" w:rsidP="004D2249">
            <w:pPr>
              <w:jc w:val="right"/>
              <w:rPr>
                <w:rFonts w:eastAsiaTheme="minorEastAsia" w:cs="Times New Roman"/>
                <w:color w:val="000000" w:themeColor="text1"/>
                <w:sz w:val="20"/>
                <w:szCs w:val="20"/>
                <w:lang w:val="cs-CZ"/>
              </w:rPr>
            </w:pPr>
            <w:r w:rsidRPr="007C705C">
              <w:rPr>
                <w:rFonts w:cs="Times New Roman"/>
                <w:sz w:val="20"/>
                <w:lang w:val="cs-CZ"/>
              </w:rPr>
              <w:t>919,2</w:t>
            </w:r>
          </w:p>
        </w:tc>
        <w:tc>
          <w:tcPr>
            <w:tcW w:w="0" w:type="auto"/>
            <w:tcBorders>
              <w:top w:val="single" w:sz="8" w:space="0" w:color="auto"/>
              <w:left w:val="nil"/>
              <w:bottom w:val="single" w:sz="4" w:space="0" w:color="auto"/>
              <w:right w:val="single" w:sz="4" w:space="0" w:color="auto"/>
            </w:tcBorders>
            <w:shd w:val="clear" w:color="auto" w:fill="auto"/>
            <w:noWrap/>
            <w:vAlign w:val="bottom"/>
            <w:hideMark/>
          </w:tcPr>
          <w:p w14:paraId="574D6931" w14:textId="77777777" w:rsidR="003E0F58" w:rsidRPr="007C705C" w:rsidRDefault="003E0F58" w:rsidP="004D2249">
            <w:pPr>
              <w:jc w:val="right"/>
              <w:rPr>
                <w:rFonts w:eastAsiaTheme="minorEastAsia" w:cs="Times New Roman"/>
                <w:color w:val="000000" w:themeColor="text1"/>
                <w:sz w:val="20"/>
                <w:szCs w:val="20"/>
                <w:lang w:val="cs-CZ"/>
              </w:rPr>
            </w:pPr>
            <w:r w:rsidRPr="007C705C">
              <w:rPr>
                <w:rFonts w:cs="Times New Roman"/>
                <w:sz w:val="20"/>
                <w:lang w:val="cs-CZ"/>
              </w:rPr>
              <w:t>895,1</w:t>
            </w:r>
          </w:p>
        </w:tc>
        <w:tc>
          <w:tcPr>
            <w:tcW w:w="0" w:type="auto"/>
            <w:tcBorders>
              <w:top w:val="single" w:sz="8" w:space="0" w:color="auto"/>
              <w:left w:val="nil"/>
              <w:bottom w:val="single" w:sz="4" w:space="0" w:color="auto"/>
              <w:right w:val="single" w:sz="8" w:space="0" w:color="auto"/>
            </w:tcBorders>
            <w:shd w:val="clear" w:color="auto" w:fill="auto"/>
            <w:noWrap/>
            <w:vAlign w:val="bottom"/>
            <w:hideMark/>
          </w:tcPr>
          <w:p w14:paraId="4FC969BF" w14:textId="77777777" w:rsidR="003E0F58" w:rsidRPr="007C705C" w:rsidRDefault="003E0F58" w:rsidP="004D2249">
            <w:pPr>
              <w:jc w:val="right"/>
              <w:rPr>
                <w:rFonts w:eastAsiaTheme="minorEastAsia" w:cs="Times New Roman"/>
                <w:color w:val="000000" w:themeColor="text1"/>
                <w:sz w:val="20"/>
                <w:szCs w:val="20"/>
                <w:lang w:val="cs-CZ"/>
              </w:rPr>
            </w:pPr>
            <w:r w:rsidRPr="007C705C">
              <w:rPr>
                <w:rFonts w:cs="Times New Roman"/>
                <w:sz w:val="20"/>
                <w:lang w:val="cs-CZ"/>
              </w:rPr>
              <w:t>878,1</w:t>
            </w:r>
          </w:p>
        </w:tc>
        <w:tc>
          <w:tcPr>
            <w:tcW w:w="0" w:type="auto"/>
            <w:tcBorders>
              <w:top w:val="single" w:sz="8" w:space="0" w:color="auto"/>
              <w:left w:val="single" w:sz="4" w:space="0" w:color="auto"/>
              <w:bottom w:val="single" w:sz="4" w:space="0" w:color="auto"/>
              <w:right w:val="single" w:sz="8" w:space="0" w:color="auto"/>
            </w:tcBorders>
            <w:shd w:val="clear" w:color="auto" w:fill="auto"/>
            <w:noWrap/>
            <w:vAlign w:val="bottom"/>
            <w:hideMark/>
          </w:tcPr>
          <w:p w14:paraId="7CEAA245" w14:textId="77777777" w:rsidR="003E0F58" w:rsidRPr="007C705C" w:rsidRDefault="003E0F58" w:rsidP="004D2249">
            <w:pPr>
              <w:jc w:val="right"/>
              <w:rPr>
                <w:rFonts w:eastAsiaTheme="minorEastAsia" w:cs="Times New Roman"/>
                <w:color w:val="000000" w:themeColor="text1"/>
                <w:sz w:val="20"/>
                <w:szCs w:val="20"/>
                <w:lang w:val="cs-CZ"/>
              </w:rPr>
            </w:pPr>
            <w:r w:rsidRPr="007C705C">
              <w:rPr>
                <w:rFonts w:cs="Times New Roman"/>
                <w:sz w:val="20"/>
                <w:lang w:val="cs-CZ"/>
              </w:rPr>
              <w:t>898,7</w:t>
            </w:r>
          </w:p>
        </w:tc>
        <w:tc>
          <w:tcPr>
            <w:tcW w:w="0" w:type="auto"/>
            <w:tcBorders>
              <w:top w:val="single" w:sz="8" w:space="0" w:color="auto"/>
              <w:left w:val="single" w:sz="4" w:space="0" w:color="auto"/>
              <w:bottom w:val="single" w:sz="4" w:space="0" w:color="auto"/>
              <w:right w:val="single" w:sz="8" w:space="0" w:color="auto"/>
            </w:tcBorders>
            <w:shd w:val="clear" w:color="auto" w:fill="auto"/>
            <w:noWrap/>
            <w:vAlign w:val="bottom"/>
            <w:hideMark/>
          </w:tcPr>
          <w:p w14:paraId="506021C2" w14:textId="77777777" w:rsidR="003E0F58" w:rsidRPr="007C705C" w:rsidRDefault="003E0F58" w:rsidP="004D2249">
            <w:pPr>
              <w:jc w:val="right"/>
              <w:rPr>
                <w:rFonts w:eastAsiaTheme="minorEastAsia" w:cs="Times New Roman"/>
                <w:color w:val="000000" w:themeColor="text1"/>
                <w:sz w:val="20"/>
                <w:szCs w:val="20"/>
                <w:lang w:val="cs-CZ"/>
              </w:rPr>
            </w:pPr>
            <w:r w:rsidRPr="007C705C">
              <w:rPr>
                <w:rFonts w:cs="Times New Roman"/>
                <w:sz w:val="20"/>
                <w:lang w:val="cs-CZ"/>
              </w:rPr>
              <w:t>891,6</w:t>
            </w:r>
          </w:p>
        </w:tc>
      </w:tr>
      <w:tr w:rsidR="003E0F58" w:rsidRPr="007C705C" w14:paraId="76B51997" w14:textId="77777777" w:rsidTr="00A36BA9">
        <w:trPr>
          <w:trHeight w:val="429"/>
        </w:trPr>
        <w:tc>
          <w:tcPr>
            <w:tcW w:w="1353" w:type="dxa"/>
            <w:tcBorders>
              <w:top w:val="nil"/>
              <w:left w:val="single" w:sz="8" w:space="0" w:color="auto"/>
              <w:bottom w:val="single" w:sz="8" w:space="0" w:color="auto"/>
              <w:right w:val="single" w:sz="4" w:space="0" w:color="auto"/>
            </w:tcBorders>
            <w:shd w:val="clear" w:color="auto" w:fill="auto"/>
            <w:noWrap/>
            <w:vAlign w:val="center"/>
            <w:hideMark/>
          </w:tcPr>
          <w:p w14:paraId="66468DAE" w14:textId="77777777" w:rsidR="003E0F58" w:rsidRPr="007C705C" w:rsidRDefault="003E0F58" w:rsidP="004D2249">
            <w:pPr>
              <w:jc w:val="left"/>
              <w:rPr>
                <w:rFonts w:eastAsiaTheme="minorEastAsia" w:cs="Times New Roman"/>
                <w:color w:val="000000" w:themeColor="text1"/>
                <w:sz w:val="20"/>
                <w:szCs w:val="20"/>
                <w:lang w:val="cs-CZ"/>
              </w:rPr>
            </w:pPr>
            <w:r w:rsidRPr="007C705C">
              <w:rPr>
                <w:rFonts w:eastAsiaTheme="minorEastAsia" w:cs="Times New Roman"/>
                <w:color w:val="000000" w:themeColor="text1"/>
                <w:sz w:val="20"/>
                <w:szCs w:val="20"/>
                <w:lang w:val="cs-CZ"/>
              </w:rPr>
              <w:t>Výroba obnovitelné energie v lesnictví</w:t>
            </w:r>
          </w:p>
        </w:tc>
        <w:tc>
          <w:tcPr>
            <w:tcW w:w="631" w:type="dxa"/>
            <w:tcBorders>
              <w:top w:val="nil"/>
              <w:left w:val="nil"/>
              <w:bottom w:val="single" w:sz="8" w:space="0" w:color="auto"/>
              <w:right w:val="single" w:sz="4" w:space="0" w:color="auto"/>
            </w:tcBorders>
            <w:shd w:val="clear" w:color="auto" w:fill="auto"/>
            <w:noWrap/>
            <w:vAlign w:val="bottom"/>
            <w:hideMark/>
          </w:tcPr>
          <w:p w14:paraId="3BB63FFA" w14:textId="77777777" w:rsidR="003E0F58" w:rsidRPr="007C705C" w:rsidRDefault="003E0F58" w:rsidP="004D2249">
            <w:pPr>
              <w:jc w:val="center"/>
              <w:rPr>
                <w:rFonts w:eastAsiaTheme="minorEastAsia" w:cs="Times New Roman"/>
                <w:color w:val="000000" w:themeColor="text1"/>
                <w:sz w:val="20"/>
                <w:szCs w:val="20"/>
                <w:lang w:val="cs-CZ"/>
              </w:rPr>
            </w:pPr>
            <w:r w:rsidRPr="007C705C">
              <w:rPr>
                <w:rFonts w:eastAsiaTheme="minorEastAsia" w:cs="Times New Roman"/>
                <w:color w:val="000000" w:themeColor="text1"/>
                <w:sz w:val="20"/>
                <w:szCs w:val="20"/>
                <w:lang w:val="cs-CZ"/>
              </w:rPr>
              <w:t>ktoe</w:t>
            </w:r>
          </w:p>
        </w:tc>
        <w:tc>
          <w:tcPr>
            <w:tcW w:w="781" w:type="dxa"/>
            <w:tcBorders>
              <w:top w:val="nil"/>
              <w:left w:val="nil"/>
              <w:bottom w:val="single" w:sz="8" w:space="0" w:color="auto"/>
              <w:right w:val="single" w:sz="4" w:space="0" w:color="auto"/>
            </w:tcBorders>
            <w:shd w:val="clear" w:color="auto" w:fill="auto"/>
            <w:noWrap/>
            <w:vAlign w:val="bottom"/>
            <w:hideMark/>
          </w:tcPr>
          <w:p w14:paraId="59C125A6" w14:textId="77777777" w:rsidR="003E0F58" w:rsidRPr="007C705C" w:rsidRDefault="003E0F58" w:rsidP="004D2249">
            <w:pPr>
              <w:jc w:val="right"/>
              <w:rPr>
                <w:rFonts w:eastAsiaTheme="minorEastAsia" w:cs="Times New Roman"/>
                <w:color w:val="FF0000"/>
                <w:sz w:val="20"/>
                <w:szCs w:val="20"/>
                <w:lang w:val="cs-CZ"/>
              </w:rPr>
            </w:pPr>
            <w:r w:rsidRPr="007C705C">
              <w:rPr>
                <w:rFonts w:cs="Times New Roman"/>
                <w:color w:val="FF0000"/>
                <w:sz w:val="20"/>
                <w:lang w:val="cs-CZ"/>
              </w:rPr>
              <w:t>2 229,3</w:t>
            </w:r>
          </w:p>
        </w:tc>
        <w:tc>
          <w:tcPr>
            <w:tcW w:w="0" w:type="auto"/>
            <w:tcBorders>
              <w:top w:val="nil"/>
              <w:left w:val="nil"/>
              <w:bottom w:val="single" w:sz="8" w:space="0" w:color="auto"/>
              <w:right w:val="single" w:sz="4" w:space="0" w:color="auto"/>
            </w:tcBorders>
            <w:shd w:val="clear" w:color="auto" w:fill="auto"/>
            <w:noWrap/>
            <w:vAlign w:val="bottom"/>
            <w:hideMark/>
          </w:tcPr>
          <w:p w14:paraId="61CE2440" w14:textId="77777777" w:rsidR="003E0F58" w:rsidRPr="007C705C" w:rsidRDefault="003E0F58" w:rsidP="004D2249">
            <w:pPr>
              <w:jc w:val="right"/>
              <w:rPr>
                <w:rFonts w:eastAsiaTheme="minorEastAsia" w:cs="Times New Roman"/>
                <w:color w:val="FF0000"/>
                <w:sz w:val="20"/>
                <w:szCs w:val="20"/>
                <w:lang w:val="cs-CZ"/>
              </w:rPr>
            </w:pPr>
            <w:r w:rsidRPr="007C705C">
              <w:rPr>
                <w:rFonts w:cs="Times New Roman"/>
                <w:color w:val="FF0000"/>
                <w:sz w:val="20"/>
                <w:lang w:val="cs-CZ"/>
              </w:rPr>
              <w:t>2 297,6</w:t>
            </w:r>
          </w:p>
        </w:tc>
        <w:tc>
          <w:tcPr>
            <w:tcW w:w="0" w:type="auto"/>
            <w:tcBorders>
              <w:top w:val="nil"/>
              <w:left w:val="nil"/>
              <w:bottom w:val="single" w:sz="8" w:space="0" w:color="auto"/>
              <w:right w:val="single" w:sz="4" w:space="0" w:color="auto"/>
            </w:tcBorders>
            <w:shd w:val="clear" w:color="auto" w:fill="auto"/>
            <w:noWrap/>
            <w:vAlign w:val="bottom"/>
            <w:hideMark/>
          </w:tcPr>
          <w:p w14:paraId="3C518803" w14:textId="77777777" w:rsidR="003E0F58" w:rsidRPr="007C705C" w:rsidRDefault="003E0F58" w:rsidP="004D2249">
            <w:pPr>
              <w:jc w:val="right"/>
              <w:rPr>
                <w:rFonts w:eastAsiaTheme="minorEastAsia" w:cs="Times New Roman"/>
                <w:color w:val="FF0000"/>
                <w:sz w:val="20"/>
                <w:szCs w:val="20"/>
                <w:lang w:val="cs-CZ"/>
              </w:rPr>
            </w:pPr>
            <w:r w:rsidRPr="007C705C">
              <w:rPr>
                <w:rFonts w:cs="Times New Roman"/>
                <w:color w:val="FF0000"/>
                <w:sz w:val="20"/>
                <w:lang w:val="cs-CZ"/>
              </w:rPr>
              <w:t>2 332,8</w:t>
            </w:r>
          </w:p>
        </w:tc>
        <w:tc>
          <w:tcPr>
            <w:tcW w:w="0" w:type="auto"/>
            <w:tcBorders>
              <w:top w:val="nil"/>
              <w:left w:val="nil"/>
              <w:bottom w:val="single" w:sz="8" w:space="0" w:color="auto"/>
              <w:right w:val="single" w:sz="4" w:space="0" w:color="auto"/>
            </w:tcBorders>
            <w:shd w:val="clear" w:color="auto" w:fill="auto"/>
            <w:noWrap/>
            <w:vAlign w:val="bottom"/>
            <w:hideMark/>
          </w:tcPr>
          <w:p w14:paraId="1EDBAFFC" w14:textId="77777777" w:rsidR="003E0F58" w:rsidRPr="007C705C" w:rsidRDefault="003E0F58" w:rsidP="004D2249">
            <w:pPr>
              <w:jc w:val="right"/>
              <w:rPr>
                <w:rFonts w:eastAsiaTheme="minorEastAsia" w:cs="Times New Roman"/>
                <w:color w:val="FF0000"/>
                <w:sz w:val="20"/>
                <w:szCs w:val="20"/>
                <w:lang w:val="cs-CZ"/>
              </w:rPr>
            </w:pPr>
            <w:r w:rsidRPr="007C705C">
              <w:rPr>
                <w:rFonts w:cs="Times New Roman"/>
                <w:color w:val="FF0000"/>
                <w:sz w:val="20"/>
                <w:lang w:val="cs-CZ"/>
              </w:rPr>
              <w:t>2 406,0</w:t>
            </w:r>
          </w:p>
        </w:tc>
        <w:tc>
          <w:tcPr>
            <w:tcW w:w="0" w:type="auto"/>
            <w:tcBorders>
              <w:top w:val="nil"/>
              <w:left w:val="nil"/>
              <w:bottom w:val="single" w:sz="8" w:space="0" w:color="auto"/>
              <w:right w:val="single" w:sz="4" w:space="0" w:color="auto"/>
            </w:tcBorders>
            <w:shd w:val="clear" w:color="auto" w:fill="auto"/>
            <w:noWrap/>
            <w:vAlign w:val="bottom"/>
            <w:hideMark/>
          </w:tcPr>
          <w:p w14:paraId="6CFB28AA" w14:textId="77777777" w:rsidR="003E0F58" w:rsidRPr="007C705C" w:rsidRDefault="003E0F58" w:rsidP="004D2249">
            <w:pPr>
              <w:jc w:val="right"/>
              <w:rPr>
                <w:rFonts w:eastAsiaTheme="minorEastAsia" w:cs="Times New Roman"/>
                <w:color w:val="FF0000"/>
                <w:sz w:val="20"/>
                <w:szCs w:val="20"/>
                <w:lang w:val="cs-CZ"/>
              </w:rPr>
            </w:pPr>
            <w:r w:rsidRPr="007C705C">
              <w:rPr>
                <w:rFonts w:cs="Times New Roman"/>
                <w:color w:val="FF0000"/>
                <w:sz w:val="20"/>
                <w:lang w:val="cs-CZ"/>
              </w:rPr>
              <w:t>2 508,2</w:t>
            </w:r>
          </w:p>
        </w:tc>
        <w:tc>
          <w:tcPr>
            <w:tcW w:w="0" w:type="auto"/>
            <w:tcBorders>
              <w:top w:val="nil"/>
              <w:left w:val="nil"/>
              <w:bottom w:val="single" w:sz="8" w:space="0" w:color="auto"/>
              <w:right w:val="single" w:sz="4" w:space="0" w:color="auto"/>
            </w:tcBorders>
            <w:shd w:val="clear" w:color="auto" w:fill="auto"/>
            <w:noWrap/>
            <w:vAlign w:val="bottom"/>
            <w:hideMark/>
          </w:tcPr>
          <w:p w14:paraId="7A5404F4" w14:textId="77777777" w:rsidR="003E0F58" w:rsidRPr="007C705C" w:rsidRDefault="003E0F58" w:rsidP="004D2249">
            <w:pPr>
              <w:jc w:val="right"/>
              <w:rPr>
                <w:rFonts w:eastAsiaTheme="minorEastAsia" w:cs="Times New Roman"/>
                <w:color w:val="FF0000"/>
                <w:sz w:val="20"/>
                <w:szCs w:val="20"/>
                <w:lang w:val="cs-CZ"/>
              </w:rPr>
            </w:pPr>
            <w:r w:rsidRPr="007C705C">
              <w:rPr>
                <w:rFonts w:cs="Times New Roman"/>
                <w:color w:val="FF0000"/>
                <w:sz w:val="20"/>
                <w:lang w:val="cs-CZ"/>
              </w:rPr>
              <w:t>2 655,1</w:t>
            </w:r>
          </w:p>
        </w:tc>
        <w:tc>
          <w:tcPr>
            <w:tcW w:w="0" w:type="auto"/>
            <w:tcBorders>
              <w:top w:val="nil"/>
              <w:left w:val="nil"/>
              <w:bottom w:val="single" w:sz="8" w:space="0" w:color="auto"/>
              <w:right w:val="single" w:sz="4" w:space="0" w:color="auto"/>
            </w:tcBorders>
            <w:shd w:val="clear" w:color="auto" w:fill="auto"/>
            <w:noWrap/>
            <w:vAlign w:val="bottom"/>
            <w:hideMark/>
          </w:tcPr>
          <w:p w14:paraId="044F06F2" w14:textId="77777777" w:rsidR="003E0F58" w:rsidRPr="007C705C" w:rsidRDefault="003E0F58" w:rsidP="004D2249">
            <w:pPr>
              <w:jc w:val="right"/>
              <w:rPr>
                <w:rFonts w:eastAsiaTheme="minorEastAsia" w:cs="Times New Roman"/>
                <w:color w:val="FF0000"/>
                <w:sz w:val="20"/>
                <w:szCs w:val="20"/>
                <w:lang w:val="cs-CZ"/>
              </w:rPr>
            </w:pPr>
            <w:r w:rsidRPr="007C705C">
              <w:rPr>
                <w:rFonts w:cs="Times New Roman"/>
                <w:color w:val="FF0000"/>
                <w:sz w:val="20"/>
                <w:lang w:val="cs-CZ"/>
              </w:rPr>
              <w:t>2 719,6</w:t>
            </w:r>
          </w:p>
        </w:tc>
        <w:tc>
          <w:tcPr>
            <w:tcW w:w="0" w:type="auto"/>
            <w:tcBorders>
              <w:top w:val="nil"/>
              <w:left w:val="nil"/>
              <w:bottom w:val="single" w:sz="8" w:space="0" w:color="auto"/>
              <w:right w:val="single" w:sz="4" w:space="0" w:color="auto"/>
            </w:tcBorders>
            <w:shd w:val="clear" w:color="auto" w:fill="auto"/>
            <w:noWrap/>
            <w:vAlign w:val="bottom"/>
            <w:hideMark/>
          </w:tcPr>
          <w:p w14:paraId="66CA2098" w14:textId="77777777" w:rsidR="003E0F58" w:rsidRPr="007C705C" w:rsidRDefault="003E0F58" w:rsidP="004D2249">
            <w:pPr>
              <w:jc w:val="right"/>
              <w:rPr>
                <w:rFonts w:eastAsiaTheme="minorEastAsia" w:cs="Times New Roman"/>
                <w:color w:val="FF0000"/>
                <w:sz w:val="20"/>
                <w:szCs w:val="20"/>
                <w:lang w:val="cs-CZ"/>
              </w:rPr>
            </w:pPr>
            <w:r w:rsidRPr="007C705C">
              <w:rPr>
                <w:rFonts w:cs="Times New Roman"/>
                <w:color w:val="FF0000"/>
                <w:sz w:val="20"/>
                <w:lang w:val="cs-CZ"/>
              </w:rPr>
              <w:t>2 820,5</w:t>
            </w:r>
          </w:p>
        </w:tc>
        <w:tc>
          <w:tcPr>
            <w:tcW w:w="0" w:type="auto"/>
            <w:tcBorders>
              <w:top w:val="nil"/>
              <w:left w:val="nil"/>
              <w:bottom w:val="single" w:sz="8" w:space="0" w:color="auto"/>
              <w:right w:val="single" w:sz="8" w:space="0" w:color="auto"/>
            </w:tcBorders>
            <w:shd w:val="clear" w:color="auto" w:fill="auto"/>
            <w:noWrap/>
            <w:vAlign w:val="bottom"/>
            <w:hideMark/>
          </w:tcPr>
          <w:p w14:paraId="73514746" w14:textId="77777777" w:rsidR="003E0F58" w:rsidRPr="007C705C" w:rsidRDefault="003E0F58" w:rsidP="004D2249">
            <w:pPr>
              <w:jc w:val="right"/>
              <w:rPr>
                <w:rFonts w:eastAsiaTheme="minorEastAsia" w:cs="Times New Roman"/>
                <w:color w:val="FF0000"/>
                <w:sz w:val="20"/>
                <w:szCs w:val="20"/>
                <w:lang w:val="cs-CZ"/>
              </w:rPr>
            </w:pPr>
            <w:r w:rsidRPr="007C705C">
              <w:rPr>
                <w:rFonts w:cs="Times New Roman"/>
                <w:color w:val="FF0000"/>
                <w:sz w:val="20"/>
                <w:lang w:val="cs-CZ"/>
              </w:rPr>
              <w:t>2 830,7</w:t>
            </w:r>
          </w:p>
        </w:tc>
        <w:tc>
          <w:tcPr>
            <w:tcW w:w="0" w:type="auto"/>
            <w:tcBorders>
              <w:top w:val="nil"/>
              <w:left w:val="single" w:sz="4" w:space="0" w:color="auto"/>
              <w:bottom w:val="single" w:sz="8" w:space="0" w:color="auto"/>
              <w:right w:val="single" w:sz="8" w:space="0" w:color="auto"/>
            </w:tcBorders>
            <w:shd w:val="clear" w:color="auto" w:fill="auto"/>
            <w:noWrap/>
            <w:vAlign w:val="bottom"/>
            <w:hideMark/>
          </w:tcPr>
          <w:p w14:paraId="10284364" w14:textId="77777777" w:rsidR="003E0F58" w:rsidRPr="007C705C" w:rsidRDefault="003E0F58" w:rsidP="004D2249">
            <w:pPr>
              <w:jc w:val="right"/>
              <w:rPr>
                <w:rFonts w:eastAsiaTheme="minorEastAsia" w:cs="Times New Roman"/>
                <w:color w:val="FF0000"/>
                <w:sz w:val="20"/>
                <w:szCs w:val="20"/>
                <w:lang w:val="cs-CZ"/>
              </w:rPr>
            </w:pPr>
            <w:r w:rsidRPr="007C705C">
              <w:rPr>
                <w:rFonts w:cs="Times New Roman"/>
                <w:color w:val="FF0000"/>
                <w:sz w:val="20"/>
                <w:lang w:val="cs-CZ"/>
              </w:rPr>
              <w:t>2 844,2</w:t>
            </w:r>
          </w:p>
        </w:tc>
        <w:tc>
          <w:tcPr>
            <w:tcW w:w="0" w:type="auto"/>
            <w:tcBorders>
              <w:top w:val="nil"/>
              <w:left w:val="single" w:sz="4" w:space="0" w:color="auto"/>
              <w:bottom w:val="single" w:sz="8" w:space="0" w:color="auto"/>
              <w:right w:val="single" w:sz="8" w:space="0" w:color="auto"/>
            </w:tcBorders>
            <w:shd w:val="clear" w:color="auto" w:fill="auto"/>
            <w:noWrap/>
            <w:vAlign w:val="bottom"/>
            <w:hideMark/>
          </w:tcPr>
          <w:p w14:paraId="73AE09A6" w14:textId="77777777" w:rsidR="003E0F58" w:rsidRPr="007C705C" w:rsidRDefault="003E0F58" w:rsidP="004D2249">
            <w:pPr>
              <w:jc w:val="right"/>
              <w:rPr>
                <w:rFonts w:eastAsiaTheme="minorEastAsia" w:cs="Times New Roman"/>
                <w:color w:val="FF0000"/>
                <w:sz w:val="20"/>
                <w:szCs w:val="20"/>
                <w:lang w:val="cs-CZ"/>
              </w:rPr>
            </w:pPr>
            <w:r w:rsidRPr="007C705C">
              <w:rPr>
                <w:rFonts w:cs="Times New Roman"/>
                <w:color w:val="FF0000"/>
                <w:sz w:val="20"/>
                <w:lang w:val="cs-CZ"/>
              </w:rPr>
              <w:t>2 936,6</w:t>
            </w:r>
          </w:p>
        </w:tc>
      </w:tr>
    </w:tbl>
    <w:bookmarkEnd w:id="301"/>
    <w:p w14:paraId="1CA3B277" w14:textId="77777777" w:rsidR="003E0F58" w:rsidRPr="007C705C" w:rsidRDefault="003E0F58" w:rsidP="00561D07">
      <w:pPr>
        <w:pStyle w:val="UZEIZdroj"/>
      </w:pPr>
      <w:r w:rsidRPr="007C705C">
        <w:t>Zdroj: Výkaz MPO – OZE, Eurostat (propočty Bufka (MPO))</w:t>
      </w:r>
    </w:p>
    <w:p w14:paraId="247F0581" w14:textId="02D1798D" w:rsidR="002D4AEA" w:rsidRDefault="002D4AEA" w:rsidP="003E0F58">
      <w:pPr>
        <w:rPr>
          <w:rFonts w:cs="Times New Roman"/>
          <w:b/>
          <w:lang w:val="cs-CZ"/>
        </w:rPr>
      </w:pPr>
    </w:p>
    <w:p w14:paraId="22C796C6" w14:textId="31C66E37" w:rsidR="003E0F58" w:rsidRPr="007C705C" w:rsidRDefault="003E0F58" w:rsidP="003E0F58">
      <w:pPr>
        <w:rPr>
          <w:rFonts w:cs="Times New Roman"/>
          <w:b/>
          <w:lang w:val="cs-CZ"/>
        </w:rPr>
      </w:pPr>
      <w:r w:rsidRPr="007C705C">
        <w:rPr>
          <w:rFonts w:cs="Times New Roman"/>
          <w:b/>
          <w:lang w:val="cs-CZ"/>
        </w:rPr>
        <w:t>LESY:</w:t>
      </w:r>
    </w:p>
    <w:p w14:paraId="5DEFE20D" w14:textId="77777777" w:rsidR="003E0F58" w:rsidRPr="007C705C" w:rsidRDefault="003E0F58" w:rsidP="008A1AE3">
      <w:pPr>
        <w:pStyle w:val="Odstavecseseznamem"/>
        <w:numPr>
          <w:ilvl w:val="0"/>
          <w:numId w:val="17"/>
        </w:numPr>
        <w:spacing w:before="60" w:line="360" w:lineRule="atLeast"/>
        <w:rPr>
          <w:rFonts w:eastAsiaTheme="minorEastAsia"/>
          <w:b/>
          <w:bCs/>
        </w:rPr>
      </w:pPr>
      <w:r w:rsidRPr="007C705C">
        <w:rPr>
          <w:rFonts w:eastAsiaTheme="minorEastAsia"/>
          <w:b/>
          <w:bCs/>
        </w:rPr>
        <w:t xml:space="preserve">Zdravotní stav lesů </w:t>
      </w:r>
    </w:p>
    <w:p w14:paraId="56BFE86F" w14:textId="77777777" w:rsidR="003E0F58" w:rsidRPr="007C705C" w:rsidRDefault="003E0F58" w:rsidP="00561D07">
      <w:pPr>
        <w:pStyle w:val="UZEINormaln"/>
        <w:rPr>
          <w:rFonts w:eastAsiaTheme="minorEastAsia"/>
        </w:rPr>
      </w:pPr>
      <w:r w:rsidRPr="007C705C">
        <w:rPr>
          <w:rFonts w:eastAsiaTheme="minorEastAsia"/>
        </w:rPr>
        <w:t xml:space="preserve">Vývoj tříd defoliace na plochách mezinárodního monitoringu ICP Forests nereflektuje zcela zhoršení zdravotního stavu v oblasti severní Moravy, neboť hodnotí pouze existující stromy – vytěžené kůrovcové stromy se tedy do hodnocení nepromítají. Přesto je zde v případě jehličnanů patrný postupný nárůst zastoupení silně poškozených stromů s defoliací nad 60 % od roku 2004. U dospělých listnatých porostů je zdravotní stav z hlediska defoliace vyrovnaný a celkově příznivější než u jehličnanů – zastoupení dřevin s defoliací nad 25 (střední míra poškození) se pohybuje setrvale kolem 40 %. Výrazně lepší je pak zdravotní stav mladých porostů do 60 let, kde o něco lépe vychází naopak jehličnany (Fabiánek, </w:t>
      </w:r>
      <w:r w:rsidRPr="007C705C">
        <w:t>Neudertová Hellebrandová 2020</w:t>
      </w:r>
      <w:r w:rsidRPr="007C705C">
        <w:rPr>
          <w:rFonts w:eastAsiaTheme="minorEastAsia"/>
        </w:rPr>
        <w:t>).</w:t>
      </w:r>
    </w:p>
    <w:p w14:paraId="3ECCE0F8" w14:textId="77777777" w:rsidR="001F7140" w:rsidRDefault="003E0F58" w:rsidP="005D1920">
      <w:pPr>
        <w:spacing w:before="120" w:line="276" w:lineRule="auto"/>
        <w:ind w:left="142" w:right="113"/>
      </w:pPr>
      <w:r w:rsidRPr="007C705C">
        <w:rPr>
          <w:rFonts w:cs="Times New Roman"/>
          <w:noProof/>
          <w:lang w:val="cs-CZ" w:eastAsia="cs-CZ"/>
        </w:rPr>
        <w:lastRenderedPageBreak/>
        <w:drawing>
          <wp:inline distT="0" distB="0" distL="0" distR="0" wp14:anchorId="5ECA8A7E" wp14:editId="1B2FEC73">
            <wp:extent cx="5760085" cy="2256585"/>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0085" cy="2256585"/>
                    </a:xfrm>
                    <a:prstGeom prst="rect">
                      <a:avLst/>
                    </a:prstGeom>
                    <a:noFill/>
                    <a:ln>
                      <a:noFill/>
                    </a:ln>
                  </pic:spPr>
                </pic:pic>
              </a:graphicData>
            </a:graphic>
          </wp:inline>
        </w:drawing>
      </w:r>
      <w:r w:rsidRPr="007C705C">
        <w:rPr>
          <w:rFonts w:eastAsia="Calibri" w:cs="Times New Roman"/>
          <w:noProof/>
          <w:color w:val="5B9BD5"/>
          <w:sz w:val="22"/>
          <w:lang w:val="cs-CZ" w:eastAsia="cs-CZ"/>
        </w:rPr>
        <w:drawing>
          <wp:inline distT="0" distB="0" distL="0" distR="0" wp14:anchorId="188EC81A" wp14:editId="389F5C7F">
            <wp:extent cx="5762625" cy="1952625"/>
            <wp:effectExtent l="0" t="0" r="9525" b="9525"/>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4"/>
                    <pic:cNvPicPr>
                      <a:picLocks noChangeAspect="1" noChangeArrowheads="1"/>
                    </pic:cNvPicPr>
                  </pic:nvPicPr>
                  <pic:blipFill>
                    <a:blip r:embed="rId28">
                      <a:extLst>
                        <a:ext uri="{28A0092B-C50C-407E-A947-70E740481C1C}">
                          <a14:useLocalDpi xmlns:a14="http://schemas.microsoft.com/office/drawing/2010/main" val="0"/>
                        </a:ext>
                      </a:extLst>
                    </a:blip>
                    <a:srcRect b="2966"/>
                    <a:stretch>
                      <a:fillRect/>
                    </a:stretch>
                  </pic:blipFill>
                  <pic:spPr bwMode="auto">
                    <a:xfrm>
                      <a:off x="0" y="0"/>
                      <a:ext cx="5762625" cy="1952625"/>
                    </a:xfrm>
                    <a:prstGeom prst="rect">
                      <a:avLst/>
                    </a:prstGeom>
                    <a:noFill/>
                    <a:ln>
                      <a:noFill/>
                    </a:ln>
                  </pic:spPr>
                </pic:pic>
              </a:graphicData>
            </a:graphic>
          </wp:inline>
        </w:drawing>
      </w:r>
      <w:bookmarkStart w:id="302" w:name="_Toc15309886"/>
      <w:bookmarkStart w:id="303" w:name="_Toc77245784"/>
    </w:p>
    <w:p w14:paraId="7E4E914D" w14:textId="1965FFFE" w:rsidR="00403034" w:rsidRPr="005D1920" w:rsidRDefault="001F7140" w:rsidP="005D1920">
      <w:pPr>
        <w:pStyle w:val="Titulek"/>
        <w:keepNext w:val="0"/>
        <w:rPr>
          <w:rFonts w:cs="Arial"/>
          <w:color w:val="000000" w:themeColor="text1"/>
          <w:sz w:val="20"/>
          <w:lang w:eastAsia="cs-CZ"/>
        </w:rPr>
      </w:pPr>
      <w:bookmarkStart w:id="304" w:name="_Toc93583786"/>
      <w:r w:rsidRPr="005D1920">
        <w:rPr>
          <w:rFonts w:cs="Arial"/>
          <w:bCs w:val="0"/>
          <w:color w:val="000000" w:themeColor="text1"/>
          <w:sz w:val="20"/>
          <w:lang w:eastAsia="cs-CZ"/>
        </w:rPr>
        <w:t xml:space="preserve">Obrázek </w:t>
      </w:r>
      <w:r w:rsidRPr="005D1920">
        <w:rPr>
          <w:rFonts w:cs="Arial"/>
          <w:bCs w:val="0"/>
          <w:color w:val="000000" w:themeColor="text1"/>
          <w:sz w:val="20"/>
          <w:lang w:eastAsia="cs-CZ"/>
        </w:rPr>
        <w:fldChar w:fldCharType="begin"/>
      </w:r>
      <w:r w:rsidRPr="005D1920">
        <w:rPr>
          <w:rFonts w:cs="Arial"/>
          <w:bCs w:val="0"/>
          <w:color w:val="000000" w:themeColor="text1"/>
          <w:sz w:val="20"/>
          <w:lang w:eastAsia="cs-CZ"/>
        </w:rPr>
        <w:instrText xml:space="preserve"> SEQ Obrázek \* ARABIC </w:instrText>
      </w:r>
      <w:r w:rsidRPr="005D1920">
        <w:rPr>
          <w:rFonts w:cs="Arial"/>
          <w:bCs w:val="0"/>
          <w:color w:val="000000" w:themeColor="text1"/>
          <w:sz w:val="20"/>
          <w:lang w:eastAsia="cs-CZ"/>
        </w:rPr>
        <w:fldChar w:fldCharType="separate"/>
      </w:r>
      <w:r w:rsidR="000C4C46">
        <w:rPr>
          <w:rFonts w:cs="Arial"/>
          <w:bCs w:val="0"/>
          <w:noProof/>
          <w:color w:val="000000" w:themeColor="text1"/>
          <w:sz w:val="20"/>
          <w:lang w:eastAsia="cs-CZ"/>
        </w:rPr>
        <w:t>3</w:t>
      </w:r>
      <w:r w:rsidRPr="005D1920">
        <w:rPr>
          <w:rFonts w:cs="Arial"/>
          <w:bCs w:val="0"/>
          <w:color w:val="000000" w:themeColor="text1"/>
          <w:sz w:val="20"/>
          <w:lang w:eastAsia="cs-CZ"/>
        </w:rPr>
        <w:fldChar w:fldCharType="end"/>
      </w:r>
      <w:r w:rsidRPr="005D1920">
        <w:rPr>
          <w:rFonts w:cs="Arial"/>
          <w:bCs w:val="0"/>
          <w:color w:val="000000" w:themeColor="text1"/>
          <w:sz w:val="20"/>
          <w:lang w:eastAsia="cs-CZ"/>
        </w:rPr>
        <w:t xml:space="preserve"> Vývoj zastoupení v třídách defoliace v jehličnatých a listnatých porostech nad 60 let (zdroj: VÚLHM)</w:t>
      </w:r>
      <w:bookmarkEnd w:id="304"/>
    </w:p>
    <w:bookmarkEnd w:id="302"/>
    <w:bookmarkEnd w:id="303"/>
    <w:p w14:paraId="36393FDB" w14:textId="5BFC61D4" w:rsidR="001F7140" w:rsidRDefault="003E0F58">
      <w:pPr>
        <w:keepNext/>
        <w:spacing w:before="120" w:line="276" w:lineRule="auto"/>
        <w:ind w:left="142" w:right="113"/>
      </w:pPr>
      <w:r w:rsidRPr="007C705C">
        <w:rPr>
          <w:rFonts w:cs="Times New Roman"/>
          <w:noProof/>
          <w:lang w:val="cs-CZ" w:eastAsia="cs-CZ"/>
        </w:rPr>
        <w:lastRenderedPageBreak/>
        <w:drawing>
          <wp:inline distT="0" distB="0" distL="0" distR="0" wp14:anchorId="54AC3FD0" wp14:editId="6F18F9EF">
            <wp:extent cx="5760085" cy="2256585"/>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0085" cy="2256585"/>
                    </a:xfrm>
                    <a:prstGeom prst="rect">
                      <a:avLst/>
                    </a:prstGeom>
                    <a:noFill/>
                    <a:ln>
                      <a:noFill/>
                    </a:ln>
                  </pic:spPr>
                </pic:pic>
              </a:graphicData>
            </a:graphic>
          </wp:inline>
        </w:drawing>
      </w:r>
      <w:r w:rsidRPr="007C705C">
        <w:rPr>
          <w:rFonts w:eastAsia="Calibri" w:cs="Times New Roman"/>
          <w:noProof/>
          <w:color w:val="5B9BD5"/>
          <w:sz w:val="22"/>
          <w:lang w:val="cs-CZ" w:eastAsia="cs-CZ"/>
        </w:rPr>
        <w:drawing>
          <wp:inline distT="0" distB="0" distL="0" distR="0" wp14:anchorId="2C392AD4" wp14:editId="282CDB29">
            <wp:extent cx="5762625" cy="1952625"/>
            <wp:effectExtent l="0" t="0" r="9525" b="9525"/>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3"/>
                    <pic:cNvPicPr>
                      <a:picLocks noChangeAspect="1" noChangeArrowheads="1"/>
                    </pic:cNvPicPr>
                  </pic:nvPicPr>
                  <pic:blipFill>
                    <a:blip r:embed="rId30">
                      <a:extLst>
                        <a:ext uri="{28A0092B-C50C-407E-A947-70E740481C1C}">
                          <a14:useLocalDpi xmlns:a14="http://schemas.microsoft.com/office/drawing/2010/main" val="0"/>
                        </a:ext>
                      </a:extLst>
                    </a:blip>
                    <a:srcRect b="2966"/>
                    <a:stretch>
                      <a:fillRect/>
                    </a:stretch>
                  </pic:blipFill>
                  <pic:spPr bwMode="auto">
                    <a:xfrm>
                      <a:off x="0" y="0"/>
                      <a:ext cx="5762625" cy="1952625"/>
                    </a:xfrm>
                    <a:prstGeom prst="rect">
                      <a:avLst/>
                    </a:prstGeom>
                    <a:noFill/>
                    <a:ln>
                      <a:noFill/>
                    </a:ln>
                  </pic:spPr>
                </pic:pic>
              </a:graphicData>
            </a:graphic>
          </wp:inline>
        </w:drawing>
      </w:r>
    </w:p>
    <w:p w14:paraId="0F31117C" w14:textId="6FD00418" w:rsidR="003E0F58" w:rsidRPr="005D1920" w:rsidRDefault="001F7140" w:rsidP="005D1920">
      <w:pPr>
        <w:pStyle w:val="Titulek"/>
        <w:rPr>
          <w:rFonts w:cs="Arial"/>
          <w:color w:val="000000" w:themeColor="text1"/>
          <w:sz w:val="20"/>
          <w:lang w:eastAsia="cs-CZ"/>
        </w:rPr>
      </w:pPr>
      <w:bookmarkStart w:id="305" w:name="_Toc93583787"/>
      <w:r w:rsidRPr="005D1920">
        <w:rPr>
          <w:rFonts w:cs="Arial"/>
          <w:bCs w:val="0"/>
          <w:color w:val="000000" w:themeColor="text1"/>
          <w:sz w:val="20"/>
          <w:lang w:eastAsia="cs-CZ"/>
        </w:rPr>
        <w:t xml:space="preserve">Obrázek </w:t>
      </w:r>
      <w:r w:rsidRPr="005D1920">
        <w:rPr>
          <w:rFonts w:cs="Arial"/>
          <w:bCs w:val="0"/>
          <w:color w:val="000000" w:themeColor="text1"/>
          <w:sz w:val="20"/>
          <w:lang w:eastAsia="cs-CZ"/>
        </w:rPr>
        <w:fldChar w:fldCharType="begin"/>
      </w:r>
      <w:r w:rsidRPr="005D1920">
        <w:rPr>
          <w:rFonts w:cs="Arial"/>
          <w:bCs w:val="0"/>
          <w:color w:val="000000" w:themeColor="text1"/>
          <w:sz w:val="20"/>
          <w:lang w:eastAsia="cs-CZ"/>
        </w:rPr>
        <w:instrText xml:space="preserve"> SEQ Obrázek \* ARABIC </w:instrText>
      </w:r>
      <w:r w:rsidRPr="005D1920">
        <w:rPr>
          <w:rFonts w:cs="Arial"/>
          <w:bCs w:val="0"/>
          <w:color w:val="000000" w:themeColor="text1"/>
          <w:sz w:val="20"/>
          <w:lang w:eastAsia="cs-CZ"/>
        </w:rPr>
        <w:fldChar w:fldCharType="separate"/>
      </w:r>
      <w:r w:rsidR="000C4C46">
        <w:rPr>
          <w:rFonts w:cs="Arial"/>
          <w:bCs w:val="0"/>
          <w:noProof/>
          <w:color w:val="000000" w:themeColor="text1"/>
          <w:sz w:val="20"/>
          <w:lang w:eastAsia="cs-CZ"/>
        </w:rPr>
        <w:t>4</w:t>
      </w:r>
      <w:r w:rsidRPr="005D1920">
        <w:rPr>
          <w:rFonts w:cs="Arial"/>
          <w:bCs w:val="0"/>
          <w:color w:val="000000" w:themeColor="text1"/>
          <w:sz w:val="20"/>
          <w:lang w:eastAsia="cs-CZ"/>
        </w:rPr>
        <w:fldChar w:fldCharType="end"/>
      </w:r>
      <w:r w:rsidRPr="005D1920">
        <w:rPr>
          <w:rFonts w:cs="Arial"/>
          <w:bCs w:val="0"/>
          <w:color w:val="000000" w:themeColor="text1"/>
          <w:sz w:val="20"/>
          <w:lang w:eastAsia="cs-CZ"/>
        </w:rPr>
        <w:t xml:space="preserve"> Vývoj zastoupení v třídách defoliace v jehličnatých a listnatých porostech do 60 let (zdroj: VÚLHM)</w:t>
      </w:r>
      <w:bookmarkEnd w:id="305"/>
    </w:p>
    <w:p w14:paraId="1DBC502C" w14:textId="4B67993D" w:rsidR="003E0F58" w:rsidRDefault="003E0F58" w:rsidP="00D5500F">
      <w:pPr>
        <w:pStyle w:val="UZEINormaln"/>
        <w:rPr>
          <w:rFonts w:eastAsia="Calibri"/>
        </w:rPr>
      </w:pPr>
      <w:r w:rsidRPr="007C705C">
        <w:rPr>
          <w:rFonts w:eastAsia="Calibri"/>
        </w:rPr>
        <w:t xml:space="preserve">Pokud se podíváme na vývoj průměrné defoliace hlavních druhů dřevin, u dospělých porostů je výrazně nejnižší defoliace buku. Defoliace smrku a dubu </w:t>
      </w:r>
      <w:r w:rsidRPr="007C705C">
        <w:t>se výrazně zvedají od roku 2017 a v současné době se pohybují mezi 35 a 40 %.</w:t>
      </w:r>
      <w:r w:rsidR="004A63A6">
        <w:rPr>
          <w:rFonts w:eastAsia="Calibri"/>
        </w:rPr>
        <w:t xml:space="preserve"> </w:t>
      </w:r>
      <w:r w:rsidRPr="007C705C">
        <w:rPr>
          <w:rFonts w:eastAsia="Calibri"/>
        </w:rPr>
        <w:t xml:space="preserve">Výrazně negativní je trend u borovice, kde defoliace průběžně stoupá a v roce 2016 přesáhla hodnotu 45 %. U porostů do 60 let jsou hodnoty defoliace celkově nižší, trendy jsou ale obdobné s tím rozdílem, že smrk vykazuje obdobně nízké hodnoty defoliace jako buk. </w:t>
      </w:r>
    </w:p>
    <w:p w14:paraId="606EA0DC" w14:textId="139465B3" w:rsidR="00904AE4" w:rsidRDefault="00904AE4" w:rsidP="00D5500F">
      <w:pPr>
        <w:pStyle w:val="UZEINormaln"/>
        <w:rPr>
          <w:rFonts w:eastAsia="Calibri"/>
        </w:rPr>
      </w:pPr>
    </w:p>
    <w:p w14:paraId="3F0E3FD3" w14:textId="002F5C55" w:rsidR="00904AE4" w:rsidRDefault="00904AE4" w:rsidP="00D5500F">
      <w:pPr>
        <w:pStyle w:val="UZEINormaln"/>
        <w:rPr>
          <w:rFonts w:eastAsia="Calibri"/>
        </w:rPr>
      </w:pPr>
    </w:p>
    <w:p w14:paraId="33F5D144" w14:textId="7309ABEB" w:rsidR="00904AE4" w:rsidRDefault="00904AE4" w:rsidP="00D5500F">
      <w:pPr>
        <w:pStyle w:val="UZEINormaln"/>
        <w:rPr>
          <w:rFonts w:eastAsia="Calibri"/>
        </w:rPr>
      </w:pPr>
    </w:p>
    <w:p w14:paraId="55153D52" w14:textId="373EAA5D" w:rsidR="00904AE4" w:rsidRDefault="00904AE4" w:rsidP="00D5500F">
      <w:pPr>
        <w:pStyle w:val="UZEINormaln"/>
        <w:rPr>
          <w:rFonts w:eastAsia="Calibri"/>
        </w:rPr>
      </w:pPr>
    </w:p>
    <w:p w14:paraId="7A1A7E5C" w14:textId="61D0C5E4" w:rsidR="00904AE4" w:rsidRDefault="00904AE4" w:rsidP="00D5500F">
      <w:pPr>
        <w:pStyle w:val="UZEINormaln"/>
        <w:rPr>
          <w:rFonts w:eastAsia="Calibri"/>
        </w:rPr>
      </w:pPr>
    </w:p>
    <w:p w14:paraId="2144A6E7" w14:textId="38DE34CC" w:rsidR="00904AE4" w:rsidRDefault="00904AE4" w:rsidP="00D5500F">
      <w:pPr>
        <w:pStyle w:val="UZEINormaln"/>
        <w:rPr>
          <w:rFonts w:eastAsia="Calibri"/>
        </w:rPr>
      </w:pPr>
    </w:p>
    <w:p w14:paraId="3F9C3978" w14:textId="3E1C050A" w:rsidR="00904AE4" w:rsidRDefault="00904AE4" w:rsidP="00D5500F">
      <w:pPr>
        <w:pStyle w:val="UZEINormaln"/>
        <w:rPr>
          <w:rFonts w:eastAsia="Calibri"/>
        </w:rPr>
      </w:pPr>
    </w:p>
    <w:p w14:paraId="53FA18CA" w14:textId="2C1E751B" w:rsidR="00904AE4" w:rsidRDefault="00904AE4" w:rsidP="00D5500F">
      <w:pPr>
        <w:pStyle w:val="UZEINormaln"/>
        <w:rPr>
          <w:rFonts w:eastAsia="Calibri"/>
        </w:rPr>
      </w:pPr>
    </w:p>
    <w:p w14:paraId="277F599D" w14:textId="33026AF7" w:rsidR="00904AE4" w:rsidRDefault="00904AE4" w:rsidP="00D5500F">
      <w:pPr>
        <w:pStyle w:val="UZEINormaln"/>
        <w:rPr>
          <w:rFonts w:eastAsia="Calibri"/>
        </w:rPr>
      </w:pPr>
    </w:p>
    <w:p w14:paraId="7ECE5394" w14:textId="1E8A364A" w:rsidR="00904AE4" w:rsidRDefault="00904AE4" w:rsidP="00D5500F">
      <w:pPr>
        <w:pStyle w:val="UZEINormaln"/>
        <w:rPr>
          <w:rFonts w:eastAsia="Calibri"/>
        </w:rPr>
      </w:pPr>
    </w:p>
    <w:p w14:paraId="3751674F" w14:textId="3153393B" w:rsidR="00904AE4" w:rsidRDefault="00904AE4" w:rsidP="00D5500F">
      <w:pPr>
        <w:pStyle w:val="UZEINormaln"/>
        <w:rPr>
          <w:rFonts w:eastAsia="Calibri"/>
        </w:rPr>
      </w:pPr>
    </w:p>
    <w:p w14:paraId="60C74AD9" w14:textId="77777777" w:rsidR="00904AE4" w:rsidRPr="00D5500F" w:rsidRDefault="00904AE4" w:rsidP="00D5500F">
      <w:pPr>
        <w:pStyle w:val="UZEINormaln"/>
        <w:rPr>
          <w:rFonts w:eastAsia="Calibri"/>
        </w:rPr>
      </w:pPr>
    </w:p>
    <w:p w14:paraId="38B58AE0" w14:textId="3A28590F" w:rsidR="001F7140" w:rsidRDefault="003E0F58" w:rsidP="005D1920">
      <w:pPr>
        <w:pStyle w:val="UZEIZdroj"/>
        <w:keepNext/>
      </w:pPr>
      <w:bookmarkStart w:id="306" w:name="_Toc15309888"/>
      <w:r w:rsidRPr="007C705C">
        <w:rPr>
          <w:noProof/>
          <w:lang w:eastAsia="cs-CZ"/>
        </w:rPr>
        <w:lastRenderedPageBreak/>
        <w:drawing>
          <wp:inline distT="0" distB="0" distL="0" distR="0" wp14:anchorId="5BE08D0F" wp14:editId="50905822">
            <wp:extent cx="5760085" cy="2371452"/>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60085" cy="2371452"/>
                    </a:xfrm>
                    <a:prstGeom prst="rect">
                      <a:avLst/>
                    </a:prstGeom>
                    <a:noFill/>
                    <a:ln>
                      <a:noFill/>
                    </a:ln>
                  </pic:spPr>
                </pic:pic>
              </a:graphicData>
            </a:graphic>
          </wp:inline>
        </w:drawing>
      </w:r>
      <w:r w:rsidRPr="007C705C">
        <w:rPr>
          <w:noProof/>
          <w:sz w:val="22"/>
          <w:lang w:eastAsia="cs-CZ"/>
        </w:rPr>
        <w:drawing>
          <wp:inline distT="0" distB="0" distL="0" distR="0" wp14:anchorId="4C91E877" wp14:editId="14900E73">
            <wp:extent cx="5762625" cy="1704975"/>
            <wp:effectExtent l="0" t="0" r="9525" b="9525"/>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62625" cy="1704975"/>
                    </a:xfrm>
                    <a:prstGeom prst="rect">
                      <a:avLst/>
                    </a:prstGeom>
                    <a:noFill/>
                    <a:ln>
                      <a:noFill/>
                    </a:ln>
                  </pic:spPr>
                </pic:pic>
              </a:graphicData>
            </a:graphic>
          </wp:inline>
        </w:drawing>
      </w:r>
    </w:p>
    <w:p w14:paraId="279D747D" w14:textId="13BB226B" w:rsidR="001F7140" w:rsidRPr="005D1920" w:rsidRDefault="001F7140">
      <w:pPr>
        <w:pStyle w:val="Titulek"/>
        <w:rPr>
          <w:rFonts w:cs="Arial"/>
          <w:bCs w:val="0"/>
          <w:color w:val="000000" w:themeColor="text1"/>
          <w:sz w:val="20"/>
          <w:lang w:eastAsia="cs-CZ"/>
        </w:rPr>
      </w:pPr>
      <w:bookmarkStart w:id="307" w:name="_Toc93583788"/>
      <w:r w:rsidRPr="005D1920">
        <w:rPr>
          <w:rFonts w:cs="Arial"/>
          <w:bCs w:val="0"/>
          <w:color w:val="000000" w:themeColor="text1"/>
          <w:sz w:val="20"/>
          <w:lang w:eastAsia="cs-CZ"/>
        </w:rPr>
        <w:t xml:space="preserve">Obrázek </w:t>
      </w:r>
      <w:r w:rsidRPr="005D1920">
        <w:rPr>
          <w:rFonts w:cs="Arial"/>
          <w:bCs w:val="0"/>
          <w:color w:val="000000" w:themeColor="text1"/>
          <w:sz w:val="20"/>
          <w:lang w:eastAsia="cs-CZ"/>
        </w:rPr>
        <w:fldChar w:fldCharType="begin"/>
      </w:r>
      <w:r w:rsidRPr="005D1920">
        <w:rPr>
          <w:rFonts w:cs="Arial"/>
          <w:bCs w:val="0"/>
          <w:color w:val="000000" w:themeColor="text1"/>
          <w:sz w:val="20"/>
          <w:lang w:eastAsia="cs-CZ"/>
        </w:rPr>
        <w:instrText xml:space="preserve"> SEQ Obrázek \* ARABIC </w:instrText>
      </w:r>
      <w:r w:rsidRPr="005D1920">
        <w:rPr>
          <w:rFonts w:cs="Arial"/>
          <w:bCs w:val="0"/>
          <w:color w:val="000000" w:themeColor="text1"/>
          <w:sz w:val="20"/>
          <w:lang w:eastAsia="cs-CZ"/>
        </w:rPr>
        <w:fldChar w:fldCharType="separate"/>
      </w:r>
      <w:r w:rsidR="000C4C46">
        <w:rPr>
          <w:rFonts w:cs="Arial"/>
          <w:bCs w:val="0"/>
          <w:noProof/>
          <w:color w:val="000000" w:themeColor="text1"/>
          <w:sz w:val="20"/>
          <w:lang w:eastAsia="cs-CZ"/>
        </w:rPr>
        <w:t>5</w:t>
      </w:r>
      <w:r w:rsidRPr="005D1920">
        <w:rPr>
          <w:rFonts w:cs="Arial"/>
          <w:bCs w:val="0"/>
          <w:color w:val="000000" w:themeColor="text1"/>
          <w:sz w:val="20"/>
          <w:lang w:eastAsia="cs-CZ"/>
        </w:rPr>
        <w:fldChar w:fldCharType="end"/>
      </w:r>
      <w:r w:rsidRPr="005D1920">
        <w:rPr>
          <w:rFonts w:cs="Arial"/>
          <w:bCs w:val="0"/>
          <w:color w:val="000000" w:themeColor="text1"/>
          <w:sz w:val="20"/>
          <w:lang w:eastAsia="cs-CZ"/>
        </w:rPr>
        <w:t xml:space="preserve"> Vývoj průměrné hodnoty defoliace pro hlavní dřeviny v porostech nad 60 let a do 60 let)</w:t>
      </w:r>
      <w:bookmarkEnd w:id="307"/>
    </w:p>
    <w:p w14:paraId="3BEB34A8" w14:textId="2BFA344F" w:rsidR="003E0F58" w:rsidRPr="007C705C" w:rsidRDefault="003E0F58" w:rsidP="00D5500F">
      <w:pPr>
        <w:pStyle w:val="UZEIZdroj"/>
      </w:pPr>
      <w:r w:rsidRPr="007C705C">
        <w:t xml:space="preserve"> (zdroj: VÚLHM)</w:t>
      </w:r>
      <w:bookmarkEnd w:id="306"/>
    </w:p>
    <w:p w14:paraId="17EFB5D6" w14:textId="6A06B4C5" w:rsidR="003E0F58" w:rsidRPr="00D5500F" w:rsidRDefault="003E0F58" w:rsidP="00D5500F">
      <w:pPr>
        <w:pStyle w:val="UZEINormaln"/>
        <w:rPr>
          <w:rFonts w:eastAsia="Calibri"/>
        </w:rPr>
      </w:pPr>
      <w:r w:rsidRPr="007C705C">
        <w:rPr>
          <w:rFonts w:eastAsia="Calibri"/>
        </w:rPr>
        <w:t>Příčiny nahodilých těžeb jsou komplexního charakteru. V posledních letech je výrazným faktorem dlouhodobé sucho (přísušky) s poklesem hladiny spodní vody. To vede nejen k poklesu vitality porostů a následně k nárůstu rozvoje podkorního hmyzu zejména ve smrkových a borových porostech, ale také ke snížení ujímavosti sazenic při zalesňování a ke ztrátám před zajištěním kultur. V roce 2019 byly evidovány nahodilé těžby z důvodu poškození suchem ve výši 1,29 mil. m</w:t>
      </w:r>
      <w:r w:rsidRPr="007C705C">
        <w:rPr>
          <w:rFonts w:eastAsia="Calibri"/>
          <w:vertAlign w:val="superscript"/>
        </w:rPr>
        <w:t>3</w:t>
      </w:r>
      <w:r w:rsidRPr="007C705C">
        <w:t xml:space="preserve"> (2018 - 1,62 mil.</w:t>
      </w:r>
      <w:r w:rsidRPr="007C705C">
        <w:rPr>
          <w:rFonts w:eastAsia="Calibri"/>
        </w:rPr>
        <w:t xml:space="preserve"> m</w:t>
      </w:r>
      <w:r w:rsidRPr="007C705C">
        <w:rPr>
          <w:rFonts w:eastAsia="Calibri"/>
          <w:vertAlign w:val="superscript"/>
        </w:rPr>
        <w:t>3</w:t>
      </w:r>
      <w:r w:rsidRPr="007C705C">
        <w:rPr>
          <w:rFonts w:eastAsia="Calibri"/>
        </w:rPr>
        <w:t xml:space="preserve"> (</w:t>
      </w:r>
      <w:r w:rsidRPr="007C705C">
        <w:t xml:space="preserve"> Lubojacký et al. 2020</w:t>
      </w:r>
      <w:r w:rsidRPr="007C705C">
        <w:rPr>
          <w:rFonts w:eastAsia="Calibri"/>
        </w:rPr>
        <w:t>). Výše nahodilých těžeb dle jednotlivých kategorií jsou uvedeny v </w:t>
      </w:r>
      <w:r w:rsidR="00120054">
        <w:rPr>
          <w:rFonts w:eastAsia="Calibri"/>
        </w:rPr>
        <w:fldChar w:fldCharType="begin"/>
      </w:r>
      <w:r w:rsidR="00120054">
        <w:rPr>
          <w:rFonts w:eastAsia="Calibri"/>
        </w:rPr>
        <w:instrText xml:space="preserve"> REF _Ref81748359 \r \h </w:instrText>
      </w:r>
      <w:r w:rsidR="00120054">
        <w:rPr>
          <w:rFonts w:eastAsia="Calibri"/>
        </w:rPr>
      </w:r>
      <w:r w:rsidR="00120054">
        <w:rPr>
          <w:rFonts w:eastAsia="Calibri"/>
        </w:rPr>
        <w:fldChar w:fldCharType="separate"/>
      </w:r>
      <w:r w:rsidR="00120054">
        <w:rPr>
          <w:rFonts w:eastAsia="Calibri"/>
        </w:rPr>
        <w:t>Tabulka 41</w:t>
      </w:r>
      <w:r w:rsidR="00120054">
        <w:rPr>
          <w:rFonts w:eastAsia="Calibri"/>
        </w:rPr>
        <w:fldChar w:fldCharType="end"/>
      </w:r>
      <w:r w:rsidR="001F16AC" w:rsidRPr="002C3E3C">
        <w:rPr>
          <w:rFonts w:eastAsia="Calibri"/>
        </w:rPr>
        <w:t>.</w:t>
      </w:r>
      <w:r w:rsidRPr="002C3E3C">
        <w:rPr>
          <w:rFonts w:eastAsia="Calibri"/>
        </w:rPr>
        <w:t xml:space="preserve"> </w:t>
      </w:r>
    </w:p>
    <w:p w14:paraId="621F8E89" w14:textId="348BD8E8" w:rsidR="003E0F58" w:rsidRPr="007C705C" w:rsidRDefault="003E0F58" w:rsidP="005D1920">
      <w:pPr>
        <w:pStyle w:val="UZEITaB"/>
        <w:keepNext/>
        <w:ind w:left="1134" w:hanging="1134"/>
        <w:rPr>
          <w:rFonts w:eastAsia="Calibri"/>
        </w:rPr>
      </w:pPr>
      <w:bookmarkStart w:id="308" w:name="_Toc15309855"/>
      <w:bookmarkStart w:id="309" w:name="_Toc77245832"/>
      <w:bookmarkStart w:id="310" w:name="_Ref81423997"/>
      <w:bookmarkStart w:id="311" w:name="_Ref81748359"/>
      <w:bookmarkStart w:id="312" w:name="_Toc94181596"/>
      <w:r w:rsidRPr="007C705C">
        <w:rPr>
          <w:rFonts w:eastAsia="Calibri"/>
        </w:rPr>
        <w:lastRenderedPageBreak/>
        <w:t>Objem nahodilých těžeb dle jednotlivých kategorií (zdroj Zprávy a stavu lesa a lesního hospodářství)</w:t>
      </w:r>
      <w:bookmarkEnd w:id="308"/>
      <w:bookmarkEnd w:id="309"/>
      <w:bookmarkEnd w:id="310"/>
      <w:bookmarkEnd w:id="311"/>
      <w:bookmarkEnd w:id="312"/>
    </w:p>
    <w:tbl>
      <w:tblPr>
        <w:tblW w:w="9062" w:type="dxa"/>
        <w:tblInd w:w="567" w:type="dxa"/>
        <w:tblLook w:val="04A0" w:firstRow="1" w:lastRow="0" w:firstColumn="1" w:lastColumn="0" w:noHBand="0" w:noVBand="1"/>
      </w:tblPr>
      <w:tblGrid>
        <w:gridCol w:w="1417"/>
        <w:gridCol w:w="1569"/>
        <w:gridCol w:w="1625"/>
        <w:gridCol w:w="1615"/>
        <w:gridCol w:w="1418"/>
        <w:gridCol w:w="1418"/>
      </w:tblGrid>
      <w:tr w:rsidR="003E0F58" w:rsidRPr="00D5500F" w14:paraId="0FE56134" w14:textId="77777777" w:rsidTr="004D2249">
        <w:tc>
          <w:tcPr>
            <w:tcW w:w="1417" w:type="dxa"/>
            <w:vMerge w:val="restart"/>
            <w:tcBorders>
              <w:top w:val="single" w:sz="4" w:space="0" w:color="auto"/>
              <w:left w:val="nil"/>
              <w:bottom w:val="single" w:sz="4" w:space="0" w:color="auto"/>
              <w:right w:val="nil"/>
            </w:tcBorders>
            <w:vAlign w:val="center"/>
            <w:hideMark/>
          </w:tcPr>
          <w:p w14:paraId="6FABF5A8" w14:textId="77777777" w:rsidR="003E0F58" w:rsidRPr="00D5500F" w:rsidRDefault="003E0F58" w:rsidP="005D1920">
            <w:pPr>
              <w:keepNext/>
              <w:jc w:val="center"/>
              <w:rPr>
                <w:rFonts w:eastAsia="Calibri" w:cs="Times New Roman"/>
                <w:sz w:val="20"/>
                <w:szCs w:val="20"/>
                <w:lang w:val="cs-CZ"/>
              </w:rPr>
            </w:pPr>
            <w:r w:rsidRPr="00D5500F">
              <w:rPr>
                <w:rFonts w:eastAsia="Calibri" w:cs="Times New Roman"/>
                <w:sz w:val="20"/>
                <w:szCs w:val="20"/>
                <w:lang w:val="cs-CZ"/>
              </w:rPr>
              <w:t>Rok</w:t>
            </w:r>
          </w:p>
        </w:tc>
        <w:tc>
          <w:tcPr>
            <w:tcW w:w="7645" w:type="dxa"/>
            <w:gridSpan w:val="5"/>
            <w:tcBorders>
              <w:top w:val="single" w:sz="4" w:space="0" w:color="auto"/>
              <w:left w:val="nil"/>
              <w:bottom w:val="single" w:sz="4" w:space="0" w:color="auto"/>
              <w:right w:val="nil"/>
            </w:tcBorders>
            <w:vAlign w:val="center"/>
            <w:hideMark/>
          </w:tcPr>
          <w:p w14:paraId="32FC30B5" w14:textId="77777777" w:rsidR="003E0F58" w:rsidRPr="00D5500F" w:rsidRDefault="003E0F58" w:rsidP="005D1920">
            <w:pPr>
              <w:keepNext/>
              <w:jc w:val="center"/>
              <w:rPr>
                <w:rFonts w:eastAsia="Calibri" w:cs="Times New Roman"/>
                <w:sz w:val="20"/>
                <w:szCs w:val="20"/>
                <w:lang w:val="cs-CZ"/>
              </w:rPr>
            </w:pPr>
            <w:r w:rsidRPr="00D5500F">
              <w:rPr>
                <w:rFonts w:eastAsia="Calibri" w:cs="Times New Roman"/>
                <w:sz w:val="20"/>
                <w:szCs w:val="20"/>
                <w:lang w:val="cs-CZ"/>
              </w:rPr>
              <w:t>Nahodilá těžba</w:t>
            </w:r>
          </w:p>
        </w:tc>
      </w:tr>
      <w:tr w:rsidR="003E0F58" w:rsidRPr="00D5500F" w14:paraId="471CEEDB" w14:textId="77777777" w:rsidTr="004D2249">
        <w:tc>
          <w:tcPr>
            <w:tcW w:w="0" w:type="auto"/>
            <w:vMerge/>
            <w:tcBorders>
              <w:top w:val="single" w:sz="4" w:space="0" w:color="auto"/>
              <w:left w:val="nil"/>
              <w:bottom w:val="single" w:sz="4" w:space="0" w:color="auto"/>
              <w:right w:val="nil"/>
            </w:tcBorders>
            <w:vAlign w:val="center"/>
            <w:hideMark/>
          </w:tcPr>
          <w:p w14:paraId="6DCECC5F" w14:textId="77777777" w:rsidR="003E0F58" w:rsidRPr="00D5500F" w:rsidRDefault="003E0F58" w:rsidP="005D1920">
            <w:pPr>
              <w:keepNext/>
              <w:jc w:val="left"/>
              <w:rPr>
                <w:rFonts w:eastAsia="Calibri" w:cs="Times New Roman"/>
                <w:sz w:val="20"/>
                <w:szCs w:val="20"/>
                <w:lang w:val="cs-CZ"/>
              </w:rPr>
            </w:pPr>
          </w:p>
        </w:tc>
        <w:tc>
          <w:tcPr>
            <w:tcW w:w="1569" w:type="dxa"/>
            <w:tcBorders>
              <w:top w:val="single" w:sz="4" w:space="0" w:color="auto"/>
              <w:left w:val="nil"/>
              <w:bottom w:val="single" w:sz="4" w:space="0" w:color="auto"/>
              <w:right w:val="nil"/>
            </w:tcBorders>
            <w:vAlign w:val="center"/>
            <w:hideMark/>
          </w:tcPr>
          <w:p w14:paraId="31835977" w14:textId="77777777" w:rsidR="003E0F58" w:rsidRPr="00D5500F" w:rsidRDefault="003E0F58" w:rsidP="005D1920">
            <w:pPr>
              <w:keepNext/>
              <w:jc w:val="center"/>
              <w:rPr>
                <w:rFonts w:eastAsia="Calibri" w:cs="Times New Roman"/>
                <w:sz w:val="20"/>
                <w:szCs w:val="20"/>
                <w:lang w:val="cs-CZ"/>
              </w:rPr>
            </w:pPr>
            <w:r w:rsidRPr="00D5500F">
              <w:rPr>
                <w:rFonts w:eastAsia="Calibri" w:cs="Times New Roman"/>
                <w:sz w:val="20"/>
                <w:szCs w:val="20"/>
                <w:lang w:val="cs-CZ"/>
              </w:rPr>
              <w:t>živelná</w:t>
            </w:r>
          </w:p>
        </w:tc>
        <w:tc>
          <w:tcPr>
            <w:tcW w:w="1625" w:type="dxa"/>
            <w:tcBorders>
              <w:top w:val="single" w:sz="4" w:space="0" w:color="auto"/>
              <w:left w:val="nil"/>
              <w:bottom w:val="single" w:sz="4" w:space="0" w:color="auto"/>
              <w:right w:val="nil"/>
            </w:tcBorders>
            <w:vAlign w:val="center"/>
            <w:hideMark/>
          </w:tcPr>
          <w:p w14:paraId="170BF4F0" w14:textId="77777777" w:rsidR="003E0F58" w:rsidRPr="00D5500F" w:rsidRDefault="003E0F58" w:rsidP="005D1920">
            <w:pPr>
              <w:keepNext/>
              <w:jc w:val="center"/>
              <w:rPr>
                <w:rFonts w:eastAsia="Calibri" w:cs="Times New Roman"/>
                <w:sz w:val="20"/>
                <w:szCs w:val="20"/>
                <w:lang w:val="cs-CZ"/>
              </w:rPr>
            </w:pPr>
            <w:r w:rsidRPr="00D5500F">
              <w:rPr>
                <w:rFonts w:eastAsia="Calibri" w:cs="Times New Roman"/>
                <w:sz w:val="20"/>
                <w:szCs w:val="20"/>
                <w:lang w:val="cs-CZ"/>
              </w:rPr>
              <w:t>exhalační</w:t>
            </w:r>
          </w:p>
        </w:tc>
        <w:tc>
          <w:tcPr>
            <w:tcW w:w="1615" w:type="dxa"/>
            <w:tcBorders>
              <w:top w:val="single" w:sz="4" w:space="0" w:color="auto"/>
              <w:left w:val="nil"/>
              <w:bottom w:val="single" w:sz="4" w:space="0" w:color="auto"/>
              <w:right w:val="nil"/>
            </w:tcBorders>
            <w:vAlign w:val="center"/>
            <w:hideMark/>
          </w:tcPr>
          <w:p w14:paraId="40C05256" w14:textId="77777777" w:rsidR="003E0F58" w:rsidRPr="00D5500F" w:rsidRDefault="003E0F58" w:rsidP="005D1920">
            <w:pPr>
              <w:keepNext/>
              <w:jc w:val="center"/>
              <w:rPr>
                <w:rFonts w:eastAsia="Calibri" w:cs="Times New Roman"/>
                <w:sz w:val="20"/>
                <w:szCs w:val="20"/>
                <w:lang w:val="cs-CZ"/>
              </w:rPr>
            </w:pPr>
            <w:r w:rsidRPr="00D5500F">
              <w:rPr>
                <w:rFonts w:eastAsia="Calibri" w:cs="Times New Roman"/>
                <w:sz w:val="20"/>
                <w:szCs w:val="20"/>
                <w:lang w:val="cs-CZ"/>
              </w:rPr>
              <w:t>Hmyzová</w:t>
            </w:r>
          </w:p>
        </w:tc>
        <w:tc>
          <w:tcPr>
            <w:tcW w:w="1418" w:type="dxa"/>
            <w:tcBorders>
              <w:top w:val="single" w:sz="4" w:space="0" w:color="auto"/>
              <w:left w:val="nil"/>
              <w:bottom w:val="single" w:sz="4" w:space="0" w:color="auto"/>
              <w:right w:val="nil"/>
            </w:tcBorders>
            <w:vAlign w:val="center"/>
            <w:hideMark/>
          </w:tcPr>
          <w:p w14:paraId="2D237B18" w14:textId="77777777" w:rsidR="003E0F58" w:rsidRPr="00D5500F" w:rsidRDefault="003E0F58" w:rsidP="005D1920">
            <w:pPr>
              <w:keepNext/>
              <w:jc w:val="center"/>
              <w:rPr>
                <w:rFonts w:eastAsia="Calibri" w:cs="Times New Roman"/>
                <w:sz w:val="20"/>
                <w:szCs w:val="20"/>
                <w:lang w:val="cs-CZ"/>
              </w:rPr>
            </w:pPr>
            <w:r w:rsidRPr="00D5500F">
              <w:rPr>
                <w:rFonts w:eastAsia="Calibri" w:cs="Times New Roman"/>
                <w:sz w:val="20"/>
                <w:szCs w:val="20"/>
                <w:lang w:val="cs-CZ"/>
              </w:rPr>
              <w:t>ostatní</w:t>
            </w:r>
          </w:p>
        </w:tc>
        <w:tc>
          <w:tcPr>
            <w:tcW w:w="1418" w:type="dxa"/>
            <w:tcBorders>
              <w:top w:val="single" w:sz="4" w:space="0" w:color="auto"/>
              <w:left w:val="nil"/>
              <w:bottom w:val="single" w:sz="4" w:space="0" w:color="auto"/>
              <w:right w:val="nil"/>
            </w:tcBorders>
            <w:vAlign w:val="center"/>
            <w:hideMark/>
          </w:tcPr>
          <w:p w14:paraId="453616FE" w14:textId="77777777" w:rsidR="003E0F58" w:rsidRPr="00D5500F" w:rsidRDefault="003E0F58" w:rsidP="005D1920">
            <w:pPr>
              <w:keepNext/>
              <w:jc w:val="center"/>
              <w:rPr>
                <w:rFonts w:eastAsia="Calibri" w:cs="Times New Roman"/>
                <w:sz w:val="20"/>
                <w:szCs w:val="20"/>
                <w:lang w:val="cs-CZ"/>
              </w:rPr>
            </w:pPr>
            <w:r w:rsidRPr="00D5500F">
              <w:rPr>
                <w:rFonts w:eastAsia="Calibri" w:cs="Times New Roman"/>
                <w:sz w:val="20"/>
                <w:szCs w:val="20"/>
                <w:lang w:val="cs-CZ"/>
              </w:rPr>
              <w:t>celkem</w:t>
            </w:r>
          </w:p>
        </w:tc>
      </w:tr>
      <w:tr w:rsidR="003E0F58" w:rsidRPr="00D5500F" w14:paraId="23CF9E6B" w14:textId="77777777" w:rsidTr="004D2249">
        <w:tc>
          <w:tcPr>
            <w:tcW w:w="0" w:type="auto"/>
            <w:vMerge/>
            <w:tcBorders>
              <w:top w:val="single" w:sz="4" w:space="0" w:color="auto"/>
              <w:left w:val="nil"/>
              <w:bottom w:val="single" w:sz="4" w:space="0" w:color="auto"/>
              <w:right w:val="nil"/>
            </w:tcBorders>
            <w:vAlign w:val="center"/>
            <w:hideMark/>
          </w:tcPr>
          <w:p w14:paraId="3C042691" w14:textId="77777777" w:rsidR="003E0F58" w:rsidRPr="00D5500F" w:rsidRDefault="003E0F58" w:rsidP="005D1920">
            <w:pPr>
              <w:keepNext/>
              <w:jc w:val="left"/>
              <w:rPr>
                <w:rFonts w:eastAsia="Calibri" w:cs="Times New Roman"/>
                <w:sz w:val="20"/>
                <w:szCs w:val="20"/>
                <w:lang w:val="cs-CZ"/>
              </w:rPr>
            </w:pPr>
          </w:p>
        </w:tc>
        <w:tc>
          <w:tcPr>
            <w:tcW w:w="7645" w:type="dxa"/>
            <w:gridSpan w:val="5"/>
            <w:tcBorders>
              <w:top w:val="single" w:sz="4" w:space="0" w:color="auto"/>
              <w:left w:val="nil"/>
              <w:bottom w:val="single" w:sz="4" w:space="0" w:color="auto"/>
              <w:right w:val="nil"/>
            </w:tcBorders>
            <w:vAlign w:val="center"/>
            <w:hideMark/>
          </w:tcPr>
          <w:p w14:paraId="06486ECF" w14:textId="77777777" w:rsidR="003E0F58" w:rsidRPr="00D5500F" w:rsidRDefault="003E0F58" w:rsidP="005D1920">
            <w:pPr>
              <w:keepNext/>
              <w:jc w:val="center"/>
              <w:rPr>
                <w:rFonts w:eastAsia="Calibri" w:cs="Times New Roman"/>
                <w:sz w:val="20"/>
                <w:szCs w:val="20"/>
                <w:lang w:val="cs-CZ"/>
              </w:rPr>
            </w:pPr>
            <w:r w:rsidRPr="00D5500F">
              <w:rPr>
                <w:rFonts w:eastAsia="Calibri" w:cs="Times New Roman"/>
                <w:sz w:val="20"/>
                <w:szCs w:val="20"/>
                <w:lang w:val="cs-CZ"/>
              </w:rPr>
              <w:t>mil. m</w:t>
            </w:r>
            <w:r w:rsidRPr="00D5500F">
              <w:rPr>
                <w:rFonts w:eastAsia="Calibri" w:cs="Times New Roman"/>
                <w:sz w:val="20"/>
                <w:szCs w:val="20"/>
                <w:vertAlign w:val="superscript"/>
                <w:lang w:val="cs-CZ"/>
              </w:rPr>
              <w:t>3</w:t>
            </w:r>
          </w:p>
        </w:tc>
      </w:tr>
      <w:tr w:rsidR="003E0F58" w:rsidRPr="00D5500F" w14:paraId="0A884CB9" w14:textId="77777777" w:rsidTr="004D2249">
        <w:tc>
          <w:tcPr>
            <w:tcW w:w="1417" w:type="dxa"/>
            <w:tcBorders>
              <w:top w:val="single" w:sz="4" w:space="0" w:color="auto"/>
              <w:left w:val="nil"/>
              <w:bottom w:val="nil"/>
              <w:right w:val="nil"/>
            </w:tcBorders>
            <w:hideMark/>
          </w:tcPr>
          <w:p w14:paraId="6EFD3095" w14:textId="77777777" w:rsidR="003E0F58" w:rsidRPr="00D5500F" w:rsidRDefault="003E0F58" w:rsidP="005D1920">
            <w:pPr>
              <w:keepNext/>
              <w:jc w:val="left"/>
              <w:rPr>
                <w:rFonts w:eastAsia="Calibri" w:cs="Times New Roman"/>
                <w:sz w:val="20"/>
                <w:szCs w:val="20"/>
                <w:lang w:val="cs-CZ"/>
              </w:rPr>
            </w:pPr>
            <w:r w:rsidRPr="00D5500F">
              <w:rPr>
                <w:rFonts w:eastAsia="Calibri" w:cs="Times New Roman"/>
                <w:sz w:val="20"/>
                <w:szCs w:val="20"/>
                <w:lang w:val="cs-CZ"/>
              </w:rPr>
              <w:t>2000</w:t>
            </w:r>
          </w:p>
        </w:tc>
        <w:tc>
          <w:tcPr>
            <w:tcW w:w="1569" w:type="dxa"/>
            <w:tcBorders>
              <w:top w:val="single" w:sz="4" w:space="0" w:color="auto"/>
              <w:left w:val="nil"/>
              <w:bottom w:val="nil"/>
              <w:right w:val="nil"/>
            </w:tcBorders>
            <w:hideMark/>
          </w:tcPr>
          <w:p w14:paraId="023DA970"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2,39</w:t>
            </w:r>
          </w:p>
        </w:tc>
        <w:tc>
          <w:tcPr>
            <w:tcW w:w="1625" w:type="dxa"/>
            <w:tcBorders>
              <w:top w:val="single" w:sz="4" w:space="0" w:color="auto"/>
              <w:left w:val="nil"/>
              <w:bottom w:val="nil"/>
              <w:right w:val="nil"/>
            </w:tcBorders>
            <w:hideMark/>
          </w:tcPr>
          <w:p w14:paraId="1299D0FB"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0,08</w:t>
            </w:r>
          </w:p>
        </w:tc>
        <w:tc>
          <w:tcPr>
            <w:tcW w:w="1615" w:type="dxa"/>
            <w:tcBorders>
              <w:top w:val="single" w:sz="4" w:space="0" w:color="auto"/>
              <w:left w:val="nil"/>
              <w:bottom w:val="nil"/>
              <w:right w:val="nil"/>
            </w:tcBorders>
            <w:hideMark/>
          </w:tcPr>
          <w:p w14:paraId="31F2F5DE"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0,32</w:t>
            </w:r>
          </w:p>
        </w:tc>
        <w:tc>
          <w:tcPr>
            <w:tcW w:w="1418" w:type="dxa"/>
            <w:tcBorders>
              <w:top w:val="single" w:sz="4" w:space="0" w:color="auto"/>
              <w:left w:val="nil"/>
              <w:bottom w:val="nil"/>
              <w:right w:val="nil"/>
            </w:tcBorders>
            <w:hideMark/>
          </w:tcPr>
          <w:p w14:paraId="50CF1778"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0,50</w:t>
            </w:r>
          </w:p>
        </w:tc>
        <w:tc>
          <w:tcPr>
            <w:tcW w:w="1418" w:type="dxa"/>
            <w:tcBorders>
              <w:top w:val="single" w:sz="4" w:space="0" w:color="auto"/>
              <w:left w:val="nil"/>
              <w:bottom w:val="nil"/>
              <w:right w:val="nil"/>
            </w:tcBorders>
            <w:hideMark/>
          </w:tcPr>
          <w:p w14:paraId="33C43DEC"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3,29</w:t>
            </w:r>
          </w:p>
        </w:tc>
      </w:tr>
      <w:tr w:rsidR="003E0F58" w:rsidRPr="00D5500F" w14:paraId="6E3375D7" w14:textId="77777777" w:rsidTr="004D2249">
        <w:tc>
          <w:tcPr>
            <w:tcW w:w="1417" w:type="dxa"/>
            <w:hideMark/>
          </w:tcPr>
          <w:p w14:paraId="29F3FB59" w14:textId="77777777" w:rsidR="003E0F58" w:rsidRPr="00D5500F" w:rsidRDefault="003E0F58" w:rsidP="005D1920">
            <w:pPr>
              <w:keepNext/>
              <w:jc w:val="left"/>
              <w:rPr>
                <w:rFonts w:eastAsia="Calibri" w:cs="Times New Roman"/>
                <w:sz w:val="20"/>
                <w:szCs w:val="20"/>
                <w:lang w:val="cs-CZ"/>
              </w:rPr>
            </w:pPr>
            <w:r w:rsidRPr="00D5500F">
              <w:rPr>
                <w:rFonts w:eastAsia="Calibri" w:cs="Times New Roman"/>
                <w:sz w:val="20"/>
                <w:szCs w:val="20"/>
                <w:lang w:val="cs-CZ"/>
              </w:rPr>
              <w:t>2002</w:t>
            </w:r>
          </w:p>
        </w:tc>
        <w:tc>
          <w:tcPr>
            <w:tcW w:w="1569" w:type="dxa"/>
            <w:hideMark/>
          </w:tcPr>
          <w:p w14:paraId="0FFE4A45"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3,38</w:t>
            </w:r>
          </w:p>
        </w:tc>
        <w:tc>
          <w:tcPr>
            <w:tcW w:w="1625" w:type="dxa"/>
            <w:hideMark/>
          </w:tcPr>
          <w:p w14:paraId="2973F0BD"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0,03</w:t>
            </w:r>
          </w:p>
        </w:tc>
        <w:tc>
          <w:tcPr>
            <w:tcW w:w="1615" w:type="dxa"/>
            <w:hideMark/>
          </w:tcPr>
          <w:p w14:paraId="5FE75AED"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0,29</w:t>
            </w:r>
          </w:p>
        </w:tc>
        <w:tc>
          <w:tcPr>
            <w:tcW w:w="1418" w:type="dxa"/>
            <w:hideMark/>
          </w:tcPr>
          <w:p w14:paraId="49980EE3"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0,51</w:t>
            </w:r>
          </w:p>
        </w:tc>
        <w:tc>
          <w:tcPr>
            <w:tcW w:w="1418" w:type="dxa"/>
            <w:hideMark/>
          </w:tcPr>
          <w:p w14:paraId="697FFDAB"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4,21</w:t>
            </w:r>
          </w:p>
        </w:tc>
      </w:tr>
      <w:tr w:rsidR="003E0F58" w:rsidRPr="00D5500F" w14:paraId="09CAFE52" w14:textId="77777777" w:rsidTr="004D2249">
        <w:tc>
          <w:tcPr>
            <w:tcW w:w="1417" w:type="dxa"/>
            <w:hideMark/>
          </w:tcPr>
          <w:p w14:paraId="473CA873" w14:textId="77777777" w:rsidR="003E0F58" w:rsidRPr="00D5500F" w:rsidRDefault="003E0F58" w:rsidP="005D1920">
            <w:pPr>
              <w:keepNext/>
              <w:jc w:val="left"/>
              <w:rPr>
                <w:rFonts w:eastAsia="Calibri" w:cs="Times New Roman"/>
                <w:sz w:val="20"/>
                <w:szCs w:val="20"/>
                <w:lang w:val="cs-CZ"/>
              </w:rPr>
            </w:pPr>
            <w:r w:rsidRPr="00D5500F">
              <w:rPr>
                <w:rFonts w:eastAsia="Calibri" w:cs="Times New Roman"/>
                <w:sz w:val="20"/>
                <w:szCs w:val="20"/>
                <w:lang w:val="cs-CZ"/>
              </w:rPr>
              <w:t>2004</w:t>
            </w:r>
          </w:p>
        </w:tc>
        <w:tc>
          <w:tcPr>
            <w:tcW w:w="1569" w:type="dxa"/>
            <w:hideMark/>
          </w:tcPr>
          <w:p w14:paraId="7D171A9E"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2,76</w:t>
            </w:r>
          </w:p>
        </w:tc>
        <w:tc>
          <w:tcPr>
            <w:tcW w:w="1625" w:type="dxa"/>
            <w:hideMark/>
          </w:tcPr>
          <w:p w14:paraId="7A650D3D"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0,04</w:t>
            </w:r>
          </w:p>
        </w:tc>
        <w:tc>
          <w:tcPr>
            <w:tcW w:w="1615" w:type="dxa"/>
            <w:hideMark/>
          </w:tcPr>
          <w:p w14:paraId="11B9E874"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1,27</w:t>
            </w:r>
          </w:p>
        </w:tc>
        <w:tc>
          <w:tcPr>
            <w:tcW w:w="1418" w:type="dxa"/>
            <w:hideMark/>
          </w:tcPr>
          <w:p w14:paraId="24177765"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1,30</w:t>
            </w:r>
          </w:p>
        </w:tc>
        <w:tc>
          <w:tcPr>
            <w:tcW w:w="1418" w:type="dxa"/>
            <w:hideMark/>
          </w:tcPr>
          <w:p w14:paraId="334C1B95"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5,37</w:t>
            </w:r>
          </w:p>
        </w:tc>
      </w:tr>
      <w:tr w:rsidR="003E0F58" w:rsidRPr="00D5500F" w14:paraId="35080842" w14:textId="77777777" w:rsidTr="004D2249">
        <w:tc>
          <w:tcPr>
            <w:tcW w:w="1417" w:type="dxa"/>
            <w:hideMark/>
          </w:tcPr>
          <w:p w14:paraId="4B8B4570" w14:textId="77777777" w:rsidR="003E0F58" w:rsidRPr="00D5500F" w:rsidRDefault="003E0F58" w:rsidP="005D1920">
            <w:pPr>
              <w:keepNext/>
              <w:jc w:val="left"/>
              <w:rPr>
                <w:rFonts w:eastAsia="Calibri" w:cs="Times New Roman"/>
                <w:sz w:val="20"/>
                <w:szCs w:val="20"/>
                <w:lang w:val="cs-CZ"/>
              </w:rPr>
            </w:pPr>
            <w:r w:rsidRPr="00D5500F">
              <w:rPr>
                <w:rFonts w:eastAsia="Calibri" w:cs="Times New Roman"/>
                <w:sz w:val="20"/>
                <w:szCs w:val="20"/>
                <w:lang w:val="cs-CZ"/>
              </w:rPr>
              <w:t>2006</w:t>
            </w:r>
          </w:p>
        </w:tc>
        <w:tc>
          <w:tcPr>
            <w:tcW w:w="1569" w:type="dxa"/>
            <w:hideMark/>
          </w:tcPr>
          <w:p w14:paraId="38F3B5A0"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5,97</w:t>
            </w:r>
          </w:p>
        </w:tc>
        <w:tc>
          <w:tcPr>
            <w:tcW w:w="1625" w:type="dxa"/>
            <w:hideMark/>
          </w:tcPr>
          <w:p w14:paraId="788B9017"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0,03</w:t>
            </w:r>
          </w:p>
        </w:tc>
        <w:tc>
          <w:tcPr>
            <w:tcW w:w="1615" w:type="dxa"/>
            <w:hideMark/>
          </w:tcPr>
          <w:p w14:paraId="1D23C1D0"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1,14</w:t>
            </w:r>
          </w:p>
        </w:tc>
        <w:tc>
          <w:tcPr>
            <w:tcW w:w="1418" w:type="dxa"/>
            <w:hideMark/>
          </w:tcPr>
          <w:p w14:paraId="7FCEFAFC"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0,89</w:t>
            </w:r>
          </w:p>
        </w:tc>
        <w:tc>
          <w:tcPr>
            <w:tcW w:w="1418" w:type="dxa"/>
            <w:hideMark/>
          </w:tcPr>
          <w:p w14:paraId="427F9F1E"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8,03</w:t>
            </w:r>
          </w:p>
        </w:tc>
      </w:tr>
      <w:tr w:rsidR="003E0F58" w:rsidRPr="00D5500F" w14:paraId="1BBE3DE9" w14:textId="77777777" w:rsidTr="004D2249">
        <w:tc>
          <w:tcPr>
            <w:tcW w:w="1417" w:type="dxa"/>
            <w:hideMark/>
          </w:tcPr>
          <w:p w14:paraId="103194F6" w14:textId="77777777" w:rsidR="003E0F58" w:rsidRPr="00D5500F" w:rsidRDefault="003E0F58" w:rsidP="005D1920">
            <w:pPr>
              <w:keepNext/>
              <w:jc w:val="left"/>
              <w:rPr>
                <w:rFonts w:eastAsia="Calibri" w:cs="Times New Roman"/>
                <w:sz w:val="20"/>
                <w:szCs w:val="20"/>
                <w:lang w:val="cs-CZ"/>
              </w:rPr>
            </w:pPr>
            <w:r w:rsidRPr="00D5500F">
              <w:rPr>
                <w:rFonts w:eastAsia="Calibri" w:cs="Times New Roman"/>
                <w:sz w:val="20"/>
                <w:szCs w:val="20"/>
                <w:lang w:val="cs-CZ"/>
              </w:rPr>
              <w:t>2007</w:t>
            </w:r>
          </w:p>
        </w:tc>
        <w:tc>
          <w:tcPr>
            <w:tcW w:w="1569" w:type="dxa"/>
            <w:hideMark/>
          </w:tcPr>
          <w:p w14:paraId="592C51B2"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12,65</w:t>
            </w:r>
          </w:p>
        </w:tc>
        <w:tc>
          <w:tcPr>
            <w:tcW w:w="1625" w:type="dxa"/>
            <w:hideMark/>
          </w:tcPr>
          <w:p w14:paraId="1446F993"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0,04</w:t>
            </w:r>
          </w:p>
        </w:tc>
        <w:tc>
          <w:tcPr>
            <w:tcW w:w="1615" w:type="dxa"/>
            <w:hideMark/>
          </w:tcPr>
          <w:p w14:paraId="01E14310"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1,56</w:t>
            </w:r>
          </w:p>
        </w:tc>
        <w:tc>
          <w:tcPr>
            <w:tcW w:w="1418" w:type="dxa"/>
            <w:hideMark/>
          </w:tcPr>
          <w:p w14:paraId="39D67B4E"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0,64</w:t>
            </w:r>
          </w:p>
        </w:tc>
        <w:tc>
          <w:tcPr>
            <w:tcW w:w="1418" w:type="dxa"/>
            <w:hideMark/>
          </w:tcPr>
          <w:p w14:paraId="7445258B"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14,89</w:t>
            </w:r>
          </w:p>
        </w:tc>
      </w:tr>
      <w:tr w:rsidR="003E0F58" w:rsidRPr="00D5500F" w14:paraId="431604A2" w14:textId="77777777" w:rsidTr="004D2249">
        <w:tc>
          <w:tcPr>
            <w:tcW w:w="1417" w:type="dxa"/>
            <w:hideMark/>
          </w:tcPr>
          <w:p w14:paraId="6C59C339" w14:textId="77777777" w:rsidR="003E0F58" w:rsidRPr="00D5500F" w:rsidRDefault="003E0F58" w:rsidP="005D1920">
            <w:pPr>
              <w:keepNext/>
              <w:jc w:val="left"/>
              <w:rPr>
                <w:rFonts w:eastAsia="Calibri" w:cs="Times New Roman"/>
                <w:sz w:val="20"/>
                <w:szCs w:val="20"/>
                <w:lang w:val="cs-CZ"/>
              </w:rPr>
            </w:pPr>
            <w:r w:rsidRPr="00D5500F">
              <w:rPr>
                <w:rFonts w:eastAsia="Calibri" w:cs="Times New Roman"/>
                <w:sz w:val="20"/>
                <w:szCs w:val="20"/>
                <w:lang w:val="cs-CZ"/>
              </w:rPr>
              <w:t>2008</w:t>
            </w:r>
          </w:p>
        </w:tc>
        <w:tc>
          <w:tcPr>
            <w:tcW w:w="1569" w:type="dxa"/>
            <w:hideMark/>
          </w:tcPr>
          <w:p w14:paraId="4AA348A8"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7,60</w:t>
            </w:r>
          </w:p>
        </w:tc>
        <w:tc>
          <w:tcPr>
            <w:tcW w:w="1625" w:type="dxa"/>
            <w:hideMark/>
          </w:tcPr>
          <w:p w14:paraId="7527450C"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0,04</w:t>
            </w:r>
          </w:p>
        </w:tc>
        <w:tc>
          <w:tcPr>
            <w:tcW w:w="1615" w:type="dxa"/>
            <w:hideMark/>
          </w:tcPr>
          <w:p w14:paraId="7E90CC66"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2,31</w:t>
            </w:r>
          </w:p>
        </w:tc>
        <w:tc>
          <w:tcPr>
            <w:tcW w:w="1418" w:type="dxa"/>
            <w:hideMark/>
          </w:tcPr>
          <w:p w14:paraId="13FE6CC1"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0,80</w:t>
            </w:r>
          </w:p>
        </w:tc>
        <w:tc>
          <w:tcPr>
            <w:tcW w:w="1418" w:type="dxa"/>
            <w:hideMark/>
          </w:tcPr>
          <w:p w14:paraId="229ED9CB"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10,75</w:t>
            </w:r>
          </w:p>
        </w:tc>
      </w:tr>
      <w:tr w:rsidR="003E0F58" w:rsidRPr="00D5500F" w14:paraId="1503BB3F" w14:textId="77777777" w:rsidTr="004D2249">
        <w:tc>
          <w:tcPr>
            <w:tcW w:w="1417" w:type="dxa"/>
            <w:hideMark/>
          </w:tcPr>
          <w:p w14:paraId="3EBC840F" w14:textId="77777777" w:rsidR="003E0F58" w:rsidRPr="00D5500F" w:rsidRDefault="003E0F58" w:rsidP="005D1920">
            <w:pPr>
              <w:keepNext/>
              <w:jc w:val="left"/>
              <w:rPr>
                <w:rFonts w:eastAsia="Calibri" w:cs="Times New Roman"/>
                <w:sz w:val="20"/>
                <w:szCs w:val="20"/>
                <w:lang w:val="cs-CZ"/>
              </w:rPr>
            </w:pPr>
            <w:r w:rsidRPr="00D5500F">
              <w:rPr>
                <w:rFonts w:eastAsia="Calibri" w:cs="Times New Roman"/>
                <w:sz w:val="20"/>
                <w:szCs w:val="20"/>
                <w:lang w:val="cs-CZ"/>
              </w:rPr>
              <w:t>2009</w:t>
            </w:r>
          </w:p>
        </w:tc>
        <w:tc>
          <w:tcPr>
            <w:tcW w:w="1569" w:type="dxa"/>
            <w:hideMark/>
          </w:tcPr>
          <w:p w14:paraId="6122F8AE"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3,25</w:t>
            </w:r>
          </w:p>
        </w:tc>
        <w:tc>
          <w:tcPr>
            <w:tcW w:w="1625" w:type="dxa"/>
            <w:hideMark/>
          </w:tcPr>
          <w:p w14:paraId="15AB251F"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0,03</w:t>
            </w:r>
          </w:p>
        </w:tc>
        <w:tc>
          <w:tcPr>
            <w:tcW w:w="1615" w:type="dxa"/>
            <w:hideMark/>
          </w:tcPr>
          <w:p w14:paraId="61BBDE0B"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2,62</w:t>
            </w:r>
          </w:p>
        </w:tc>
        <w:tc>
          <w:tcPr>
            <w:tcW w:w="1418" w:type="dxa"/>
            <w:hideMark/>
          </w:tcPr>
          <w:p w14:paraId="7F422648"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0,73</w:t>
            </w:r>
          </w:p>
        </w:tc>
        <w:tc>
          <w:tcPr>
            <w:tcW w:w="1418" w:type="dxa"/>
            <w:hideMark/>
          </w:tcPr>
          <w:p w14:paraId="27C393A4"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6,63</w:t>
            </w:r>
          </w:p>
        </w:tc>
      </w:tr>
      <w:tr w:rsidR="003E0F58" w:rsidRPr="00D5500F" w14:paraId="15A3076A" w14:textId="77777777" w:rsidTr="004D2249">
        <w:tc>
          <w:tcPr>
            <w:tcW w:w="1417" w:type="dxa"/>
            <w:hideMark/>
          </w:tcPr>
          <w:p w14:paraId="4B3309FF" w14:textId="77777777" w:rsidR="003E0F58" w:rsidRPr="00D5500F" w:rsidRDefault="003E0F58" w:rsidP="005D1920">
            <w:pPr>
              <w:keepNext/>
              <w:jc w:val="left"/>
              <w:rPr>
                <w:rFonts w:eastAsia="Calibri" w:cs="Times New Roman"/>
                <w:sz w:val="20"/>
                <w:szCs w:val="20"/>
                <w:lang w:val="cs-CZ"/>
              </w:rPr>
            </w:pPr>
            <w:r w:rsidRPr="00D5500F">
              <w:rPr>
                <w:rFonts w:eastAsia="Calibri" w:cs="Times New Roman"/>
                <w:sz w:val="20"/>
                <w:szCs w:val="20"/>
                <w:lang w:val="cs-CZ"/>
              </w:rPr>
              <w:t>2010</w:t>
            </w:r>
          </w:p>
        </w:tc>
        <w:tc>
          <w:tcPr>
            <w:tcW w:w="1569" w:type="dxa"/>
            <w:hideMark/>
          </w:tcPr>
          <w:p w14:paraId="001358A1"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4,07</w:t>
            </w:r>
          </w:p>
        </w:tc>
        <w:tc>
          <w:tcPr>
            <w:tcW w:w="1625" w:type="dxa"/>
            <w:hideMark/>
          </w:tcPr>
          <w:p w14:paraId="013BB591"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0,03</w:t>
            </w:r>
          </w:p>
        </w:tc>
        <w:tc>
          <w:tcPr>
            <w:tcW w:w="1615" w:type="dxa"/>
            <w:hideMark/>
          </w:tcPr>
          <w:p w14:paraId="6AB11B12"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1,79</w:t>
            </w:r>
          </w:p>
        </w:tc>
        <w:tc>
          <w:tcPr>
            <w:tcW w:w="1418" w:type="dxa"/>
            <w:hideMark/>
          </w:tcPr>
          <w:p w14:paraId="27686D28"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0,57</w:t>
            </w:r>
          </w:p>
        </w:tc>
        <w:tc>
          <w:tcPr>
            <w:tcW w:w="1418" w:type="dxa"/>
            <w:hideMark/>
          </w:tcPr>
          <w:p w14:paraId="6C3057BE"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6,46</w:t>
            </w:r>
          </w:p>
        </w:tc>
      </w:tr>
      <w:tr w:rsidR="003E0F58" w:rsidRPr="00D5500F" w14:paraId="37163A50" w14:textId="77777777" w:rsidTr="004D2249">
        <w:tc>
          <w:tcPr>
            <w:tcW w:w="1417" w:type="dxa"/>
            <w:hideMark/>
          </w:tcPr>
          <w:p w14:paraId="2A603CDC" w14:textId="77777777" w:rsidR="003E0F58" w:rsidRPr="00D5500F" w:rsidRDefault="003E0F58" w:rsidP="005D1920">
            <w:pPr>
              <w:keepNext/>
              <w:jc w:val="left"/>
              <w:rPr>
                <w:rFonts w:eastAsia="Calibri" w:cs="Times New Roman"/>
                <w:sz w:val="20"/>
                <w:szCs w:val="20"/>
                <w:lang w:val="cs-CZ"/>
              </w:rPr>
            </w:pPr>
            <w:r w:rsidRPr="00D5500F">
              <w:rPr>
                <w:rFonts w:eastAsia="Calibri" w:cs="Times New Roman"/>
                <w:sz w:val="20"/>
                <w:szCs w:val="20"/>
                <w:lang w:val="cs-CZ"/>
              </w:rPr>
              <w:t>2011</w:t>
            </w:r>
          </w:p>
        </w:tc>
        <w:tc>
          <w:tcPr>
            <w:tcW w:w="1569" w:type="dxa"/>
            <w:hideMark/>
          </w:tcPr>
          <w:p w14:paraId="490B851C"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2,17</w:t>
            </w:r>
          </w:p>
        </w:tc>
        <w:tc>
          <w:tcPr>
            <w:tcW w:w="1625" w:type="dxa"/>
            <w:hideMark/>
          </w:tcPr>
          <w:p w14:paraId="59FE5E0F"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0,02</w:t>
            </w:r>
          </w:p>
        </w:tc>
        <w:tc>
          <w:tcPr>
            <w:tcW w:w="1615" w:type="dxa"/>
            <w:hideMark/>
          </w:tcPr>
          <w:p w14:paraId="0E6B4BF4"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1,05</w:t>
            </w:r>
          </w:p>
        </w:tc>
        <w:tc>
          <w:tcPr>
            <w:tcW w:w="1418" w:type="dxa"/>
            <w:hideMark/>
          </w:tcPr>
          <w:p w14:paraId="454D95B3"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0,57</w:t>
            </w:r>
          </w:p>
        </w:tc>
        <w:tc>
          <w:tcPr>
            <w:tcW w:w="1418" w:type="dxa"/>
            <w:hideMark/>
          </w:tcPr>
          <w:p w14:paraId="4C74C77F"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3,81</w:t>
            </w:r>
          </w:p>
        </w:tc>
      </w:tr>
      <w:tr w:rsidR="003E0F58" w:rsidRPr="00D5500F" w14:paraId="752A1798" w14:textId="77777777" w:rsidTr="004D2249">
        <w:tc>
          <w:tcPr>
            <w:tcW w:w="1417" w:type="dxa"/>
            <w:hideMark/>
          </w:tcPr>
          <w:p w14:paraId="6AC7ED78" w14:textId="77777777" w:rsidR="003E0F58" w:rsidRPr="00D5500F" w:rsidRDefault="003E0F58" w:rsidP="005D1920">
            <w:pPr>
              <w:keepNext/>
              <w:jc w:val="left"/>
              <w:rPr>
                <w:rFonts w:eastAsia="Calibri" w:cs="Times New Roman"/>
                <w:sz w:val="20"/>
                <w:szCs w:val="20"/>
                <w:lang w:val="cs-CZ"/>
              </w:rPr>
            </w:pPr>
            <w:r w:rsidRPr="00D5500F">
              <w:rPr>
                <w:rFonts w:eastAsia="Calibri" w:cs="Times New Roman"/>
                <w:sz w:val="20"/>
                <w:szCs w:val="20"/>
                <w:lang w:val="cs-CZ"/>
              </w:rPr>
              <w:t>2012</w:t>
            </w:r>
          </w:p>
        </w:tc>
        <w:tc>
          <w:tcPr>
            <w:tcW w:w="1569" w:type="dxa"/>
            <w:hideMark/>
          </w:tcPr>
          <w:p w14:paraId="12EE0FB4"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1,70</w:t>
            </w:r>
          </w:p>
        </w:tc>
        <w:tc>
          <w:tcPr>
            <w:tcW w:w="1625" w:type="dxa"/>
            <w:hideMark/>
          </w:tcPr>
          <w:p w14:paraId="51DD30A6"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0,02</w:t>
            </w:r>
          </w:p>
        </w:tc>
        <w:tc>
          <w:tcPr>
            <w:tcW w:w="1615" w:type="dxa"/>
            <w:hideMark/>
          </w:tcPr>
          <w:p w14:paraId="2DA03C5A"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0,79</w:t>
            </w:r>
          </w:p>
        </w:tc>
        <w:tc>
          <w:tcPr>
            <w:tcW w:w="1418" w:type="dxa"/>
            <w:hideMark/>
          </w:tcPr>
          <w:p w14:paraId="77381FAF"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0,73</w:t>
            </w:r>
          </w:p>
        </w:tc>
        <w:tc>
          <w:tcPr>
            <w:tcW w:w="1418" w:type="dxa"/>
            <w:hideMark/>
          </w:tcPr>
          <w:p w14:paraId="3F24785B"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3,24</w:t>
            </w:r>
          </w:p>
        </w:tc>
      </w:tr>
      <w:tr w:rsidR="003E0F58" w:rsidRPr="00D5500F" w14:paraId="530B46EE" w14:textId="77777777" w:rsidTr="004D2249">
        <w:tc>
          <w:tcPr>
            <w:tcW w:w="1417" w:type="dxa"/>
            <w:hideMark/>
          </w:tcPr>
          <w:p w14:paraId="6AD80892" w14:textId="77777777" w:rsidR="003E0F58" w:rsidRPr="00D5500F" w:rsidRDefault="003E0F58" w:rsidP="005D1920">
            <w:pPr>
              <w:keepNext/>
              <w:jc w:val="left"/>
              <w:rPr>
                <w:rFonts w:eastAsia="Calibri" w:cs="Times New Roman"/>
                <w:sz w:val="20"/>
                <w:szCs w:val="20"/>
                <w:lang w:val="cs-CZ"/>
              </w:rPr>
            </w:pPr>
            <w:r w:rsidRPr="00D5500F">
              <w:rPr>
                <w:rFonts w:eastAsia="Calibri" w:cs="Times New Roman"/>
                <w:sz w:val="20"/>
                <w:szCs w:val="20"/>
                <w:lang w:val="cs-CZ"/>
              </w:rPr>
              <w:t>2013</w:t>
            </w:r>
          </w:p>
        </w:tc>
        <w:tc>
          <w:tcPr>
            <w:tcW w:w="1569" w:type="dxa"/>
            <w:hideMark/>
          </w:tcPr>
          <w:p w14:paraId="7CCDA7AC"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2,50</w:t>
            </w:r>
          </w:p>
        </w:tc>
        <w:tc>
          <w:tcPr>
            <w:tcW w:w="1625" w:type="dxa"/>
            <w:hideMark/>
          </w:tcPr>
          <w:p w14:paraId="78A65B34"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0,03</w:t>
            </w:r>
          </w:p>
        </w:tc>
        <w:tc>
          <w:tcPr>
            <w:tcW w:w="1615" w:type="dxa"/>
            <w:hideMark/>
          </w:tcPr>
          <w:p w14:paraId="2105E57C"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1,21</w:t>
            </w:r>
          </w:p>
        </w:tc>
        <w:tc>
          <w:tcPr>
            <w:tcW w:w="1418" w:type="dxa"/>
            <w:hideMark/>
          </w:tcPr>
          <w:p w14:paraId="7A4188CE"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0,46</w:t>
            </w:r>
          </w:p>
        </w:tc>
        <w:tc>
          <w:tcPr>
            <w:tcW w:w="1418" w:type="dxa"/>
            <w:hideMark/>
          </w:tcPr>
          <w:p w14:paraId="3F2A40F8"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4,20</w:t>
            </w:r>
          </w:p>
        </w:tc>
      </w:tr>
      <w:tr w:rsidR="003E0F58" w:rsidRPr="00D5500F" w14:paraId="14FA1767" w14:textId="77777777" w:rsidTr="004D2249">
        <w:tc>
          <w:tcPr>
            <w:tcW w:w="1417" w:type="dxa"/>
            <w:hideMark/>
          </w:tcPr>
          <w:p w14:paraId="72ACF452" w14:textId="77777777" w:rsidR="003E0F58" w:rsidRPr="00D5500F" w:rsidRDefault="003E0F58" w:rsidP="005D1920">
            <w:pPr>
              <w:keepNext/>
              <w:jc w:val="left"/>
              <w:rPr>
                <w:rFonts w:eastAsia="Calibri" w:cs="Times New Roman"/>
                <w:sz w:val="20"/>
                <w:szCs w:val="20"/>
                <w:lang w:val="cs-CZ"/>
              </w:rPr>
            </w:pPr>
            <w:r w:rsidRPr="00D5500F">
              <w:rPr>
                <w:rFonts w:eastAsia="Calibri" w:cs="Times New Roman"/>
                <w:sz w:val="20"/>
                <w:szCs w:val="20"/>
                <w:lang w:val="cs-CZ"/>
              </w:rPr>
              <w:t>2014</w:t>
            </w:r>
          </w:p>
        </w:tc>
        <w:tc>
          <w:tcPr>
            <w:tcW w:w="1569" w:type="dxa"/>
            <w:hideMark/>
          </w:tcPr>
          <w:p w14:paraId="7025E226"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2,60</w:t>
            </w:r>
          </w:p>
        </w:tc>
        <w:tc>
          <w:tcPr>
            <w:tcW w:w="1625" w:type="dxa"/>
            <w:hideMark/>
          </w:tcPr>
          <w:p w14:paraId="7861CF73"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0,02</w:t>
            </w:r>
          </w:p>
        </w:tc>
        <w:tc>
          <w:tcPr>
            <w:tcW w:w="1615" w:type="dxa"/>
            <w:hideMark/>
          </w:tcPr>
          <w:p w14:paraId="5B607486"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1,31</w:t>
            </w:r>
          </w:p>
        </w:tc>
        <w:tc>
          <w:tcPr>
            <w:tcW w:w="1418" w:type="dxa"/>
            <w:hideMark/>
          </w:tcPr>
          <w:p w14:paraId="1E631B5D"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0,57</w:t>
            </w:r>
          </w:p>
        </w:tc>
        <w:tc>
          <w:tcPr>
            <w:tcW w:w="1418" w:type="dxa"/>
            <w:hideMark/>
          </w:tcPr>
          <w:p w14:paraId="5B1D7ABA"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4,50</w:t>
            </w:r>
          </w:p>
        </w:tc>
      </w:tr>
      <w:tr w:rsidR="003E0F58" w:rsidRPr="00D5500F" w14:paraId="198DE17B" w14:textId="77777777" w:rsidTr="004D2249">
        <w:tc>
          <w:tcPr>
            <w:tcW w:w="1417" w:type="dxa"/>
            <w:hideMark/>
          </w:tcPr>
          <w:p w14:paraId="5960781F" w14:textId="77777777" w:rsidR="003E0F58" w:rsidRPr="00D5500F" w:rsidRDefault="003E0F58" w:rsidP="005D1920">
            <w:pPr>
              <w:keepNext/>
              <w:jc w:val="left"/>
              <w:rPr>
                <w:rFonts w:eastAsia="Calibri" w:cs="Times New Roman"/>
                <w:sz w:val="20"/>
                <w:szCs w:val="20"/>
                <w:lang w:val="cs-CZ"/>
              </w:rPr>
            </w:pPr>
            <w:r w:rsidRPr="00D5500F">
              <w:rPr>
                <w:rFonts w:eastAsia="Calibri" w:cs="Times New Roman"/>
                <w:sz w:val="20"/>
                <w:szCs w:val="20"/>
                <w:lang w:val="cs-CZ"/>
              </w:rPr>
              <w:t>2015</w:t>
            </w:r>
          </w:p>
        </w:tc>
        <w:tc>
          <w:tcPr>
            <w:tcW w:w="1569" w:type="dxa"/>
            <w:hideMark/>
          </w:tcPr>
          <w:p w14:paraId="64ED35D2"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4,39</w:t>
            </w:r>
          </w:p>
        </w:tc>
        <w:tc>
          <w:tcPr>
            <w:tcW w:w="1625" w:type="dxa"/>
            <w:hideMark/>
          </w:tcPr>
          <w:p w14:paraId="7B369D17"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0,02</w:t>
            </w:r>
          </w:p>
        </w:tc>
        <w:tc>
          <w:tcPr>
            <w:tcW w:w="1615" w:type="dxa"/>
            <w:hideMark/>
          </w:tcPr>
          <w:p w14:paraId="79357975"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2,31</w:t>
            </w:r>
          </w:p>
        </w:tc>
        <w:tc>
          <w:tcPr>
            <w:tcW w:w="1418" w:type="dxa"/>
            <w:hideMark/>
          </w:tcPr>
          <w:p w14:paraId="13817252"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1,43</w:t>
            </w:r>
          </w:p>
        </w:tc>
        <w:tc>
          <w:tcPr>
            <w:tcW w:w="1418" w:type="dxa"/>
            <w:hideMark/>
          </w:tcPr>
          <w:p w14:paraId="680B6E28"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8,15</w:t>
            </w:r>
          </w:p>
        </w:tc>
      </w:tr>
      <w:tr w:rsidR="003E0F58" w:rsidRPr="00D5500F" w14:paraId="3CEB7F5F" w14:textId="77777777" w:rsidTr="004D2249">
        <w:tc>
          <w:tcPr>
            <w:tcW w:w="1417" w:type="dxa"/>
            <w:hideMark/>
          </w:tcPr>
          <w:p w14:paraId="730FE334" w14:textId="77777777" w:rsidR="003E0F58" w:rsidRPr="00D5500F" w:rsidRDefault="003E0F58" w:rsidP="005D1920">
            <w:pPr>
              <w:keepNext/>
              <w:jc w:val="left"/>
              <w:rPr>
                <w:rFonts w:eastAsia="Calibri" w:cs="Times New Roman"/>
                <w:sz w:val="20"/>
                <w:szCs w:val="20"/>
                <w:lang w:val="cs-CZ"/>
              </w:rPr>
            </w:pPr>
            <w:r w:rsidRPr="00D5500F">
              <w:rPr>
                <w:rFonts w:eastAsia="Calibri" w:cs="Times New Roman"/>
                <w:sz w:val="20"/>
                <w:szCs w:val="20"/>
                <w:lang w:val="cs-CZ"/>
              </w:rPr>
              <w:t>2016</w:t>
            </w:r>
          </w:p>
        </w:tc>
        <w:tc>
          <w:tcPr>
            <w:tcW w:w="1569" w:type="dxa"/>
            <w:hideMark/>
          </w:tcPr>
          <w:p w14:paraId="438C3295"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2,64</w:t>
            </w:r>
          </w:p>
        </w:tc>
        <w:tc>
          <w:tcPr>
            <w:tcW w:w="1625" w:type="dxa"/>
            <w:hideMark/>
          </w:tcPr>
          <w:p w14:paraId="747D5F28"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0,03</w:t>
            </w:r>
          </w:p>
        </w:tc>
        <w:tc>
          <w:tcPr>
            <w:tcW w:w="1615" w:type="dxa"/>
            <w:hideMark/>
          </w:tcPr>
          <w:p w14:paraId="08B88A5B"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4,42</w:t>
            </w:r>
          </w:p>
        </w:tc>
        <w:tc>
          <w:tcPr>
            <w:tcW w:w="1418" w:type="dxa"/>
            <w:hideMark/>
          </w:tcPr>
          <w:p w14:paraId="2AA06C3F"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2,31</w:t>
            </w:r>
          </w:p>
        </w:tc>
        <w:tc>
          <w:tcPr>
            <w:tcW w:w="1418" w:type="dxa"/>
            <w:hideMark/>
          </w:tcPr>
          <w:p w14:paraId="676586A6" w14:textId="77777777" w:rsidR="003E0F58" w:rsidRPr="00D5500F" w:rsidRDefault="003E0F58" w:rsidP="005D1920">
            <w:pPr>
              <w:keepNext/>
              <w:jc w:val="right"/>
              <w:rPr>
                <w:rFonts w:eastAsia="Calibri" w:cs="Times New Roman"/>
                <w:sz w:val="20"/>
                <w:szCs w:val="20"/>
                <w:lang w:val="cs-CZ"/>
              </w:rPr>
            </w:pPr>
            <w:r w:rsidRPr="00D5500F">
              <w:rPr>
                <w:rFonts w:eastAsia="Calibri" w:cs="Times New Roman"/>
                <w:sz w:val="20"/>
                <w:szCs w:val="20"/>
                <w:lang w:val="cs-CZ"/>
              </w:rPr>
              <w:t>9,4</w:t>
            </w:r>
          </w:p>
        </w:tc>
      </w:tr>
      <w:tr w:rsidR="003E0F58" w:rsidRPr="00D5500F" w14:paraId="2A0AA631" w14:textId="77777777" w:rsidTr="004D2249">
        <w:tc>
          <w:tcPr>
            <w:tcW w:w="1417" w:type="dxa"/>
            <w:tcBorders>
              <w:top w:val="nil"/>
              <w:left w:val="nil"/>
              <w:bottom w:val="nil"/>
              <w:right w:val="nil"/>
            </w:tcBorders>
            <w:hideMark/>
          </w:tcPr>
          <w:p w14:paraId="31823D06" w14:textId="77777777" w:rsidR="003E0F58" w:rsidRPr="00D5500F" w:rsidRDefault="003E0F58" w:rsidP="004D2249">
            <w:pPr>
              <w:jc w:val="left"/>
              <w:rPr>
                <w:rFonts w:eastAsia="Calibri" w:cs="Times New Roman"/>
                <w:sz w:val="20"/>
                <w:szCs w:val="20"/>
                <w:lang w:val="cs-CZ"/>
              </w:rPr>
            </w:pPr>
            <w:r w:rsidRPr="00D5500F">
              <w:rPr>
                <w:rFonts w:eastAsia="Calibri" w:cs="Times New Roman"/>
                <w:sz w:val="20"/>
                <w:szCs w:val="20"/>
                <w:lang w:val="cs-CZ"/>
              </w:rPr>
              <w:t>2017</w:t>
            </w:r>
          </w:p>
          <w:p w14:paraId="6C6BDD07" w14:textId="77777777" w:rsidR="003E0F58" w:rsidRPr="00D5500F" w:rsidRDefault="003E0F58" w:rsidP="004D2249">
            <w:pPr>
              <w:jc w:val="left"/>
              <w:rPr>
                <w:rFonts w:eastAsia="Calibri" w:cs="Times New Roman"/>
                <w:sz w:val="20"/>
                <w:szCs w:val="20"/>
                <w:lang w:val="cs-CZ"/>
              </w:rPr>
            </w:pPr>
            <w:r w:rsidRPr="00D5500F">
              <w:rPr>
                <w:rFonts w:eastAsia="Calibri" w:cs="Times New Roman"/>
                <w:sz w:val="20"/>
                <w:szCs w:val="20"/>
                <w:lang w:val="cs-CZ"/>
              </w:rPr>
              <w:t>2018</w:t>
            </w:r>
          </w:p>
        </w:tc>
        <w:tc>
          <w:tcPr>
            <w:tcW w:w="1569" w:type="dxa"/>
            <w:tcBorders>
              <w:top w:val="nil"/>
              <w:left w:val="nil"/>
              <w:bottom w:val="nil"/>
              <w:right w:val="nil"/>
            </w:tcBorders>
            <w:hideMark/>
          </w:tcPr>
          <w:p w14:paraId="010B4B2F"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4,35</w:t>
            </w:r>
          </w:p>
          <w:p w14:paraId="29500472"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8,38</w:t>
            </w:r>
          </w:p>
        </w:tc>
        <w:tc>
          <w:tcPr>
            <w:tcW w:w="1625" w:type="dxa"/>
            <w:tcBorders>
              <w:top w:val="nil"/>
              <w:left w:val="nil"/>
              <w:bottom w:val="nil"/>
              <w:right w:val="nil"/>
            </w:tcBorders>
            <w:hideMark/>
          </w:tcPr>
          <w:p w14:paraId="7DC74FFF"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0,02</w:t>
            </w:r>
          </w:p>
          <w:p w14:paraId="6254D306"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0,02</w:t>
            </w:r>
          </w:p>
        </w:tc>
        <w:tc>
          <w:tcPr>
            <w:tcW w:w="1615" w:type="dxa"/>
            <w:tcBorders>
              <w:top w:val="nil"/>
              <w:left w:val="nil"/>
              <w:bottom w:val="nil"/>
              <w:right w:val="nil"/>
            </w:tcBorders>
            <w:hideMark/>
          </w:tcPr>
          <w:p w14:paraId="6B306644"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5,85</w:t>
            </w:r>
          </w:p>
          <w:p w14:paraId="3AD03DC8"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13,06</w:t>
            </w:r>
          </w:p>
        </w:tc>
        <w:tc>
          <w:tcPr>
            <w:tcW w:w="1418" w:type="dxa"/>
            <w:tcBorders>
              <w:top w:val="nil"/>
              <w:left w:val="nil"/>
              <w:bottom w:val="nil"/>
              <w:right w:val="nil"/>
            </w:tcBorders>
            <w:hideMark/>
          </w:tcPr>
          <w:p w14:paraId="61DEFDE4"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1,520</w:t>
            </w:r>
          </w:p>
          <w:p w14:paraId="42BF04AC"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1,55</w:t>
            </w:r>
          </w:p>
        </w:tc>
        <w:tc>
          <w:tcPr>
            <w:tcW w:w="1418" w:type="dxa"/>
            <w:tcBorders>
              <w:top w:val="nil"/>
              <w:left w:val="nil"/>
              <w:bottom w:val="nil"/>
              <w:right w:val="nil"/>
            </w:tcBorders>
            <w:hideMark/>
          </w:tcPr>
          <w:p w14:paraId="35230317"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11,74</w:t>
            </w:r>
          </w:p>
          <w:p w14:paraId="1B3A6392"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23,01</w:t>
            </w:r>
          </w:p>
        </w:tc>
      </w:tr>
      <w:tr w:rsidR="003E0F58" w:rsidRPr="00D5500F" w14:paraId="5C4B8B2C" w14:textId="77777777" w:rsidTr="004D2249">
        <w:tc>
          <w:tcPr>
            <w:tcW w:w="1417" w:type="dxa"/>
            <w:tcBorders>
              <w:top w:val="nil"/>
              <w:left w:val="nil"/>
              <w:bottom w:val="single" w:sz="4" w:space="0" w:color="auto"/>
              <w:right w:val="nil"/>
            </w:tcBorders>
          </w:tcPr>
          <w:p w14:paraId="75966A95" w14:textId="77777777" w:rsidR="003E0F58" w:rsidRPr="00D5500F" w:rsidRDefault="003E0F58" w:rsidP="004D2249">
            <w:pPr>
              <w:jc w:val="left"/>
              <w:rPr>
                <w:rFonts w:eastAsia="Calibri" w:cs="Times New Roman"/>
                <w:sz w:val="20"/>
                <w:szCs w:val="20"/>
                <w:lang w:val="cs-CZ"/>
              </w:rPr>
            </w:pPr>
            <w:r w:rsidRPr="00D5500F">
              <w:rPr>
                <w:rFonts w:eastAsia="Calibri" w:cs="Times New Roman"/>
                <w:sz w:val="20"/>
                <w:szCs w:val="20"/>
                <w:lang w:val="cs-CZ"/>
              </w:rPr>
              <w:t>2019</w:t>
            </w:r>
          </w:p>
        </w:tc>
        <w:tc>
          <w:tcPr>
            <w:tcW w:w="1569" w:type="dxa"/>
            <w:tcBorders>
              <w:top w:val="nil"/>
              <w:left w:val="nil"/>
              <w:bottom w:val="single" w:sz="4" w:space="0" w:color="auto"/>
              <w:right w:val="nil"/>
            </w:tcBorders>
          </w:tcPr>
          <w:p w14:paraId="2683CC98"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6,29</w:t>
            </w:r>
          </w:p>
        </w:tc>
        <w:tc>
          <w:tcPr>
            <w:tcW w:w="1625" w:type="dxa"/>
            <w:tcBorders>
              <w:top w:val="nil"/>
              <w:left w:val="nil"/>
              <w:bottom w:val="single" w:sz="4" w:space="0" w:color="auto"/>
              <w:right w:val="nil"/>
            </w:tcBorders>
          </w:tcPr>
          <w:p w14:paraId="294C9D71"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0,02</w:t>
            </w:r>
          </w:p>
        </w:tc>
        <w:tc>
          <w:tcPr>
            <w:tcW w:w="1615" w:type="dxa"/>
            <w:tcBorders>
              <w:top w:val="nil"/>
              <w:left w:val="nil"/>
              <w:bottom w:val="single" w:sz="4" w:space="0" w:color="auto"/>
              <w:right w:val="nil"/>
            </w:tcBorders>
          </w:tcPr>
          <w:p w14:paraId="7B40B0B1"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20,88</w:t>
            </w:r>
          </w:p>
        </w:tc>
        <w:tc>
          <w:tcPr>
            <w:tcW w:w="1418" w:type="dxa"/>
            <w:tcBorders>
              <w:top w:val="nil"/>
              <w:left w:val="nil"/>
              <w:bottom w:val="single" w:sz="4" w:space="0" w:color="auto"/>
              <w:right w:val="nil"/>
            </w:tcBorders>
          </w:tcPr>
          <w:p w14:paraId="7BC782CA" w14:textId="77777777" w:rsidR="003E0F58" w:rsidRPr="00D5500F" w:rsidDel="00012F37" w:rsidRDefault="003E0F58" w:rsidP="004D2249">
            <w:pPr>
              <w:jc w:val="right"/>
              <w:rPr>
                <w:rFonts w:eastAsia="Calibri" w:cs="Times New Roman"/>
                <w:sz w:val="20"/>
                <w:szCs w:val="20"/>
                <w:lang w:val="cs-CZ"/>
              </w:rPr>
            </w:pPr>
            <w:r w:rsidRPr="00D5500F">
              <w:rPr>
                <w:rFonts w:eastAsia="Calibri" w:cs="Times New Roman"/>
                <w:sz w:val="20"/>
                <w:szCs w:val="20"/>
                <w:lang w:val="cs-CZ"/>
              </w:rPr>
              <w:t>0,38</w:t>
            </w:r>
          </w:p>
        </w:tc>
        <w:tc>
          <w:tcPr>
            <w:tcW w:w="1418" w:type="dxa"/>
            <w:tcBorders>
              <w:top w:val="nil"/>
              <w:left w:val="nil"/>
              <w:bottom w:val="single" w:sz="4" w:space="0" w:color="auto"/>
              <w:right w:val="nil"/>
            </w:tcBorders>
          </w:tcPr>
          <w:p w14:paraId="2FF16F67"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27,57</w:t>
            </w:r>
          </w:p>
        </w:tc>
      </w:tr>
      <w:tr w:rsidR="003E0F58" w:rsidRPr="00D5500F" w14:paraId="28296AA9" w14:textId="77777777" w:rsidTr="004D2249">
        <w:tc>
          <w:tcPr>
            <w:tcW w:w="1417" w:type="dxa"/>
            <w:vMerge w:val="restart"/>
            <w:tcBorders>
              <w:top w:val="single" w:sz="4" w:space="0" w:color="auto"/>
              <w:left w:val="nil"/>
              <w:bottom w:val="single" w:sz="4" w:space="0" w:color="auto"/>
              <w:right w:val="nil"/>
            </w:tcBorders>
            <w:vAlign w:val="center"/>
            <w:hideMark/>
          </w:tcPr>
          <w:p w14:paraId="5926FF22" w14:textId="77777777" w:rsidR="003E0F58" w:rsidRPr="00D5500F" w:rsidRDefault="003E0F58" w:rsidP="004D2249">
            <w:pPr>
              <w:jc w:val="center"/>
              <w:rPr>
                <w:rFonts w:eastAsia="Calibri" w:cs="Times New Roman"/>
                <w:sz w:val="20"/>
                <w:szCs w:val="20"/>
                <w:lang w:val="cs-CZ"/>
              </w:rPr>
            </w:pPr>
            <w:r w:rsidRPr="00D5500F">
              <w:rPr>
                <w:rFonts w:eastAsia="Calibri" w:cs="Times New Roman"/>
                <w:sz w:val="20"/>
                <w:szCs w:val="20"/>
                <w:lang w:val="cs-CZ"/>
              </w:rPr>
              <w:t>Rok</w:t>
            </w:r>
          </w:p>
        </w:tc>
        <w:tc>
          <w:tcPr>
            <w:tcW w:w="7645" w:type="dxa"/>
            <w:gridSpan w:val="5"/>
            <w:tcBorders>
              <w:top w:val="single" w:sz="4" w:space="0" w:color="auto"/>
              <w:left w:val="nil"/>
              <w:bottom w:val="single" w:sz="4" w:space="0" w:color="auto"/>
              <w:right w:val="nil"/>
            </w:tcBorders>
            <w:vAlign w:val="center"/>
            <w:hideMark/>
          </w:tcPr>
          <w:p w14:paraId="4816A79F" w14:textId="77777777" w:rsidR="003E0F58" w:rsidRPr="00D5500F" w:rsidRDefault="003E0F58" w:rsidP="004D2249">
            <w:pPr>
              <w:jc w:val="center"/>
              <w:rPr>
                <w:rFonts w:eastAsia="Calibri" w:cs="Times New Roman"/>
                <w:sz w:val="20"/>
                <w:szCs w:val="20"/>
                <w:lang w:val="cs-CZ"/>
              </w:rPr>
            </w:pPr>
            <w:r w:rsidRPr="00D5500F">
              <w:rPr>
                <w:rFonts w:eastAsia="Calibri" w:cs="Times New Roman"/>
                <w:sz w:val="20"/>
                <w:szCs w:val="20"/>
                <w:lang w:val="cs-CZ"/>
              </w:rPr>
              <w:t>Nahodilá těžba</w:t>
            </w:r>
          </w:p>
        </w:tc>
      </w:tr>
      <w:tr w:rsidR="003E0F58" w:rsidRPr="00D5500F" w14:paraId="086DC283" w14:textId="77777777" w:rsidTr="004D2249">
        <w:tc>
          <w:tcPr>
            <w:tcW w:w="0" w:type="auto"/>
            <w:vMerge/>
            <w:tcBorders>
              <w:top w:val="single" w:sz="4" w:space="0" w:color="auto"/>
              <w:left w:val="nil"/>
              <w:bottom w:val="single" w:sz="4" w:space="0" w:color="auto"/>
              <w:right w:val="nil"/>
            </w:tcBorders>
            <w:vAlign w:val="center"/>
            <w:hideMark/>
          </w:tcPr>
          <w:p w14:paraId="57ED9E73" w14:textId="77777777" w:rsidR="003E0F58" w:rsidRPr="00D5500F" w:rsidRDefault="003E0F58" w:rsidP="004D2249">
            <w:pPr>
              <w:jc w:val="left"/>
              <w:rPr>
                <w:rFonts w:eastAsia="Calibri" w:cs="Times New Roman"/>
                <w:sz w:val="20"/>
                <w:szCs w:val="20"/>
                <w:lang w:val="cs-CZ"/>
              </w:rPr>
            </w:pPr>
          </w:p>
        </w:tc>
        <w:tc>
          <w:tcPr>
            <w:tcW w:w="1569" w:type="dxa"/>
            <w:tcBorders>
              <w:top w:val="single" w:sz="4" w:space="0" w:color="auto"/>
              <w:left w:val="nil"/>
              <w:bottom w:val="single" w:sz="4" w:space="0" w:color="auto"/>
              <w:right w:val="nil"/>
            </w:tcBorders>
            <w:vAlign w:val="center"/>
            <w:hideMark/>
          </w:tcPr>
          <w:p w14:paraId="51E47F70" w14:textId="77777777" w:rsidR="003E0F58" w:rsidRPr="00D5500F" w:rsidRDefault="003E0F58" w:rsidP="004D2249">
            <w:pPr>
              <w:jc w:val="center"/>
              <w:rPr>
                <w:rFonts w:eastAsia="Calibri" w:cs="Times New Roman"/>
                <w:sz w:val="20"/>
                <w:szCs w:val="20"/>
                <w:lang w:val="cs-CZ"/>
              </w:rPr>
            </w:pPr>
            <w:r w:rsidRPr="00D5500F">
              <w:rPr>
                <w:rFonts w:eastAsia="Calibri" w:cs="Times New Roman"/>
                <w:sz w:val="20"/>
                <w:szCs w:val="20"/>
                <w:lang w:val="cs-CZ"/>
              </w:rPr>
              <w:t>živelná</w:t>
            </w:r>
          </w:p>
        </w:tc>
        <w:tc>
          <w:tcPr>
            <w:tcW w:w="1625" w:type="dxa"/>
            <w:tcBorders>
              <w:top w:val="single" w:sz="4" w:space="0" w:color="auto"/>
              <w:left w:val="nil"/>
              <w:bottom w:val="single" w:sz="4" w:space="0" w:color="auto"/>
              <w:right w:val="nil"/>
            </w:tcBorders>
            <w:vAlign w:val="center"/>
            <w:hideMark/>
          </w:tcPr>
          <w:p w14:paraId="45F9C77A" w14:textId="77777777" w:rsidR="003E0F58" w:rsidRPr="00D5500F" w:rsidRDefault="003E0F58" w:rsidP="004D2249">
            <w:pPr>
              <w:jc w:val="center"/>
              <w:rPr>
                <w:rFonts w:eastAsia="Calibri" w:cs="Times New Roman"/>
                <w:sz w:val="20"/>
                <w:szCs w:val="20"/>
                <w:lang w:val="cs-CZ"/>
              </w:rPr>
            </w:pPr>
            <w:r w:rsidRPr="00D5500F">
              <w:rPr>
                <w:rFonts w:eastAsia="Calibri" w:cs="Times New Roman"/>
                <w:sz w:val="20"/>
                <w:szCs w:val="20"/>
                <w:lang w:val="cs-CZ"/>
              </w:rPr>
              <w:t>exhalační</w:t>
            </w:r>
          </w:p>
        </w:tc>
        <w:tc>
          <w:tcPr>
            <w:tcW w:w="1615" w:type="dxa"/>
            <w:tcBorders>
              <w:top w:val="single" w:sz="4" w:space="0" w:color="auto"/>
              <w:left w:val="nil"/>
              <w:bottom w:val="single" w:sz="4" w:space="0" w:color="auto"/>
              <w:right w:val="nil"/>
            </w:tcBorders>
            <w:vAlign w:val="center"/>
            <w:hideMark/>
          </w:tcPr>
          <w:p w14:paraId="1A665A5B" w14:textId="77777777" w:rsidR="003E0F58" w:rsidRPr="00D5500F" w:rsidRDefault="003E0F58" w:rsidP="004D2249">
            <w:pPr>
              <w:jc w:val="center"/>
              <w:rPr>
                <w:rFonts w:eastAsia="Calibri" w:cs="Times New Roman"/>
                <w:sz w:val="20"/>
                <w:szCs w:val="20"/>
                <w:lang w:val="cs-CZ"/>
              </w:rPr>
            </w:pPr>
            <w:r w:rsidRPr="00D5500F">
              <w:rPr>
                <w:rFonts w:eastAsia="Calibri" w:cs="Times New Roman"/>
                <w:sz w:val="20"/>
                <w:szCs w:val="20"/>
                <w:lang w:val="cs-CZ"/>
              </w:rPr>
              <w:t>Hmyzová</w:t>
            </w:r>
          </w:p>
        </w:tc>
        <w:tc>
          <w:tcPr>
            <w:tcW w:w="1418" w:type="dxa"/>
            <w:tcBorders>
              <w:top w:val="single" w:sz="4" w:space="0" w:color="auto"/>
              <w:left w:val="nil"/>
              <w:bottom w:val="single" w:sz="4" w:space="0" w:color="auto"/>
              <w:right w:val="nil"/>
            </w:tcBorders>
            <w:vAlign w:val="center"/>
            <w:hideMark/>
          </w:tcPr>
          <w:p w14:paraId="63A51006" w14:textId="77777777" w:rsidR="003E0F58" w:rsidRPr="00D5500F" w:rsidRDefault="003E0F58" w:rsidP="004D2249">
            <w:pPr>
              <w:jc w:val="center"/>
              <w:rPr>
                <w:rFonts w:eastAsia="Calibri" w:cs="Times New Roman"/>
                <w:sz w:val="20"/>
                <w:szCs w:val="20"/>
                <w:lang w:val="cs-CZ"/>
              </w:rPr>
            </w:pPr>
            <w:r w:rsidRPr="00D5500F">
              <w:rPr>
                <w:rFonts w:eastAsia="Calibri" w:cs="Times New Roman"/>
                <w:sz w:val="20"/>
                <w:szCs w:val="20"/>
                <w:lang w:val="cs-CZ"/>
              </w:rPr>
              <w:t>ostatní</w:t>
            </w:r>
          </w:p>
        </w:tc>
        <w:tc>
          <w:tcPr>
            <w:tcW w:w="1418" w:type="dxa"/>
            <w:tcBorders>
              <w:top w:val="single" w:sz="4" w:space="0" w:color="auto"/>
              <w:left w:val="nil"/>
              <w:bottom w:val="single" w:sz="4" w:space="0" w:color="auto"/>
              <w:right w:val="nil"/>
            </w:tcBorders>
            <w:vAlign w:val="center"/>
            <w:hideMark/>
          </w:tcPr>
          <w:p w14:paraId="4E64B482" w14:textId="77777777" w:rsidR="003E0F58" w:rsidRPr="00D5500F" w:rsidRDefault="003E0F58" w:rsidP="004D2249">
            <w:pPr>
              <w:jc w:val="center"/>
              <w:rPr>
                <w:rFonts w:eastAsia="Calibri" w:cs="Times New Roman"/>
                <w:sz w:val="20"/>
                <w:szCs w:val="20"/>
                <w:lang w:val="cs-CZ"/>
              </w:rPr>
            </w:pPr>
            <w:r w:rsidRPr="00D5500F">
              <w:rPr>
                <w:rFonts w:eastAsia="Calibri" w:cs="Times New Roman"/>
                <w:sz w:val="20"/>
                <w:szCs w:val="20"/>
                <w:lang w:val="cs-CZ"/>
              </w:rPr>
              <w:t>celkem</w:t>
            </w:r>
          </w:p>
        </w:tc>
      </w:tr>
      <w:tr w:rsidR="003E0F58" w:rsidRPr="00D5500F" w14:paraId="2D799A8F" w14:textId="77777777" w:rsidTr="004D2249">
        <w:tc>
          <w:tcPr>
            <w:tcW w:w="0" w:type="auto"/>
            <w:vMerge/>
            <w:tcBorders>
              <w:top w:val="single" w:sz="4" w:space="0" w:color="auto"/>
              <w:left w:val="nil"/>
              <w:bottom w:val="single" w:sz="4" w:space="0" w:color="auto"/>
              <w:right w:val="nil"/>
            </w:tcBorders>
            <w:vAlign w:val="center"/>
            <w:hideMark/>
          </w:tcPr>
          <w:p w14:paraId="75CBC28D" w14:textId="77777777" w:rsidR="003E0F58" w:rsidRPr="00D5500F" w:rsidRDefault="003E0F58" w:rsidP="004D2249">
            <w:pPr>
              <w:jc w:val="left"/>
              <w:rPr>
                <w:rFonts w:eastAsia="Calibri" w:cs="Times New Roman"/>
                <w:sz w:val="20"/>
                <w:szCs w:val="20"/>
                <w:lang w:val="cs-CZ"/>
              </w:rPr>
            </w:pPr>
          </w:p>
        </w:tc>
        <w:tc>
          <w:tcPr>
            <w:tcW w:w="7645" w:type="dxa"/>
            <w:gridSpan w:val="5"/>
            <w:tcBorders>
              <w:top w:val="single" w:sz="4" w:space="0" w:color="auto"/>
              <w:left w:val="nil"/>
              <w:bottom w:val="single" w:sz="4" w:space="0" w:color="auto"/>
              <w:right w:val="nil"/>
            </w:tcBorders>
            <w:vAlign w:val="center"/>
            <w:hideMark/>
          </w:tcPr>
          <w:p w14:paraId="24F38672" w14:textId="77777777" w:rsidR="003E0F58" w:rsidRPr="00D5500F" w:rsidRDefault="003E0F58" w:rsidP="004D2249">
            <w:pPr>
              <w:jc w:val="center"/>
              <w:rPr>
                <w:rFonts w:eastAsia="Calibri" w:cs="Times New Roman"/>
                <w:sz w:val="20"/>
                <w:szCs w:val="20"/>
                <w:lang w:val="cs-CZ"/>
              </w:rPr>
            </w:pPr>
            <w:r w:rsidRPr="00D5500F">
              <w:rPr>
                <w:rFonts w:eastAsia="Calibri" w:cs="Times New Roman"/>
                <w:sz w:val="20"/>
                <w:szCs w:val="20"/>
                <w:lang w:val="cs-CZ"/>
              </w:rPr>
              <w:t>mil. m</w:t>
            </w:r>
            <w:r w:rsidRPr="00D5500F">
              <w:rPr>
                <w:rFonts w:eastAsia="Calibri" w:cs="Times New Roman"/>
                <w:sz w:val="20"/>
                <w:szCs w:val="20"/>
                <w:vertAlign w:val="superscript"/>
                <w:lang w:val="cs-CZ"/>
              </w:rPr>
              <w:t>3</w:t>
            </w:r>
          </w:p>
        </w:tc>
      </w:tr>
      <w:tr w:rsidR="003E0F58" w:rsidRPr="00D5500F" w14:paraId="06033B8D" w14:textId="77777777" w:rsidTr="004D2249">
        <w:tc>
          <w:tcPr>
            <w:tcW w:w="1417" w:type="dxa"/>
            <w:tcBorders>
              <w:top w:val="single" w:sz="4" w:space="0" w:color="auto"/>
              <w:left w:val="nil"/>
              <w:bottom w:val="nil"/>
              <w:right w:val="nil"/>
            </w:tcBorders>
            <w:hideMark/>
          </w:tcPr>
          <w:p w14:paraId="2D2B1CF1" w14:textId="77777777" w:rsidR="003E0F58" w:rsidRPr="00D5500F" w:rsidRDefault="003E0F58" w:rsidP="004D2249">
            <w:pPr>
              <w:jc w:val="left"/>
              <w:rPr>
                <w:rFonts w:eastAsia="Calibri" w:cs="Times New Roman"/>
                <w:sz w:val="20"/>
                <w:szCs w:val="20"/>
                <w:lang w:val="cs-CZ"/>
              </w:rPr>
            </w:pPr>
            <w:r w:rsidRPr="00D5500F">
              <w:rPr>
                <w:rFonts w:eastAsia="Calibri" w:cs="Times New Roman"/>
                <w:sz w:val="20"/>
                <w:szCs w:val="20"/>
                <w:lang w:val="cs-CZ"/>
              </w:rPr>
              <w:t>2000</w:t>
            </w:r>
          </w:p>
        </w:tc>
        <w:tc>
          <w:tcPr>
            <w:tcW w:w="1569" w:type="dxa"/>
            <w:tcBorders>
              <w:top w:val="single" w:sz="4" w:space="0" w:color="auto"/>
              <w:left w:val="nil"/>
              <w:bottom w:val="nil"/>
              <w:right w:val="nil"/>
            </w:tcBorders>
            <w:hideMark/>
          </w:tcPr>
          <w:p w14:paraId="6A021DD8"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2,39</w:t>
            </w:r>
          </w:p>
        </w:tc>
        <w:tc>
          <w:tcPr>
            <w:tcW w:w="1625" w:type="dxa"/>
            <w:tcBorders>
              <w:top w:val="single" w:sz="4" w:space="0" w:color="auto"/>
              <w:left w:val="nil"/>
              <w:bottom w:val="nil"/>
              <w:right w:val="nil"/>
            </w:tcBorders>
            <w:hideMark/>
          </w:tcPr>
          <w:p w14:paraId="6E3FCE91"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0,08</w:t>
            </w:r>
          </w:p>
        </w:tc>
        <w:tc>
          <w:tcPr>
            <w:tcW w:w="1615" w:type="dxa"/>
            <w:tcBorders>
              <w:top w:val="single" w:sz="4" w:space="0" w:color="auto"/>
              <w:left w:val="nil"/>
              <w:bottom w:val="nil"/>
              <w:right w:val="nil"/>
            </w:tcBorders>
            <w:hideMark/>
          </w:tcPr>
          <w:p w14:paraId="20E48E7C"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0,32</w:t>
            </w:r>
          </w:p>
        </w:tc>
        <w:tc>
          <w:tcPr>
            <w:tcW w:w="1418" w:type="dxa"/>
            <w:tcBorders>
              <w:top w:val="single" w:sz="4" w:space="0" w:color="auto"/>
              <w:left w:val="nil"/>
              <w:bottom w:val="nil"/>
              <w:right w:val="nil"/>
            </w:tcBorders>
            <w:hideMark/>
          </w:tcPr>
          <w:p w14:paraId="7B3ADD9F"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0,50</w:t>
            </w:r>
          </w:p>
        </w:tc>
        <w:tc>
          <w:tcPr>
            <w:tcW w:w="1418" w:type="dxa"/>
            <w:tcBorders>
              <w:top w:val="single" w:sz="4" w:space="0" w:color="auto"/>
              <w:left w:val="nil"/>
              <w:bottom w:val="nil"/>
              <w:right w:val="nil"/>
            </w:tcBorders>
            <w:hideMark/>
          </w:tcPr>
          <w:p w14:paraId="1C550DE8"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3,29</w:t>
            </w:r>
          </w:p>
        </w:tc>
      </w:tr>
      <w:tr w:rsidR="003E0F58" w:rsidRPr="00D5500F" w14:paraId="00105040" w14:textId="77777777" w:rsidTr="004D2249">
        <w:tc>
          <w:tcPr>
            <w:tcW w:w="1417" w:type="dxa"/>
            <w:hideMark/>
          </w:tcPr>
          <w:p w14:paraId="45104187" w14:textId="77777777" w:rsidR="003E0F58" w:rsidRPr="00D5500F" w:rsidRDefault="003E0F58" w:rsidP="004D2249">
            <w:pPr>
              <w:jc w:val="left"/>
              <w:rPr>
                <w:rFonts w:eastAsia="Calibri" w:cs="Times New Roman"/>
                <w:sz w:val="20"/>
                <w:szCs w:val="20"/>
                <w:lang w:val="cs-CZ"/>
              </w:rPr>
            </w:pPr>
            <w:r w:rsidRPr="00D5500F">
              <w:rPr>
                <w:rFonts w:eastAsia="Calibri" w:cs="Times New Roman"/>
                <w:sz w:val="20"/>
                <w:szCs w:val="20"/>
                <w:lang w:val="cs-CZ"/>
              </w:rPr>
              <w:t>2002</w:t>
            </w:r>
          </w:p>
        </w:tc>
        <w:tc>
          <w:tcPr>
            <w:tcW w:w="1569" w:type="dxa"/>
            <w:hideMark/>
          </w:tcPr>
          <w:p w14:paraId="1BAE9F74"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3,38</w:t>
            </w:r>
          </w:p>
        </w:tc>
        <w:tc>
          <w:tcPr>
            <w:tcW w:w="1625" w:type="dxa"/>
            <w:hideMark/>
          </w:tcPr>
          <w:p w14:paraId="1527DC97"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0,03</w:t>
            </w:r>
          </w:p>
        </w:tc>
        <w:tc>
          <w:tcPr>
            <w:tcW w:w="1615" w:type="dxa"/>
            <w:hideMark/>
          </w:tcPr>
          <w:p w14:paraId="35465038"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0,29</w:t>
            </w:r>
          </w:p>
        </w:tc>
        <w:tc>
          <w:tcPr>
            <w:tcW w:w="1418" w:type="dxa"/>
            <w:hideMark/>
          </w:tcPr>
          <w:p w14:paraId="65803322"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0,51</w:t>
            </w:r>
          </w:p>
        </w:tc>
        <w:tc>
          <w:tcPr>
            <w:tcW w:w="1418" w:type="dxa"/>
            <w:hideMark/>
          </w:tcPr>
          <w:p w14:paraId="02368170"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4,21</w:t>
            </w:r>
          </w:p>
        </w:tc>
      </w:tr>
      <w:tr w:rsidR="003E0F58" w:rsidRPr="00D5500F" w14:paraId="05270451" w14:textId="77777777" w:rsidTr="004D2249">
        <w:tc>
          <w:tcPr>
            <w:tcW w:w="1417" w:type="dxa"/>
            <w:hideMark/>
          </w:tcPr>
          <w:p w14:paraId="0CE36153" w14:textId="77777777" w:rsidR="003E0F58" w:rsidRPr="00D5500F" w:rsidRDefault="003E0F58" w:rsidP="004D2249">
            <w:pPr>
              <w:jc w:val="left"/>
              <w:rPr>
                <w:rFonts w:eastAsia="Calibri" w:cs="Times New Roman"/>
                <w:sz w:val="20"/>
                <w:szCs w:val="20"/>
                <w:lang w:val="cs-CZ"/>
              </w:rPr>
            </w:pPr>
            <w:r w:rsidRPr="00D5500F">
              <w:rPr>
                <w:rFonts w:eastAsia="Calibri" w:cs="Times New Roman"/>
                <w:sz w:val="20"/>
                <w:szCs w:val="20"/>
                <w:lang w:val="cs-CZ"/>
              </w:rPr>
              <w:t>2004</w:t>
            </w:r>
          </w:p>
        </w:tc>
        <w:tc>
          <w:tcPr>
            <w:tcW w:w="1569" w:type="dxa"/>
            <w:hideMark/>
          </w:tcPr>
          <w:p w14:paraId="0A196EDD"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2,76</w:t>
            </w:r>
          </w:p>
        </w:tc>
        <w:tc>
          <w:tcPr>
            <w:tcW w:w="1625" w:type="dxa"/>
            <w:hideMark/>
          </w:tcPr>
          <w:p w14:paraId="0CBEC242"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0,04</w:t>
            </w:r>
          </w:p>
        </w:tc>
        <w:tc>
          <w:tcPr>
            <w:tcW w:w="1615" w:type="dxa"/>
            <w:hideMark/>
          </w:tcPr>
          <w:p w14:paraId="0D2F0F05"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1,27</w:t>
            </w:r>
          </w:p>
        </w:tc>
        <w:tc>
          <w:tcPr>
            <w:tcW w:w="1418" w:type="dxa"/>
            <w:hideMark/>
          </w:tcPr>
          <w:p w14:paraId="615FF504"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1,30</w:t>
            </w:r>
          </w:p>
        </w:tc>
        <w:tc>
          <w:tcPr>
            <w:tcW w:w="1418" w:type="dxa"/>
            <w:hideMark/>
          </w:tcPr>
          <w:p w14:paraId="39477382"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5,37</w:t>
            </w:r>
          </w:p>
        </w:tc>
      </w:tr>
      <w:tr w:rsidR="003E0F58" w:rsidRPr="00D5500F" w14:paraId="2A37A91F" w14:textId="77777777" w:rsidTr="004D2249">
        <w:tc>
          <w:tcPr>
            <w:tcW w:w="1417" w:type="dxa"/>
            <w:hideMark/>
          </w:tcPr>
          <w:p w14:paraId="44DD52D8" w14:textId="77777777" w:rsidR="003E0F58" w:rsidRPr="00D5500F" w:rsidRDefault="003E0F58" w:rsidP="004D2249">
            <w:pPr>
              <w:jc w:val="left"/>
              <w:rPr>
                <w:rFonts w:eastAsia="Calibri" w:cs="Times New Roman"/>
                <w:sz w:val="20"/>
                <w:szCs w:val="20"/>
                <w:lang w:val="cs-CZ"/>
              </w:rPr>
            </w:pPr>
            <w:r w:rsidRPr="00D5500F">
              <w:rPr>
                <w:rFonts w:eastAsia="Calibri" w:cs="Times New Roman"/>
                <w:sz w:val="20"/>
                <w:szCs w:val="20"/>
                <w:lang w:val="cs-CZ"/>
              </w:rPr>
              <w:t>2006</w:t>
            </w:r>
          </w:p>
        </w:tc>
        <w:tc>
          <w:tcPr>
            <w:tcW w:w="1569" w:type="dxa"/>
            <w:hideMark/>
          </w:tcPr>
          <w:p w14:paraId="79C003E1"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5,97</w:t>
            </w:r>
          </w:p>
        </w:tc>
        <w:tc>
          <w:tcPr>
            <w:tcW w:w="1625" w:type="dxa"/>
            <w:hideMark/>
          </w:tcPr>
          <w:p w14:paraId="5661BFA7"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0,03</w:t>
            </w:r>
          </w:p>
        </w:tc>
        <w:tc>
          <w:tcPr>
            <w:tcW w:w="1615" w:type="dxa"/>
            <w:hideMark/>
          </w:tcPr>
          <w:p w14:paraId="7F025FAD"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1,14</w:t>
            </w:r>
          </w:p>
        </w:tc>
        <w:tc>
          <w:tcPr>
            <w:tcW w:w="1418" w:type="dxa"/>
            <w:hideMark/>
          </w:tcPr>
          <w:p w14:paraId="191D7346"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0,89</w:t>
            </w:r>
          </w:p>
        </w:tc>
        <w:tc>
          <w:tcPr>
            <w:tcW w:w="1418" w:type="dxa"/>
            <w:hideMark/>
          </w:tcPr>
          <w:p w14:paraId="19DC0EFC"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8,03</w:t>
            </w:r>
          </w:p>
        </w:tc>
      </w:tr>
      <w:tr w:rsidR="003E0F58" w:rsidRPr="00D5500F" w14:paraId="61F9E70F" w14:textId="77777777" w:rsidTr="004D2249">
        <w:tc>
          <w:tcPr>
            <w:tcW w:w="1417" w:type="dxa"/>
            <w:hideMark/>
          </w:tcPr>
          <w:p w14:paraId="345FE05B" w14:textId="77777777" w:rsidR="003E0F58" w:rsidRPr="00D5500F" w:rsidRDefault="003E0F58" w:rsidP="004D2249">
            <w:pPr>
              <w:jc w:val="left"/>
              <w:rPr>
                <w:rFonts w:eastAsia="Calibri" w:cs="Times New Roman"/>
                <w:sz w:val="20"/>
                <w:szCs w:val="20"/>
                <w:lang w:val="cs-CZ"/>
              </w:rPr>
            </w:pPr>
            <w:r w:rsidRPr="00D5500F">
              <w:rPr>
                <w:rFonts w:eastAsia="Calibri" w:cs="Times New Roman"/>
                <w:sz w:val="20"/>
                <w:szCs w:val="20"/>
                <w:lang w:val="cs-CZ"/>
              </w:rPr>
              <w:t>2007</w:t>
            </w:r>
          </w:p>
        </w:tc>
        <w:tc>
          <w:tcPr>
            <w:tcW w:w="1569" w:type="dxa"/>
            <w:hideMark/>
          </w:tcPr>
          <w:p w14:paraId="5D2ED195"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12,65</w:t>
            </w:r>
          </w:p>
        </w:tc>
        <w:tc>
          <w:tcPr>
            <w:tcW w:w="1625" w:type="dxa"/>
            <w:hideMark/>
          </w:tcPr>
          <w:p w14:paraId="682B28C1"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0,04</w:t>
            </w:r>
          </w:p>
        </w:tc>
        <w:tc>
          <w:tcPr>
            <w:tcW w:w="1615" w:type="dxa"/>
            <w:hideMark/>
          </w:tcPr>
          <w:p w14:paraId="5AC755F8"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1,56</w:t>
            </w:r>
          </w:p>
        </w:tc>
        <w:tc>
          <w:tcPr>
            <w:tcW w:w="1418" w:type="dxa"/>
            <w:hideMark/>
          </w:tcPr>
          <w:p w14:paraId="2C39ED7A"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0,64</w:t>
            </w:r>
          </w:p>
        </w:tc>
        <w:tc>
          <w:tcPr>
            <w:tcW w:w="1418" w:type="dxa"/>
            <w:hideMark/>
          </w:tcPr>
          <w:p w14:paraId="455827C1"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14,89</w:t>
            </w:r>
          </w:p>
        </w:tc>
      </w:tr>
      <w:tr w:rsidR="003E0F58" w:rsidRPr="00D5500F" w14:paraId="5EB71392" w14:textId="77777777" w:rsidTr="004D2249">
        <w:tc>
          <w:tcPr>
            <w:tcW w:w="1417" w:type="dxa"/>
            <w:hideMark/>
          </w:tcPr>
          <w:p w14:paraId="4B222362" w14:textId="77777777" w:rsidR="003E0F58" w:rsidRPr="00D5500F" w:rsidRDefault="003E0F58" w:rsidP="004D2249">
            <w:pPr>
              <w:jc w:val="left"/>
              <w:rPr>
                <w:rFonts w:eastAsia="Calibri" w:cs="Times New Roman"/>
                <w:sz w:val="20"/>
                <w:szCs w:val="20"/>
                <w:lang w:val="cs-CZ"/>
              </w:rPr>
            </w:pPr>
            <w:r w:rsidRPr="00D5500F">
              <w:rPr>
                <w:rFonts w:eastAsia="Calibri" w:cs="Times New Roman"/>
                <w:sz w:val="20"/>
                <w:szCs w:val="20"/>
                <w:lang w:val="cs-CZ"/>
              </w:rPr>
              <w:t>2008</w:t>
            </w:r>
          </w:p>
        </w:tc>
        <w:tc>
          <w:tcPr>
            <w:tcW w:w="1569" w:type="dxa"/>
            <w:hideMark/>
          </w:tcPr>
          <w:p w14:paraId="77B446E2"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7,60</w:t>
            </w:r>
          </w:p>
        </w:tc>
        <w:tc>
          <w:tcPr>
            <w:tcW w:w="1625" w:type="dxa"/>
            <w:hideMark/>
          </w:tcPr>
          <w:p w14:paraId="5A103599"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0,04</w:t>
            </w:r>
          </w:p>
        </w:tc>
        <w:tc>
          <w:tcPr>
            <w:tcW w:w="1615" w:type="dxa"/>
            <w:hideMark/>
          </w:tcPr>
          <w:p w14:paraId="3AE52532"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2,31</w:t>
            </w:r>
          </w:p>
        </w:tc>
        <w:tc>
          <w:tcPr>
            <w:tcW w:w="1418" w:type="dxa"/>
            <w:hideMark/>
          </w:tcPr>
          <w:p w14:paraId="03D0B740"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0,80</w:t>
            </w:r>
          </w:p>
        </w:tc>
        <w:tc>
          <w:tcPr>
            <w:tcW w:w="1418" w:type="dxa"/>
            <w:hideMark/>
          </w:tcPr>
          <w:p w14:paraId="7912BBAF"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10,75</w:t>
            </w:r>
          </w:p>
        </w:tc>
      </w:tr>
      <w:tr w:rsidR="003E0F58" w:rsidRPr="00D5500F" w14:paraId="6CBAA55C" w14:textId="77777777" w:rsidTr="004D2249">
        <w:tc>
          <w:tcPr>
            <w:tcW w:w="1417" w:type="dxa"/>
            <w:hideMark/>
          </w:tcPr>
          <w:p w14:paraId="3076B091" w14:textId="77777777" w:rsidR="003E0F58" w:rsidRPr="00D5500F" w:rsidRDefault="003E0F58" w:rsidP="004D2249">
            <w:pPr>
              <w:jc w:val="left"/>
              <w:rPr>
                <w:rFonts w:eastAsia="Calibri" w:cs="Times New Roman"/>
                <w:sz w:val="20"/>
                <w:szCs w:val="20"/>
                <w:lang w:val="cs-CZ"/>
              </w:rPr>
            </w:pPr>
            <w:r w:rsidRPr="00D5500F">
              <w:rPr>
                <w:rFonts w:eastAsia="Calibri" w:cs="Times New Roman"/>
                <w:sz w:val="20"/>
                <w:szCs w:val="20"/>
                <w:lang w:val="cs-CZ"/>
              </w:rPr>
              <w:t>2009</w:t>
            </w:r>
          </w:p>
        </w:tc>
        <w:tc>
          <w:tcPr>
            <w:tcW w:w="1569" w:type="dxa"/>
            <w:hideMark/>
          </w:tcPr>
          <w:p w14:paraId="54606D10"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3,25</w:t>
            </w:r>
          </w:p>
        </w:tc>
        <w:tc>
          <w:tcPr>
            <w:tcW w:w="1625" w:type="dxa"/>
            <w:hideMark/>
          </w:tcPr>
          <w:p w14:paraId="1244D61B"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0,03</w:t>
            </w:r>
          </w:p>
        </w:tc>
        <w:tc>
          <w:tcPr>
            <w:tcW w:w="1615" w:type="dxa"/>
            <w:hideMark/>
          </w:tcPr>
          <w:p w14:paraId="75D694BC"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2,62</w:t>
            </w:r>
          </w:p>
        </w:tc>
        <w:tc>
          <w:tcPr>
            <w:tcW w:w="1418" w:type="dxa"/>
            <w:hideMark/>
          </w:tcPr>
          <w:p w14:paraId="4414E2B6"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0,73</w:t>
            </w:r>
          </w:p>
        </w:tc>
        <w:tc>
          <w:tcPr>
            <w:tcW w:w="1418" w:type="dxa"/>
            <w:hideMark/>
          </w:tcPr>
          <w:p w14:paraId="704A480A"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6,63</w:t>
            </w:r>
          </w:p>
        </w:tc>
      </w:tr>
      <w:tr w:rsidR="003E0F58" w:rsidRPr="00D5500F" w14:paraId="219574B7" w14:textId="77777777" w:rsidTr="004D2249">
        <w:tc>
          <w:tcPr>
            <w:tcW w:w="1417" w:type="dxa"/>
            <w:hideMark/>
          </w:tcPr>
          <w:p w14:paraId="4F66B2D5" w14:textId="77777777" w:rsidR="003E0F58" w:rsidRPr="00D5500F" w:rsidRDefault="003E0F58" w:rsidP="004D2249">
            <w:pPr>
              <w:jc w:val="left"/>
              <w:rPr>
                <w:rFonts w:eastAsia="Calibri" w:cs="Times New Roman"/>
                <w:sz w:val="20"/>
                <w:szCs w:val="20"/>
                <w:lang w:val="cs-CZ"/>
              </w:rPr>
            </w:pPr>
            <w:r w:rsidRPr="00D5500F">
              <w:rPr>
                <w:rFonts w:eastAsia="Calibri" w:cs="Times New Roman"/>
                <w:sz w:val="20"/>
                <w:szCs w:val="20"/>
                <w:lang w:val="cs-CZ"/>
              </w:rPr>
              <w:t>2010</w:t>
            </w:r>
          </w:p>
        </w:tc>
        <w:tc>
          <w:tcPr>
            <w:tcW w:w="1569" w:type="dxa"/>
            <w:hideMark/>
          </w:tcPr>
          <w:p w14:paraId="31E76B53"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4,07</w:t>
            </w:r>
          </w:p>
        </w:tc>
        <w:tc>
          <w:tcPr>
            <w:tcW w:w="1625" w:type="dxa"/>
            <w:hideMark/>
          </w:tcPr>
          <w:p w14:paraId="160D0FBE"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0,03</w:t>
            </w:r>
          </w:p>
        </w:tc>
        <w:tc>
          <w:tcPr>
            <w:tcW w:w="1615" w:type="dxa"/>
            <w:hideMark/>
          </w:tcPr>
          <w:p w14:paraId="0E21B588"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1,79</w:t>
            </w:r>
          </w:p>
        </w:tc>
        <w:tc>
          <w:tcPr>
            <w:tcW w:w="1418" w:type="dxa"/>
            <w:hideMark/>
          </w:tcPr>
          <w:p w14:paraId="3E3DDD27"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0,57</w:t>
            </w:r>
          </w:p>
        </w:tc>
        <w:tc>
          <w:tcPr>
            <w:tcW w:w="1418" w:type="dxa"/>
            <w:hideMark/>
          </w:tcPr>
          <w:p w14:paraId="6659E43A"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6,46</w:t>
            </w:r>
          </w:p>
        </w:tc>
      </w:tr>
      <w:tr w:rsidR="003E0F58" w:rsidRPr="00D5500F" w14:paraId="4BCC6E24" w14:textId="77777777" w:rsidTr="004D2249">
        <w:tc>
          <w:tcPr>
            <w:tcW w:w="1417" w:type="dxa"/>
            <w:hideMark/>
          </w:tcPr>
          <w:p w14:paraId="7DAB5CAE" w14:textId="77777777" w:rsidR="003E0F58" w:rsidRPr="00D5500F" w:rsidRDefault="003E0F58" w:rsidP="004D2249">
            <w:pPr>
              <w:jc w:val="left"/>
              <w:rPr>
                <w:rFonts w:eastAsia="Calibri" w:cs="Times New Roman"/>
                <w:sz w:val="20"/>
                <w:szCs w:val="20"/>
                <w:lang w:val="cs-CZ"/>
              </w:rPr>
            </w:pPr>
            <w:r w:rsidRPr="00D5500F">
              <w:rPr>
                <w:rFonts w:eastAsia="Calibri" w:cs="Times New Roman"/>
                <w:sz w:val="20"/>
                <w:szCs w:val="20"/>
                <w:lang w:val="cs-CZ"/>
              </w:rPr>
              <w:t>2011</w:t>
            </w:r>
          </w:p>
        </w:tc>
        <w:tc>
          <w:tcPr>
            <w:tcW w:w="1569" w:type="dxa"/>
            <w:hideMark/>
          </w:tcPr>
          <w:p w14:paraId="320F7500"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2,17</w:t>
            </w:r>
          </w:p>
        </w:tc>
        <w:tc>
          <w:tcPr>
            <w:tcW w:w="1625" w:type="dxa"/>
            <w:hideMark/>
          </w:tcPr>
          <w:p w14:paraId="16084929"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0,02</w:t>
            </w:r>
          </w:p>
        </w:tc>
        <w:tc>
          <w:tcPr>
            <w:tcW w:w="1615" w:type="dxa"/>
            <w:hideMark/>
          </w:tcPr>
          <w:p w14:paraId="56EB5A4C"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1,05</w:t>
            </w:r>
          </w:p>
        </w:tc>
        <w:tc>
          <w:tcPr>
            <w:tcW w:w="1418" w:type="dxa"/>
            <w:hideMark/>
          </w:tcPr>
          <w:p w14:paraId="1DF3FC7D"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0,57</w:t>
            </w:r>
          </w:p>
        </w:tc>
        <w:tc>
          <w:tcPr>
            <w:tcW w:w="1418" w:type="dxa"/>
            <w:hideMark/>
          </w:tcPr>
          <w:p w14:paraId="342A09F3"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3,81</w:t>
            </w:r>
          </w:p>
        </w:tc>
      </w:tr>
      <w:tr w:rsidR="003E0F58" w:rsidRPr="00D5500F" w14:paraId="05A039CB" w14:textId="77777777" w:rsidTr="004D2249">
        <w:tc>
          <w:tcPr>
            <w:tcW w:w="1417" w:type="dxa"/>
            <w:hideMark/>
          </w:tcPr>
          <w:p w14:paraId="7CAA4420" w14:textId="77777777" w:rsidR="003E0F58" w:rsidRPr="00D5500F" w:rsidRDefault="003E0F58" w:rsidP="004D2249">
            <w:pPr>
              <w:jc w:val="left"/>
              <w:rPr>
                <w:rFonts w:eastAsia="Calibri" w:cs="Times New Roman"/>
                <w:sz w:val="20"/>
                <w:szCs w:val="20"/>
                <w:lang w:val="cs-CZ"/>
              </w:rPr>
            </w:pPr>
            <w:r w:rsidRPr="00D5500F">
              <w:rPr>
                <w:rFonts w:eastAsia="Calibri" w:cs="Times New Roman"/>
                <w:sz w:val="20"/>
                <w:szCs w:val="20"/>
                <w:lang w:val="cs-CZ"/>
              </w:rPr>
              <w:t>2012</w:t>
            </w:r>
          </w:p>
        </w:tc>
        <w:tc>
          <w:tcPr>
            <w:tcW w:w="1569" w:type="dxa"/>
            <w:hideMark/>
          </w:tcPr>
          <w:p w14:paraId="2B0472CB"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1,70</w:t>
            </w:r>
          </w:p>
        </w:tc>
        <w:tc>
          <w:tcPr>
            <w:tcW w:w="1625" w:type="dxa"/>
            <w:hideMark/>
          </w:tcPr>
          <w:p w14:paraId="64B49043"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0,02</w:t>
            </w:r>
          </w:p>
        </w:tc>
        <w:tc>
          <w:tcPr>
            <w:tcW w:w="1615" w:type="dxa"/>
            <w:hideMark/>
          </w:tcPr>
          <w:p w14:paraId="7E0F5538"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0,79</w:t>
            </w:r>
          </w:p>
        </w:tc>
        <w:tc>
          <w:tcPr>
            <w:tcW w:w="1418" w:type="dxa"/>
            <w:hideMark/>
          </w:tcPr>
          <w:p w14:paraId="2D45415A"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0,73</w:t>
            </w:r>
          </w:p>
        </w:tc>
        <w:tc>
          <w:tcPr>
            <w:tcW w:w="1418" w:type="dxa"/>
            <w:hideMark/>
          </w:tcPr>
          <w:p w14:paraId="54E8E4D9"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3,24</w:t>
            </w:r>
          </w:p>
        </w:tc>
      </w:tr>
      <w:tr w:rsidR="003E0F58" w:rsidRPr="00D5500F" w14:paraId="7C8B7514" w14:textId="77777777" w:rsidTr="004D2249">
        <w:tc>
          <w:tcPr>
            <w:tcW w:w="1417" w:type="dxa"/>
            <w:hideMark/>
          </w:tcPr>
          <w:p w14:paraId="6ED5D5DE" w14:textId="77777777" w:rsidR="003E0F58" w:rsidRPr="00D5500F" w:rsidRDefault="003E0F58" w:rsidP="004D2249">
            <w:pPr>
              <w:jc w:val="left"/>
              <w:rPr>
                <w:rFonts w:eastAsia="Calibri" w:cs="Times New Roman"/>
                <w:sz w:val="20"/>
                <w:szCs w:val="20"/>
                <w:lang w:val="cs-CZ"/>
              </w:rPr>
            </w:pPr>
            <w:r w:rsidRPr="00D5500F">
              <w:rPr>
                <w:rFonts w:eastAsia="Calibri" w:cs="Times New Roman"/>
                <w:sz w:val="20"/>
                <w:szCs w:val="20"/>
                <w:lang w:val="cs-CZ"/>
              </w:rPr>
              <w:t>2013</w:t>
            </w:r>
          </w:p>
        </w:tc>
        <w:tc>
          <w:tcPr>
            <w:tcW w:w="1569" w:type="dxa"/>
            <w:hideMark/>
          </w:tcPr>
          <w:p w14:paraId="1C7A9D89"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2,50</w:t>
            </w:r>
          </w:p>
        </w:tc>
        <w:tc>
          <w:tcPr>
            <w:tcW w:w="1625" w:type="dxa"/>
            <w:hideMark/>
          </w:tcPr>
          <w:p w14:paraId="26FA5C39"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0,03</w:t>
            </w:r>
          </w:p>
        </w:tc>
        <w:tc>
          <w:tcPr>
            <w:tcW w:w="1615" w:type="dxa"/>
            <w:hideMark/>
          </w:tcPr>
          <w:p w14:paraId="6DB0CD2C"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1,21</w:t>
            </w:r>
          </w:p>
        </w:tc>
        <w:tc>
          <w:tcPr>
            <w:tcW w:w="1418" w:type="dxa"/>
            <w:hideMark/>
          </w:tcPr>
          <w:p w14:paraId="32BC025A"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0,46</w:t>
            </w:r>
          </w:p>
        </w:tc>
        <w:tc>
          <w:tcPr>
            <w:tcW w:w="1418" w:type="dxa"/>
            <w:hideMark/>
          </w:tcPr>
          <w:p w14:paraId="71B309CA"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4,20</w:t>
            </w:r>
          </w:p>
        </w:tc>
      </w:tr>
      <w:tr w:rsidR="003E0F58" w:rsidRPr="00D5500F" w14:paraId="13FA3BB0" w14:textId="77777777" w:rsidTr="004D2249">
        <w:tc>
          <w:tcPr>
            <w:tcW w:w="1417" w:type="dxa"/>
            <w:hideMark/>
          </w:tcPr>
          <w:p w14:paraId="0D177349" w14:textId="77777777" w:rsidR="003E0F58" w:rsidRPr="00D5500F" w:rsidRDefault="003E0F58" w:rsidP="004D2249">
            <w:pPr>
              <w:jc w:val="left"/>
              <w:rPr>
                <w:rFonts w:eastAsia="Calibri" w:cs="Times New Roman"/>
                <w:sz w:val="20"/>
                <w:szCs w:val="20"/>
                <w:lang w:val="cs-CZ"/>
              </w:rPr>
            </w:pPr>
            <w:r w:rsidRPr="00D5500F">
              <w:rPr>
                <w:rFonts w:eastAsia="Calibri" w:cs="Times New Roman"/>
                <w:sz w:val="20"/>
                <w:szCs w:val="20"/>
                <w:lang w:val="cs-CZ"/>
              </w:rPr>
              <w:t>2014</w:t>
            </w:r>
          </w:p>
        </w:tc>
        <w:tc>
          <w:tcPr>
            <w:tcW w:w="1569" w:type="dxa"/>
            <w:hideMark/>
          </w:tcPr>
          <w:p w14:paraId="57AE641A"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2,60</w:t>
            </w:r>
          </w:p>
        </w:tc>
        <w:tc>
          <w:tcPr>
            <w:tcW w:w="1625" w:type="dxa"/>
            <w:hideMark/>
          </w:tcPr>
          <w:p w14:paraId="58431635"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0,02</w:t>
            </w:r>
          </w:p>
        </w:tc>
        <w:tc>
          <w:tcPr>
            <w:tcW w:w="1615" w:type="dxa"/>
            <w:hideMark/>
          </w:tcPr>
          <w:p w14:paraId="20B7C426"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1,31</w:t>
            </w:r>
          </w:p>
        </w:tc>
        <w:tc>
          <w:tcPr>
            <w:tcW w:w="1418" w:type="dxa"/>
            <w:hideMark/>
          </w:tcPr>
          <w:p w14:paraId="44ECB7ED"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0,57</w:t>
            </w:r>
          </w:p>
        </w:tc>
        <w:tc>
          <w:tcPr>
            <w:tcW w:w="1418" w:type="dxa"/>
            <w:hideMark/>
          </w:tcPr>
          <w:p w14:paraId="4858DBEF"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4,50</w:t>
            </w:r>
          </w:p>
        </w:tc>
      </w:tr>
      <w:tr w:rsidR="003E0F58" w:rsidRPr="00D5500F" w14:paraId="236DC987" w14:textId="77777777" w:rsidTr="004D2249">
        <w:tc>
          <w:tcPr>
            <w:tcW w:w="1417" w:type="dxa"/>
            <w:hideMark/>
          </w:tcPr>
          <w:p w14:paraId="01D09CF1" w14:textId="77777777" w:rsidR="003E0F58" w:rsidRPr="00D5500F" w:rsidRDefault="003E0F58" w:rsidP="004D2249">
            <w:pPr>
              <w:jc w:val="left"/>
              <w:rPr>
                <w:rFonts w:eastAsia="Calibri" w:cs="Times New Roman"/>
                <w:sz w:val="20"/>
                <w:szCs w:val="20"/>
                <w:lang w:val="cs-CZ"/>
              </w:rPr>
            </w:pPr>
            <w:r w:rsidRPr="00D5500F">
              <w:rPr>
                <w:rFonts w:eastAsia="Calibri" w:cs="Times New Roman"/>
                <w:sz w:val="20"/>
                <w:szCs w:val="20"/>
                <w:lang w:val="cs-CZ"/>
              </w:rPr>
              <w:t>2015</w:t>
            </w:r>
          </w:p>
        </w:tc>
        <w:tc>
          <w:tcPr>
            <w:tcW w:w="1569" w:type="dxa"/>
            <w:hideMark/>
          </w:tcPr>
          <w:p w14:paraId="3B218066"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4,39</w:t>
            </w:r>
          </w:p>
        </w:tc>
        <w:tc>
          <w:tcPr>
            <w:tcW w:w="1625" w:type="dxa"/>
            <w:hideMark/>
          </w:tcPr>
          <w:p w14:paraId="0F47A167"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0,02</w:t>
            </w:r>
          </w:p>
        </w:tc>
        <w:tc>
          <w:tcPr>
            <w:tcW w:w="1615" w:type="dxa"/>
            <w:hideMark/>
          </w:tcPr>
          <w:p w14:paraId="4A079674"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2,31</w:t>
            </w:r>
          </w:p>
        </w:tc>
        <w:tc>
          <w:tcPr>
            <w:tcW w:w="1418" w:type="dxa"/>
            <w:hideMark/>
          </w:tcPr>
          <w:p w14:paraId="2023B629"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1,43</w:t>
            </w:r>
          </w:p>
        </w:tc>
        <w:tc>
          <w:tcPr>
            <w:tcW w:w="1418" w:type="dxa"/>
            <w:hideMark/>
          </w:tcPr>
          <w:p w14:paraId="15100A74"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8,15</w:t>
            </w:r>
          </w:p>
        </w:tc>
      </w:tr>
      <w:tr w:rsidR="003E0F58" w:rsidRPr="00D5500F" w14:paraId="4E3F4FDC" w14:textId="77777777" w:rsidTr="004D2249">
        <w:tc>
          <w:tcPr>
            <w:tcW w:w="1417" w:type="dxa"/>
            <w:hideMark/>
          </w:tcPr>
          <w:p w14:paraId="45D8FB29" w14:textId="77777777" w:rsidR="003E0F58" w:rsidRPr="00D5500F" w:rsidRDefault="003E0F58" w:rsidP="004D2249">
            <w:pPr>
              <w:jc w:val="left"/>
              <w:rPr>
                <w:rFonts w:eastAsia="Calibri" w:cs="Times New Roman"/>
                <w:sz w:val="20"/>
                <w:szCs w:val="20"/>
                <w:lang w:val="cs-CZ"/>
              </w:rPr>
            </w:pPr>
            <w:r w:rsidRPr="00D5500F">
              <w:rPr>
                <w:rFonts w:eastAsia="Calibri" w:cs="Times New Roman"/>
                <w:sz w:val="20"/>
                <w:szCs w:val="20"/>
                <w:lang w:val="cs-CZ"/>
              </w:rPr>
              <w:t>2016</w:t>
            </w:r>
          </w:p>
        </w:tc>
        <w:tc>
          <w:tcPr>
            <w:tcW w:w="1569" w:type="dxa"/>
            <w:hideMark/>
          </w:tcPr>
          <w:p w14:paraId="302839CC"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2,64</w:t>
            </w:r>
          </w:p>
        </w:tc>
        <w:tc>
          <w:tcPr>
            <w:tcW w:w="1625" w:type="dxa"/>
            <w:hideMark/>
          </w:tcPr>
          <w:p w14:paraId="123E2226"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0,03</w:t>
            </w:r>
          </w:p>
        </w:tc>
        <w:tc>
          <w:tcPr>
            <w:tcW w:w="1615" w:type="dxa"/>
            <w:hideMark/>
          </w:tcPr>
          <w:p w14:paraId="74B0D9E1"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4,42</w:t>
            </w:r>
          </w:p>
        </w:tc>
        <w:tc>
          <w:tcPr>
            <w:tcW w:w="1418" w:type="dxa"/>
            <w:hideMark/>
          </w:tcPr>
          <w:p w14:paraId="3FA370EB"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2,31</w:t>
            </w:r>
          </w:p>
        </w:tc>
        <w:tc>
          <w:tcPr>
            <w:tcW w:w="1418" w:type="dxa"/>
            <w:hideMark/>
          </w:tcPr>
          <w:p w14:paraId="7C2FBBA9"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9,4</w:t>
            </w:r>
          </w:p>
        </w:tc>
      </w:tr>
      <w:tr w:rsidR="003E0F58" w:rsidRPr="00D5500F" w14:paraId="2473F9C9" w14:textId="77777777" w:rsidTr="004D2249">
        <w:tc>
          <w:tcPr>
            <w:tcW w:w="1417" w:type="dxa"/>
            <w:tcBorders>
              <w:top w:val="nil"/>
              <w:left w:val="nil"/>
              <w:bottom w:val="single" w:sz="4" w:space="0" w:color="auto"/>
              <w:right w:val="nil"/>
            </w:tcBorders>
            <w:hideMark/>
          </w:tcPr>
          <w:p w14:paraId="6DE7825C" w14:textId="77777777" w:rsidR="003E0F58" w:rsidRPr="00D5500F" w:rsidRDefault="003E0F58" w:rsidP="004D2249">
            <w:pPr>
              <w:jc w:val="left"/>
              <w:rPr>
                <w:rFonts w:eastAsia="Calibri" w:cs="Times New Roman"/>
                <w:sz w:val="20"/>
                <w:szCs w:val="20"/>
                <w:lang w:val="cs-CZ"/>
              </w:rPr>
            </w:pPr>
            <w:r w:rsidRPr="00D5500F">
              <w:rPr>
                <w:rFonts w:eastAsia="Calibri" w:cs="Times New Roman"/>
                <w:sz w:val="20"/>
                <w:szCs w:val="20"/>
                <w:lang w:val="cs-CZ"/>
              </w:rPr>
              <w:t>2017</w:t>
            </w:r>
          </w:p>
          <w:p w14:paraId="658102A6" w14:textId="77777777" w:rsidR="003E0F58" w:rsidRPr="00D5500F" w:rsidRDefault="003E0F58" w:rsidP="004D2249">
            <w:pPr>
              <w:jc w:val="left"/>
              <w:rPr>
                <w:rFonts w:eastAsia="Calibri" w:cs="Times New Roman"/>
                <w:sz w:val="20"/>
                <w:szCs w:val="20"/>
                <w:lang w:val="cs-CZ"/>
              </w:rPr>
            </w:pPr>
            <w:r w:rsidRPr="00D5500F">
              <w:rPr>
                <w:rFonts w:eastAsia="Calibri" w:cs="Times New Roman"/>
                <w:sz w:val="20"/>
                <w:szCs w:val="20"/>
                <w:lang w:val="cs-CZ"/>
              </w:rPr>
              <w:t>2018</w:t>
            </w:r>
          </w:p>
        </w:tc>
        <w:tc>
          <w:tcPr>
            <w:tcW w:w="1569" w:type="dxa"/>
            <w:tcBorders>
              <w:top w:val="nil"/>
              <w:left w:val="nil"/>
              <w:bottom w:val="single" w:sz="4" w:space="0" w:color="auto"/>
              <w:right w:val="nil"/>
            </w:tcBorders>
            <w:hideMark/>
          </w:tcPr>
          <w:p w14:paraId="214F84A1"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4,82</w:t>
            </w:r>
          </w:p>
          <w:p w14:paraId="029FE4AA"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9,25</w:t>
            </w:r>
          </w:p>
        </w:tc>
        <w:tc>
          <w:tcPr>
            <w:tcW w:w="1625" w:type="dxa"/>
            <w:tcBorders>
              <w:top w:val="nil"/>
              <w:left w:val="nil"/>
              <w:bottom w:val="single" w:sz="4" w:space="0" w:color="auto"/>
              <w:right w:val="nil"/>
            </w:tcBorders>
            <w:hideMark/>
          </w:tcPr>
          <w:p w14:paraId="4B140EDF"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0,02</w:t>
            </w:r>
          </w:p>
          <w:p w14:paraId="5B8B54EF"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0,02</w:t>
            </w:r>
          </w:p>
        </w:tc>
        <w:tc>
          <w:tcPr>
            <w:tcW w:w="1615" w:type="dxa"/>
            <w:tcBorders>
              <w:top w:val="nil"/>
              <w:left w:val="nil"/>
              <w:bottom w:val="single" w:sz="4" w:space="0" w:color="auto"/>
              <w:right w:val="nil"/>
            </w:tcBorders>
            <w:hideMark/>
          </w:tcPr>
          <w:p w14:paraId="0B463017"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5,43</w:t>
            </w:r>
          </w:p>
          <w:p w14:paraId="1EAF9EFA"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12,24</w:t>
            </w:r>
          </w:p>
        </w:tc>
        <w:tc>
          <w:tcPr>
            <w:tcW w:w="1418" w:type="dxa"/>
            <w:tcBorders>
              <w:top w:val="nil"/>
              <w:left w:val="nil"/>
              <w:bottom w:val="single" w:sz="4" w:space="0" w:color="auto"/>
              <w:right w:val="nil"/>
            </w:tcBorders>
            <w:hideMark/>
          </w:tcPr>
          <w:p w14:paraId="52728E46"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0,46</w:t>
            </w:r>
          </w:p>
          <w:p w14:paraId="0FC8E8C7"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0,28</w:t>
            </w:r>
          </w:p>
        </w:tc>
        <w:tc>
          <w:tcPr>
            <w:tcW w:w="1418" w:type="dxa"/>
            <w:tcBorders>
              <w:top w:val="nil"/>
              <w:left w:val="nil"/>
              <w:bottom w:val="single" w:sz="4" w:space="0" w:color="auto"/>
              <w:right w:val="nil"/>
            </w:tcBorders>
            <w:hideMark/>
          </w:tcPr>
          <w:p w14:paraId="2996C980"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10,73</w:t>
            </w:r>
          </w:p>
          <w:p w14:paraId="18BCF79D" w14:textId="77777777" w:rsidR="003E0F58" w:rsidRPr="00D5500F" w:rsidRDefault="003E0F58" w:rsidP="004D2249">
            <w:pPr>
              <w:jc w:val="right"/>
              <w:rPr>
                <w:rFonts w:eastAsia="Calibri" w:cs="Times New Roman"/>
                <w:sz w:val="20"/>
                <w:szCs w:val="20"/>
                <w:lang w:val="cs-CZ"/>
              </w:rPr>
            </w:pPr>
            <w:r w:rsidRPr="00D5500F">
              <w:rPr>
                <w:rFonts w:eastAsia="Calibri" w:cs="Times New Roman"/>
                <w:sz w:val="20"/>
                <w:szCs w:val="20"/>
                <w:lang w:val="cs-CZ"/>
              </w:rPr>
              <w:t>21,79</w:t>
            </w:r>
          </w:p>
        </w:tc>
      </w:tr>
    </w:tbl>
    <w:p w14:paraId="10424CE5" w14:textId="77777777" w:rsidR="003E0F58" w:rsidRPr="007C705C" w:rsidRDefault="003E0F58" w:rsidP="003E0F58">
      <w:pPr>
        <w:spacing w:after="200" w:line="276" w:lineRule="auto"/>
        <w:ind w:left="1418" w:hanging="851"/>
        <w:rPr>
          <w:rFonts w:eastAsia="Calibri" w:cs="Times New Roman"/>
          <w:i/>
          <w:sz w:val="18"/>
          <w:lang w:val="cs-CZ"/>
        </w:rPr>
      </w:pPr>
      <w:r w:rsidRPr="007C705C">
        <w:rPr>
          <w:rFonts w:eastAsia="Calibri" w:cs="Times New Roman"/>
          <w:i/>
          <w:sz w:val="18"/>
          <w:lang w:val="cs-CZ"/>
        </w:rPr>
        <w:t xml:space="preserve">Pozn.: </w:t>
      </w:r>
      <w:r w:rsidRPr="007C705C">
        <w:rPr>
          <w:rFonts w:eastAsia="Calibri" w:cs="Times New Roman"/>
          <w:i/>
          <w:sz w:val="18"/>
          <w:lang w:val="cs-CZ"/>
        </w:rPr>
        <w:tab/>
        <w:t xml:space="preserve">V tabulce jsou uvedeny údaje přepočtené na celkovou rozlohu lesa v Česku (zdroj: LOS VÚLHM).  Údaje v textu, pokud není uvedeno jinak, se týkají evidovaných dat LOS z přibližně 70 % území.  </w:t>
      </w:r>
    </w:p>
    <w:p w14:paraId="5A8C9B7F" w14:textId="77777777" w:rsidR="003E0F58" w:rsidRPr="007C705C" w:rsidRDefault="003E0F58" w:rsidP="00D5500F">
      <w:pPr>
        <w:pStyle w:val="UZEINormaln"/>
        <w:rPr>
          <w:rFonts w:eastAsia="Calibri"/>
        </w:rPr>
      </w:pPr>
      <w:r w:rsidRPr="007C705C">
        <w:rPr>
          <w:rFonts w:eastAsia="Calibri"/>
        </w:rPr>
        <w:t>V důsledku klimaticky extrémního roku 2015 vzrostl skokově evidovaný objem nahodilých kůrovcových těžeb ve smrkových porostech již v roce 2015 na hodnoty blízké objemům při rozsáhlých gradacích v letech 2007–2010, resp. 1993–1995. Celkový objem evidovaného smrkového kůrovcového dříví tak činil v roce 2015 1 477 tis. m</w:t>
      </w:r>
      <w:r w:rsidRPr="007C705C">
        <w:rPr>
          <w:rFonts w:eastAsia="Calibri"/>
          <w:vertAlign w:val="superscript"/>
        </w:rPr>
        <w:t>3</w:t>
      </w:r>
      <w:r w:rsidRPr="007C705C">
        <w:rPr>
          <w:rFonts w:eastAsia="Calibri"/>
        </w:rPr>
        <w:t>. Meziročně došlo k nárůstu o více než polovinu objemu evidovaného v roce 2014, kdy bylo zaznamenáno 896 tis. m</w:t>
      </w:r>
      <w:r w:rsidRPr="007C705C">
        <w:rPr>
          <w:rFonts w:eastAsia="Calibri"/>
          <w:vertAlign w:val="superscript"/>
        </w:rPr>
        <w:t>3</w:t>
      </w:r>
      <w:r w:rsidRPr="007C705C">
        <w:rPr>
          <w:rFonts w:eastAsia="Calibri"/>
        </w:rPr>
        <w:t xml:space="preserve"> (v roce 2012 evidováno 633 tis. m</w:t>
      </w:r>
      <w:r w:rsidRPr="007C705C">
        <w:rPr>
          <w:rFonts w:eastAsia="Calibri"/>
          <w:vertAlign w:val="superscript"/>
        </w:rPr>
        <w:t>3</w:t>
      </w:r>
      <w:r w:rsidRPr="007C705C">
        <w:rPr>
          <w:rFonts w:eastAsia="Calibri"/>
        </w:rPr>
        <w:t>, 2011 - 814 tis. m</w:t>
      </w:r>
      <w:r w:rsidRPr="007C705C">
        <w:rPr>
          <w:rFonts w:eastAsia="Calibri"/>
          <w:vertAlign w:val="superscript"/>
        </w:rPr>
        <w:t>3</w:t>
      </w:r>
      <w:r w:rsidRPr="007C705C">
        <w:rPr>
          <w:rFonts w:eastAsia="Calibri"/>
        </w:rPr>
        <w:t>, 2010 - 1 279 tis. m</w:t>
      </w:r>
      <w:r w:rsidRPr="007C705C">
        <w:rPr>
          <w:rFonts w:eastAsia="Calibri"/>
          <w:vertAlign w:val="superscript"/>
        </w:rPr>
        <w:t>3</w:t>
      </w:r>
      <w:r w:rsidRPr="007C705C">
        <w:rPr>
          <w:rFonts w:eastAsia="Calibri"/>
        </w:rPr>
        <w:t xml:space="preserve"> a 2009 - 1 863 tis. m</w:t>
      </w:r>
      <w:r w:rsidRPr="007C705C">
        <w:rPr>
          <w:rFonts w:eastAsia="Calibri"/>
          <w:vertAlign w:val="superscript"/>
        </w:rPr>
        <w:t>3</w:t>
      </w:r>
      <w:r w:rsidRPr="007C705C">
        <w:rPr>
          <w:rFonts w:eastAsia="Calibri"/>
        </w:rPr>
        <w:t>). Pokud objem evidovaný v roce 2015 přepočítáme na celkovou rozlohu lesů v Česku, dostaneme se na hodnotu cca 2,25 mil. m</w:t>
      </w:r>
      <w:r w:rsidRPr="007C705C">
        <w:rPr>
          <w:rFonts w:eastAsia="Calibri"/>
          <w:vertAlign w:val="superscript"/>
        </w:rPr>
        <w:t>3</w:t>
      </w:r>
      <w:r w:rsidRPr="007C705C">
        <w:rPr>
          <w:rFonts w:eastAsia="Calibri"/>
        </w:rPr>
        <w:t xml:space="preserve"> smrkového kůrovcového dříví. Na většině území se kůrovci na smrku v tomto období vyskytovali ve zvýšeném až kalamitním stavu. V přepočtu reprezentovalo evidované kůrovcové dříví v průměru cca 1,6 m</w:t>
      </w:r>
      <w:r w:rsidRPr="007C705C">
        <w:rPr>
          <w:rFonts w:eastAsia="Calibri"/>
          <w:vertAlign w:val="superscript"/>
        </w:rPr>
        <w:t>3</w:t>
      </w:r>
      <w:r w:rsidRPr="007C705C">
        <w:rPr>
          <w:rFonts w:eastAsia="Calibri"/>
        </w:rPr>
        <w:t>/ha smrkových porostů, což je více než osminásobek hodnoty odpovídající základnímu stavu 0,20 m</w:t>
      </w:r>
      <w:r w:rsidRPr="007C705C">
        <w:rPr>
          <w:rFonts w:eastAsia="Calibri"/>
          <w:vertAlign w:val="superscript"/>
        </w:rPr>
        <w:t>3</w:t>
      </w:r>
      <w:r w:rsidRPr="007C705C">
        <w:rPr>
          <w:rFonts w:eastAsia="Calibri"/>
        </w:rPr>
        <w:t>/ha podle vyhlášky MZe č. 101/1996 Sb. v platném znění (Lubojacký, Knížek 2016).</w:t>
      </w:r>
    </w:p>
    <w:p w14:paraId="5F363AB7" w14:textId="77777777" w:rsidR="003E0F58" w:rsidRPr="007C705C" w:rsidRDefault="003E0F58" w:rsidP="00D5500F">
      <w:pPr>
        <w:pStyle w:val="UZEINormaln"/>
        <w:rPr>
          <w:rFonts w:eastAsia="Calibri"/>
        </w:rPr>
      </w:pPr>
      <w:r w:rsidRPr="007C705C">
        <w:rPr>
          <w:rFonts w:eastAsia="Calibri"/>
        </w:rPr>
        <w:lastRenderedPageBreak/>
        <w:t>Nárůst mezi roky 2016 a 2017 již nebyl tak strmý, nicméně došlo k výraznému zhoršení situace a dalšímu překonání rekordních hodnot nejvyššího ročního evidovaného objemu kůrovcového dříví a potřebu realizace těžebních činností za hranicemi kapacitních i odběratelských možností. Evidovaný objem nahodilých kůrovcových těžeb ve smrkových porostech v roce 2017 opět vzrostl a překonal tak historicky nejvyšší hodnotu, která byla zaznamenána jen o rok zpět. Celkový objem evidovaného smrkového kůrovcového dříví činil v roce 2017 3,741 mil. m</w:t>
      </w:r>
      <w:r w:rsidRPr="007C705C">
        <w:rPr>
          <w:rFonts w:eastAsia="Calibri"/>
          <w:vertAlign w:val="superscript"/>
        </w:rPr>
        <w:t>3</w:t>
      </w:r>
      <w:r w:rsidRPr="007C705C">
        <w:rPr>
          <w:rFonts w:eastAsia="Calibri"/>
        </w:rPr>
        <w:t>, což meziročně představuje nárůst o více než 25 %. V roce 2016 se jednalo o 3,002 mil. m</w:t>
      </w:r>
      <w:r w:rsidRPr="007C705C">
        <w:rPr>
          <w:rFonts w:eastAsia="Calibri"/>
          <w:vertAlign w:val="superscript"/>
        </w:rPr>
        <w:t>3</w:t>
      </w:r>
      <w:r w:rsidRPr="007C705C">
        <w:rPr>
          <w:rFonts w:eastAsia="Calibri"/>
        </w:rPr>
        <w:t>. Pokud objem evidovaný v roce 2017 opět přepočítáme na celkovou rozlohu lesů v Česku (hlášení pokrývají cca 70 % rozlohy lesů), dostaneme se na hodnotu cca 5,34 mil. m</w:t>
      </w:r>
      <w:r w:rsidRPr="007C705C">
        <w:rPr>
          <w:rFonts w:eastAsia="Calibri"/>
          <w:vertAlign w:val="superscript"/>
        </w:rPr>
        <w:t>3</w:t>
      </w:r>
      <w:r w:rsidRPr="007C705C">
        <w:rPr>
          <w:rFonts w:eastAsia="Calibri"/>
        </w:rPr>
        <w:t xml:space="preserve"> smrkového kůrovcového dříví. Na značné části území se tak kůrovci na smrku již vyskytovali v kalamitním stavu. V přepočtu reprezentuje evidované kůrovcové dříví v roce 2017 v průměru alarmující hodnotu cca 3,99 m</w:t>
      </w:r>
      <w:r w:rsidRPr="007C705C">
        <w:rPr>
          <w:rFonts w:eastAsia="Calibri"/>
          <w:vertAlign w:val="superscript"/>
        </w:rPr>
        <w:t>3</w:t>
      </w:r>
      <w:r w:rsidRPr="007C705C">
        <w:rPr>
          <w:rFonts w:eastAsia="Calibri"/>
        </w:rPr>
        <w:t>/ha smrkových porostů, takže se jedná o cca dvacetinásobné překročení hodnoty odpovídající základnímu stavu (Lubojacký et al. 2018).</w:t>
      </w:r>
    </w:p>
    <w:p w14:paraId="3E7767AE" w14:textId="465DE662" w:rsidR="003E0F58" w:rsidRPr="007C705C" w:rsidRDefault="003E0F58" w:rsidP="00D5500F">
      <w:pPr>
        <w:pStyle w:val="UZEINormaln"/>
        <w:rPr>
          <w:rFonts w:eastAsia="Calibri"/>
        </w:rPr>
      </w:pPr>
      <w:r w:rsidRPr="007C705C">
        <w:t>V roce 2018 evidovaný objem nahodilých kůrovcových těžeb ve smrkových porostech opět vzrostl a překonal tak historicky nejvyšší hodnotu, která byla zaznamenána jen o rok zpět.  Celkový objem evidovaného smrkového kůrovcového dříví činil v roce 2018 8,354 mil. m</w:t>
      </w:r>
      <w:r w:rsidRPr="007C705C">
        <w:rPr>
          <w:vertAlign w:val="superscript"/>
        </w:rPr>
        <w:t>3</w:t>
      </w:r>
      <w:r w:rsidRPr="007C705C">
        <w:t>, což meziročně představuje nárůst o více než 100 %. Pokud objem evidovaný v roce 2018 přepočítáme na celkovou rozlohu lesů v Česku (hlášení pokrývají cca 70 % rozlohy lesů), dostaneme se na hodnotu cca 12 mil. m</w:t>
      </w:r>
      <w:r w:rsidRPr="007C705C">
        <w:rPr>
          <w:vertAlign w:val="superscript"/>
        </w:rPr>
        <w:t>3</w:t>
      </w:r>
      <w:r w:rsidRPr="007C705C">
        <w:t xml:space="preserve"> smrkového kůrovcového dříví. Pokud bychom kalkulovali celkové napadení smrku kůrovci v roce 2018, je nutné přihlédnout</w:t>
      </w:r>
      <w:r w:rsidR="00A36BA9">
        <w:t xml:space="preserve"> ke skutečnosti,</w:t>
      </w:r>
      <w:r w:rsidRPr="007C705C">
        <w:t xml:space="preserve"> že ke konci roku zůstávalo v lesních porostech dalších cca 6 mil. m</w:t>
      </w:r>
      <w:r w:rsidRPr="007C705C">
        <w:rPr>
          <w:vertAlign w:val="superscript"/>
        </w:rPr>
        <w:t>3</w:t>
      </w:r>
      <w:r w:rsidRPr="007C705C">
        <w:t xml:space="preserve"> stojících dosud nezpracovaných kůrovcových stromů a souší! V roce 2018 se kůrovci na smrku na většině území již vyskytovali v kalamitním stavu a naopak v žádném z okresů se nevyskytovali ve stavu základním. V přepočtu reprezentovalo evidované kůrovcové dříví v průměru alarmujících cca 8,91 m</w:t>
      </w:r>
      <w:r w:rsidRPr="007C705C">
        <w:rPr>
          <w:vertAlign w:val="superscript"/>
        </w:rPr>
        <w:t>3</w:t>
      </w:r>
      <w:r w:rsidRPr="007C705C">
        <w:t>/ha smrkových porostů, takže se jednalo o cca čtyřicetipěti-násobné překročení hodnoty odpovídající základnímu stavu 0,20 m</w:t>
      </w:r>
      <w:r w:rsidRPr="007C705C">
        <w:rPr>
          <w:vertAlign w:val="superscript"/>
        </w:rPr>
        <w:t>3</w:t>
      </w:r>
      <w:r w:rsidRPr="007C705C">
        <w:t>/ha podle vyhlášky MZe č. 101/1996 Sb., v platném znění</w:t>
      </w:r>
      <w:r w:rsidRPr="007C705C" w:rsidDel="008166BE">
        <w:rPr>
          <w:rFonts w:eastAsia="Calibri"/>
        </w:rPr>
        <w:t xml:space="preserve"> </w:t>
      </w:r>
      <w:r w:rsidRPr="007C705C">
        <w:rPr>
          <w:rFonts w:eastAsia="Calibri"/>
        </w:rPr>
        <w:t>(Lubojacký et al. 2019a).</w:t>
      </w:r>
    </w:p>
    <w:p w14:paraId="05D158F4" w14:textId="6827CB5C" w:rsidR="003E0F58" w:rsidRPr="007C705C" w:rsidRDefault="003E0F58" w:rsidP="00D5500F">
      <w:pPr>
        <w:pStyle w:val="UZEINormaln"/>
      </w:pPr>
      <w:r w:rsidRPr="007C705C">
        <w:t>V roce 2019 evidovaný objem nahodilých kůrovcových těžeb ve smrkových porostech opět vzrostl a to bez přerušení již sedmým rokem v řadě. Překonána byla historicky nejvyšší hodnota, která byla zaznamenána jen o rok dříve. Celkový objem evidovaného smrkového kůrovcového dříví činil v roce 2019 14,492 mil. m</w:t>
      </w:r>
      <w:r w:rsidRPr="007C705C">
        <w:rPr>
          <w:vertAlign w:val="superscript"/>
        </w:rPr>
        <w:t>3</w:t>
      </w:r>
      <w:r w:rsidRPr="007C705C">
        <w:t>, což meziročně představuje nárůst o více než 70 %. Pokud objem evidovaný v roce 2019 přepočítáme na celkovou rozlohu lesů v Česku (hlášení pokrývají cca 70 % rozlohy lesů), dostaneme se na hodnotu téměř 21 mil. m</w:t>
      </w:r>
      <w:r w:rsidRPr="007C705C">
        <w:rPr>
          <w:vertAlign w:val="superscript"/>
        </w:rPr>
        <w:t>3</w:t>
      </w:r>
      <w:r w:rsidRPr="007C705C">
        <w:t xml:space="preserve"> smrkového kůrovcového dříví! Pokud bychom kalkulovali celkové napadení smrku kůrovci v roce 2019, je nutné ještě přihlédnout ke skutečnosti, že ke konci téhož roku zůstalo v lesních porostech dalších cca 5-10 mil. m</w:t>
      </w:r>
      <w:r w:rsidRPr="007C705C">
        <w:rPr>
          <w:vertAlign w:val="superscript"/>
        </w:rPr>
        <w:t>3</w:t>
      </w:r>
      <w:r w:rsidRPr="007C705C">
        <w:t xml:space="preserve"> stojících dosud nezpracovaných kůrovcových stromů a souší, vzniklých v daném roce! Celkové napadení smrku podkorním hmyzem vzniklé v roce 2019 proto dosahuje hodnoty pohybující se okolo 25-30 mil. m</w:t>
      </w:r>
      <w:r w:rsidRPr="007C705C">
        <w:rPr>
          <w:vertAlign w:val="superscript"/>
        </w:rPr>
        <w:t>3</w:t>
      </w:r>
      <w:r w:rsidRPr="007C705C">
        <w:t>!! Na většině území se kůrovci na smrku již vyskytují v kalamitním stavu a naopak v žádném z okresů se nevyskytují ve stavu základním. V přepočtu reprezentuje evidované kůrovcové dříví v průměru alarmujících cca 15,9 m</w:t>
      </w:r>
      <w:r w:rsidRPr="007C705C">
        <w:rPr>
          <w:vertAlign w:val="superscript"/>
        </w:rPr>
        <w:t>3</w:t>
      </w:r>
      <w:r w:rsidRPr="007C705C">
        <w:t xml:space="preserve">/ha smrkových porostů, takže se jedná o </w:t>
      </w:r>
      <w:r w:rsidR="00A36BA9">
        <w:t>mnohonásobné (resp. více než 50-</w:t>
      </w:r>
      <w:r w:rsidRPr="007C705C">
        <w:t>násobné) překročení hodnoty odpovídající základnímu stavu 0,20 m3/ha podle vyhlášky MZe č. 101/1996 Sb., v aktuálním znění (Lubojacký, Knížek 2020).</w:t>
      </w:r>
    </w:p>
    <w:p w14:paraId="4B4E3AD8" w14:textId="77777777" w:rsidR="003E0F58" w:rsidRPr="007C705C" w:rsidRDefault="003E0F58" w:rsidP="00D5500F">
      <w:pPr>
        <w:pStyle w:val="UZEINormaln"/>
        <w:rPr>
          <w:rFonts w:eastAsia="Calibri"/>
        </w:rPr>
      </w:pPr>
      <w:r w:rsidRPr="007C705C">
        <w:t>Regionálně platí, že rozsah napadení je územně diferencován. Mnohem více je aktuálně zasažena jižní část Česka, kde jen v krajích Vysočina, Jihočeském a Jihomoravském bylo evidováno společně cca 7,32 mil. m</w:t>
      </w:r>
      <w:r w:rsidRPr="007C705C">
        <w:rPr>
          <w:vertAlign w:val="superscript"/>
        </w:rPr>
        <w:t>3</w:t>
      </w:r>
      <w:r w:rsidRPr="007C705C">
        <w:t xml:space="preserve"> kůrovcového dříví, tj. více než ve zbytku republiky (2018 – 3,32 mil. m</w:t>
      </w:r>
      <w:r w:rsidRPr="007C705C">
        <w:rPr>
          <w:vertAlign w:val="superscript"/>
        </w:rPr>
        <w:t>3</w:t>
      </w:r>
      <w:r w:rsidRPr="007C705C">
        <w:t>; 2017 – 0,85 mil. m</w:t>
      </w:r>
      <w:r w:rsidRPr="007C705C">
        <w:rPr>
          <w:vertAlign w:val="superscript"/>
        </w:rPr>
        <w:t>3</w:t>
      </w:r>
      <w:r w:rsidRPr="007C705C">
        <w:t xml:space="preserve">). Na severovýchodě Česka (historická oblast severní Moravy a Slezska), kde byla situace v předchozích letech nejhorší, kalamita postupně „vyhasíná“ v souvislosti s úbytkem atraktivních smrkových porostů v pahorkatinných a </w:t>
      </w:r>
      <w:r w:rsidRPr="007C705C">
        <w:lastRenderedPageBreak/>
        <w:t>vrchovinných polohách. V Moravskoslezském a Olomouckém kraji bylo v loňském roce evidováno společně 2,23 mil. m</w:t>
      </w:r>
      <w:r w:rsidRPr="007C705C">
        <w:rPr>
          <w:vertAlign w:val="superscript"/>
        </w:rPr>
        <w:t>3</w:t>
      </w:r>
      <w:r w:rsidRPr="007C705C">
        <w:t xml:space="preserve"> kůrovcového dříví (2018 – 2,64 mil. m</w:t>
      </w:r>
      <w:r w:rsidRPr="007C705C">
        <w:rPr>
          <w:vertAlign w:val="superscript"/>
        </w:rPr>
        <w:t>3</w:t>
      </w:r>
      <w:r w:rsidRPr="007C705C">
        <w:t>; 2017 – 2,10 mil. m</w:t>
      </w:r>
      <w:r w:rsidRPr="007C705C">
        <w:rPr>
          <w:vertAlign w:val="superscript"/>
        </w:rPr>
        <w:t>3</w:t>
      </w:r>
      <w:r w:rsidRPr="007C705C">
        <w:t>). Z pohledu hypsometrického platí, že převaha napadených porostů se v celém státě stále nachází v nadmořských výškách do cca 800 m, takže vlastní horské polohy jsou doposud zasaženy méně. Z hlediska krajů byly nejvyšší objemy smrkového kůrovcového dříví (vyšší než 1 mil. m</w:t>
      </w:r>
      <w:r w:rsidRPr="007C705C">
        <w:rPr>
          <w:vertAlign w:val="superscript"/>
        </w:rPr>
        <w:t>3</w:t>
      </w:r>
      <w:r w:rsidRPr="007C705C">
        <w:t>) vykázány v krajích Vysočina (3,373 mil. m</w:t>
      </w:r>
      <w:r w:rsidRPr="007C705C">
        <w:rPr>
          <w:vertAlign w:val="superscript"/>
        </w:rPr>
        <w:t>3</w:t>
      </w:r>
      <w:r w:rsidRPr="007C705C">
        <w:t>; 2018 – 1,367 mil. m</w:t>
      </w:r>
      <w:r w:rsidRPr="007C705C">
        <w:rPr>
          <w:vertAlign w:val="superscript"/>
        </w:rPr>
        <w:t>3</w:t>
      </w:r>
      <w:r w:rsidRPr="007C705C">
        <w:t>; 2017 – 0,268 mil. m</w:t>
      </w:r>
      <w:r w:rsidRPr="007C705C">
        <w:rPr>
          <w:vertAlign w:val="superscript"/>
        </w:rPr>
        <w:t>3</w:t>
      </w:r>
      <w:r w:rsidRPr="007C705C">
        <w:t>), Jihočeském (2,373 mil. m</w:t>
      </w:r>
      <w:r w:rsidRPr="007C705C">
        <w:rPr>
          <w:vertAlign w:val="superscript"/>
        </w:rPr>
        <w:t>3</w:t>
      </w:r>
      <w:r w:rsidRPr="007C705C">
        <w:t>; 2018 – 1,148 mil. m</w:t>
      </w:r>
      <w:r w:rsidRPr="007C705C">
        <w:rPr>
          <w:vertAlign w:val="superscript"/>
        </w:rPr>
        <w:t>3</w:t>
      </w:r>
      <w:r w:rsidRPr="007C705C">
        <w:t>; 2017 – 0,352 mil. m</w:t>
      </w:r>
      <w:r w:rsidRPr="007C705C">
        <w:rPr>
          <w:vertAlign w:val="superscript"/>
        </w:rPr>
        <w:t>3</w:t>
      </w:r>
      <w:r w:rsidRPr="007C705C">
        <w:t>), Jihomoravském (1,573 mil. m</w:t>
      </w:r>
      <w:r w:rsidRPr="007C705C">
        <w:rPr>
          <w:vertAlign w:val="superscript"/>
        </w:rPr>
        <w:t>3</w:t>
      </w:r>
      <w:r w:rsidRPr="007C705C">
        <w:t>; 2018 – 0,805 mil. m</w:t>
      </w:r>
      <w:r w:rsidRPr="007C705C">
        <w:rPr>
          <w:vertAlign w:val="superscript"/>
        </w:rPr>
        <w:t>3</w:t>
      </w:r>
      <w:r w:rsidRPr="007C705C">
        <w:t>; 2017 – 0,229 mil. m</w:t>
      </w:r>
      <w:r w:rsidRPr="007C705C">
        <w:rPr>
          <w:vertAlign w:val="superscript"/>
        </w:rPr>
        <w:t>3</w:t>
      </w:r>
      <w:r w:rsidRPr="007C705C">
        <w:t>), Středočeském (1,187 mil. m</w:t>
      </w:r>
      <w:r w:rsidRPr="007C705C">
        <w:rPr>
          <w:vertAlign w:val="superscript"/>
        </w:rPr>
        <w:t>3</w:t>
      </w:r>
      <w:r w:rsidRPr="007C705C">
        <w:t>; 2018 – 0,393 mil. m</w:t>
      </w:r>
      <w:r w:rsidRPr="007C705C">
        <w:rPr>
          <w:vertAlign w:val="superscript"/>
        </w:rPr>
        <w:t>3</w:t>
      </w:r>
      <w:r w:rsidRPr="007C705C">
        <w:t>; 2017 – 0,098 mil. m</w:t>
      </w:r>
      <w:r w:rsidRPr="007C705C">
        <w:rPr>
          <w:vertAlign w:val="superscript"/>
        </w:rPr>
        <w:t>3</w:t>
      </w:r>
      <w:r w:rsidRPr="007C705C">
        <w:t>), Olomouckém (1,132 mil. m</w:t>
      </w:r>
      <w:r w:rsidRPr="007C705C">
        <w:rPr>
          <w:vertAlign w:val="superscript"/>
        </w:rPr>
        <w:t>3</w:t>
      </w:r>
      <w:r w:rsidRPr="007C705C">
        <w:t>; 2018 – 0,984 mil. m</w:t>
      </w:r>
      <w:r w:rsidRPr="007C705C">
        <w:rPr>
          <w:vertAlign w:val="superscript"/>
        </w:rPr>
        <w:t>3</w:t>
      </w:r>
      <w:r w:rsidRPr="007C705C">
        <w:t>; 2017 – 0,641 mil. m</w:t>
      </w:r>
      <w:r w:rsidRPr="007C705C">
        <w:rPr>
          <w:vertAlign w:val="superscript"/>
        </w:rPr>
        <w:t>3</w:t>
      </w:r>
      <w:r w:rsidRPr="007C705C">
        <w:t>), Moravskoslezském (1,097 mil. m</w:t>
      </w:r>
      <w:r w:rsidRPr="007C705C">
        <w:rPr>
          <w:vertAlign w:val="superscript"/>
        </w:rPr>
        <w:t>3</w:t>
      </w:r>
      <w:r w:rsidRPr="007C705C">
        <w:t>; 2018 – 1,659 mil. m</w:t>
      </w:r>
      <w:r w:rsidRPr="007C705C">
        <w:rPr>
          <w:vertAlign w:val="superscript"/>
        </w:rPr>
        <w:t>3</w:t>
      </w:r>
      <w:r w:rsidRPr="007C705C">
        <w:t>; 2017 – 1,458 mil. m</w:t>
      </w:r>
      <w:r w:rsidRPr="007C705C">
        <w:rPr>
          <w:vertAlign w:val="superscript"/>
        </w:rPr>
        <w:t>3</w:t>
      </w:r>
      <w:r w:rsidRPr="007C705C">
        <w:t>) a Plzeňském (1,057 mil. m</w:t>
      </w:r>
      <w:r w:rsidRPr="007C705C">
        <w:rPr>
          <w:vertAlign w:val="superscript"/>
        </w:rPr>
        <w:t>3</w:t>
      </w:r>
      <w:r w:rsidRPr="007C705C">
        <w:t>; 2018 – 0,573 mil. m</w:t>
      </w:r>
      <w:r w:rsidRPr="007C705C">
        <w:rPr>
          <w:vertAlign w:val="superscript"/>
        </w:rPr>
        <w:t>3</w:t>
      </w:r>
      <w:r w:rsidRPr="007C705C">
        <w:t>; 2017 – 0,285 mil. m</w:t>
      </w:r>
      <w:r w:rsidRPr="007C705C">
        <w:rPr>
          <w:vertAlign w:val="superscript"/>
        </w:rPr>
        <w:t>3</w:t>
      </w:r>
      <w:r w:rsidRPr="007C705C">
        <w:t>) (Lubojacký, Knížek 2020)</w:t>
      </w:r>
      <w:r w:rsidRPr="007C705C">
        <w:rPr>
          <w:rFonts w:eastAsia="Calibri"/>
        </w:rPr>
        <w:t>.</w:t>
      </w:r>
    </w:p>
    <w:p w14:paraId="13343EC6" w14:textId="77777777" w:rsidR="003E0F58" w:rsidRPr="007C705C" w:rsidRDefault="003E0F58" w:rsidP="00D5500F">
      <w:pPr>
        <w:pStyle w:val="UZEINormaln"/>
        <w:rPr>
          <w:rFonts w:eastAsia="Calibri"/>
        </w:rPr>
      </w:pPr>
      <w:r w:rsidRPr="007C705C">
        <w:rPr>
          <w:rFonts w:eastAsia="Calibri"/>
        </w:rPr>
        <w:t>Nepříznivou situaci v oblasti severní a střední Moravy a Slezska prohlubuje neustále se rozšiřující tzv. komplexní chřadnutí smrkových porostů, jež pramení zejména z dlouhotrvajícího období častých přísušků, okyselení půd, nedostatku bazických živin, rozsáhlého napadení smrku václavkami (</w:t>
      </w:r>
      <w:r w:rsidRPr="007C705C">
        <w:rPr>
          <w:rFonts w:eastAsia="Calibri"/>
          <w:i/>
        </w:rPr>
        <w:t>Armillaria</w:t>
      </w:r>
      <w:r w:rsidRPr="007C705C">
        <w:rPr>
          <w:rFonts w:eastAsia="Calibri"/>
        </w:rPr>
        <w:t xml:space="preserve"> spp.), nedostatečné ochrany před podkorním hmyzem ze strany lesnického provozu atd. V komplexu faktorů ovlivňujících chřadnutí smrku je zde proto napadení kůrovci zpravidla až druhotné nebo dokonce terciální, bohužel však vždy s letálními následky pro strom v krátké době cca 6-8(10) týdnů, tj. délka vývoje jedné generace lýkožrouta. Při současném trendu vývoje povětrnostních vlivů a pokračování dosavadního převážně pasivního přístupu k ochraně lesa, nepříznivou situaci v kalamitních oblastech “zvrátí” až výrazné snížení zastoupení smrku ruku v ruce s úpravou dřevinné skladby stávajících smrkových porostů pěstovaných na nevhodných stanovištích (Lubojacký et al. 2018). </w:t>
      </w:r>
    </w:p>
    <w:p w14:paraId="5658DE49" w14:textId="77777777" w:rsidR="003E0F58" w:rsidRPr="007C705C" w:rsidRDefault="003E0F58" w:rsidP="003E0F58">
      <w:pPr>
        <w:keepNext/>
        <w:spacing w:line="276" w:lineRule="auto"/>
        <w:ind w:left="142"/>
        <w:rPr>
          <w:rFonts w:eastAsia="Calibri" w:cs="Times New Roman"/>
          <w:noProof/>
          <w:sz w:val="22"/>
          <w:lang w:val="cs-CZ"/>
        </w:rPr>
      </w:pPr>
    </w:p>
    <w:p w14:paraId="3028335A" w14:textId="77777777" w:rsidR="001F7140" w:rsidRDefault="003E0F58">
      <w:pPr>
        <w:keepNext/>
        <w:spacing w:line="276" w:lineRule="auto"/>
        <w:ind w:left="142"/>
      </w:pPr>
      <w:r w:rsidRPr="007C705C">
        <w:rPr>
          <w:rFonts w:cs="Times New Roman"/>
          <w:noProof/>
          <w:lang w:val="cs-CZ" w:eastAsia="cs-CZ"/>
        </w:rPr>
        <w:drawing>
          <wp:inline distT="0" distB="0" distL="0" distR="0" wp14:anchorId="758716DC" wp14:editId="5A84E1E4">
            <wp:extent cx="5760085" cy="2773045"/>
            <wp:effectExtent l="0" t="0" r="0" b="8255"/>
            <wp:docPr id="7" name="Obrázek 7" descr="Obsah obrázku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ázek 7" descr="Obsah obrázku stůl&#10;&#10;Popis byl vytvořen automaticky"/>
                    <pic:cNvPicPr/>
                  </pic:nvPicPr>
                  <pic:blipFill>
                    <a:blip r:embed="rId33"/>
                    <a:stretch>
                      <a:fillRect/>
                    </a:stretch>
                  </pic:blipFill>
                  <pic:spPr>
                    <a:xfrm>
                      <a:off x="0" y="0"/>
                      <a:ext cx="5760085" cy="2773045"/>
                    </a:xfrm>
                    <a:prstGeom prst="rect">
                      <a:avLst/>
                    </a:prstGeom>
                  </pic:spPr>
                </pic:pic>
              </a:graphicData>
            </a:graphic>
          </wp:inline>
        </w:drawing>
      </w:r>
      <w:r w:rsidRPr="007C705C">
        <w:rPr>
          <w:rFonts w:eastAsia="Calibri" w:cs="Times New Roman"/>
          <w:noProof/>
          <w:sz w:val="22"/>
          <w:lang w:val="cs-CZ" w:eastAsia="cs-CZ"/>
        </w:rPr>
        <w:drawing>
          <wp:inline distT="0" distB="0" distL="0" distR="0" wp14:anchorId="36DADE4A" wp14:editId="058E9D65">
            <wp:extent cx="5771515" cy="2780665"/>
            <wp:effectExtent l="0" t="0" r="635" b="635"/>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71515" cy="2780665"/>
                    </a:xfrm>
                    <a:prstGeom prst="rect">
                      <a:avLst/>
                    </a:prstGeom>
                    <a:noFill/>
                  </pic:spPr>
                </pic:pic>
              </a:graphicData>
            </a:graphic>
          </wp:inline>
        </w:drawing>
      </w:r>
    </w:p>
    <w:p w14:paraId="2A5484BE" w14:textId="0CFDEE75" w:rsidR="003E0F58" w:rsidRPr="005D1920" w:rsidRDefault="001F7140" w:rsidP="005D1920">
      <w:pPr>
        <w:pStyle w:val="Titulek"/>
        <w:rPr>
          <w:rFonts w:cs="Arial"/>
          <w:noProof/>
          <w:sz w:val="20"/>
          <w:lang w:eastAsia="cs-CZ"/>
        </w:rPr>
      </w:pPr>
      <w:bookmarkStart w:id="313" w:name="_Toc93583789"/>
      <w:r w:rsidRPr="005D1920">
        <w:rPr>
          <w:rFonts w:cs="Arial"/>
          <w:bCs w:val="0"/>
          <w:noProof/>
          <w:sz w:val="20"/>
          <w:lang w:eastAsia="cs-CZ"/>
        </w:rPr>
        <w:t xml:space="preserve">Obrázek </w:t>
      </w:r>
      <w:r w:rsidRPr="005D1920">
        <w:rPr>
          <w:rFonts w:cs="Arial"/>
          <w:bCs w:val="0"/>
          <w:noProof/>
          <w:sz w:val="20"/>
          <w:lang w:eastAsia="cs-CZ"/>
        </w:rPr>
        <w:fldChar w:fldCharType="begin"/>
      </w:r>
      <w:r w:rsidRPr="005D1920">
        <w:rPr>
          <w:rFonts w:cs="Arial"/>
          <w:bCs w:val="0"/>
          <w:noProof/>
          <w:sz w:val="20"/>
          <w:lang w:eastAsia="cs-CZ"/>
        </w:rPr>
        <w:instrText xml:space="preserve"> SEQ Obrázek \* ARABIC </w:instrText>
      </w:r>
      <w:r w:rsidRPr="005D1920">
        <w:rPr>
          <w:rFonts w:cs="Arial"/>
          <w:bCs w:val="0"/>
          <w:noProof/>
          <w:sz w:val="20"/>
          <w:lang w:eastAsia="cs-CZ"/>
        </w:rPr>
        <w:fldChar w:fldCharType="separate"/>
      </w:r>
      <w:r w:rsidR="000C4C46">
        <w:rPr>
          <w:rFonts w:cs="Arial"/>
          <w:bCs w:val="0"/>
          <w:noProof/>
          <w:sz w:val="20"/>
          <w:lang w:eastAsia="cs-CZ"/>
        </w:rPr>
        <w:t>6</w:t>
      </w:r>
      <w:r w:rsidRPr="005D1920">
        <w:rPr>
          <w:rFonts w:cs="Arial"/>
          <w:bCs w:val="0"/>
          <w:noProof/>
          <w:sz w:val="20"/>
          <w:lang w:eastAsia="cs-CZ"/>
        </w:rPr>
        <w:fldChar w:fldCharType="end"/>
      </w:r>
      <w:r w:rsidRPr="005D1920">
        <w:rPr>
          <w:rFonts w:cs="Arial"/>
          <w:bCs w:val="0"/>
          <w:noProof/>
          <w:sz w:val="20"/>
          <w:lang w:eastAsia="cs-CZ"/>
        </w:rPr>
        <w:t xml:space="preserve"> Evidovaný objem smrkového kůrovcového dříví od roku 1990 (zdroj: VÚLHM, LOS</w:t>
      </w:r>
      <w:r>
        <w:rPr>
          <w:rFonts w:cs="Arial"/>
          <w:bCs w:val="0"/>
          <w:noProof/>
          <w:sz w:val="20"/>
          <w:lang w:eastAsia="cs-CZ"/>
        </w:rPr>
        <w:t>)</w:t>
      </w:r>
      <w:bookmarkEnd w:id="313"/>
    </w:p>
    <w:p w14:paraId="1AD1BE66" w14:textId="77777777" w:rsidR="001F7140" w:rsidRDefault="003E0F58">
      <w:pPr>
        <w:keepNext/>
        <w:spacing w:before="120" w:line="276" w:lineRule="auto"/>
        <w:ind w:left="142" w:right="113"/>
      </w:pPr>
      <w:r w:rsidRPr="007C705C">
        <w:rPr>
          <w:rFonts w:cs="Times New Roman"/>
          <w:noProof/>
          <w:color w:val="5B9BD5"/>
          <w:lang w:val="cs-CZ" w:eastAsia="cs-CZ"/>
        </w:rPr>
        <w:lastRenderedPageBreak/>
        <w:drawing>
          <wp:inline distT="0" distB="0" distL="0" distR="0" wp14:anchorId="4B38DD5E" wp14:editId="5F914965">
            <wp:extent cx="5760085" cy="3761396"/>
            <wp:effectExtent l="0" t="0" r="0" b="0"/>
            <wp:docPr id="9" name="Obrázek 9" descr="C:\Users\luboj\Desktop\VÚLHM\LOS\ZOL_Supplementum\Supplementum 2019_2020\Tabulky a mapy_škodlivci\kůrovci SM m3 na ha 201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uboj\Desktop\VÚLHM\LOS\ZOL_Supplementum\Supplementum 2019_2020\Tabulky a mapy_škodlivci\kůrovci SM m3 na ha 2019.bmp"/>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60085" cy="3761396"/>
                    </a:xfrm>
                    <a:prstGeom prst="rect">
                      <a:avLst/>
                    </a:prstGeom>
                    <a:noFill/>
                    <a:ln>
                      <a:noFill/>
                    </a:ln>
                  </pic:spPr>
                </pic:pic>
              </a:graphicData>
            </a:graphic>
          </wp:inline>
        </w:drawing>
      </w:r>
      <w:r w:rsidRPr="007C705C">
        <w:rPr>
          <w:rFonts w:eastAsia="Calibri" w:cs="Times New Roman"/>
          <w:noProof/>
          <w:color w:val="5B9BD5"/>
          <w:sz w:val="22"/>
          <w:lang w:val="cs-CZ" w:eastAsia="cs-CZ"/>
        </w:rPr>
        <w:drawing>
          <wp:inline distT="0" distB="0" distL="0" distR="0" wp14:anchorId="63B99742" wp14:editId="61ECAA92">
            <wp:extent cx="5753100" cy="3619500"/>
            <wp:effectExtent l="0" t="0" r="0" b="0"/>
            <wp:docPr id="14" name="Obrázek 14" descr="obr 26 kůrovci SM m3 na ha 2017 upr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obr 26 kůrovci SM m3 na ha 2017 uprava"/>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3100" cy="3619500"/>
                    </a:xfrm>
                    <a:prstGeom prst="rect">
                      <a:avLst/>
                    </a:prstGeom>
                    <a:noFill/>
                    <a:ln>
                      <a:noFill/>
                    </a:ln>
                  </pic:spPr>
                </pic:pic>
              </a:graphicData>
            </a:graphic>
          </wp:inline>
        </w:drawing>
      </w:r>
    </w:p>
    <w:p w14:paraId="3489335F" w14:textId="4AFCE6A0" w:rsidR="003E0F58" w:rsidRPr="005D1920" w:rsidRDefault="001F7140" w:rsidP="005D1920">
      <w:pPr>
        <w:pStyle w:val="Titulek"/>
        <w:rPr>
          <w:rFonts w:cs="Arial"/>
          <w:noProof/>
          <w:sz w:val="20"/>
          <w:lang w:eastAsia="cs-CZ"/>
        </w:rPr>
      </w:pPr>
      <w:bookmarkStart w:id="314" w:name="_Toc93583790"/>
      <w:r w:rsidRPr="005D1920">
        <w:rPr>
          <w:rFonts w:cs="Arial"/>
          <w:bCs w:val="0"/>
          <w:noProof/>
          <w:sz w:val="20"/>
          <w:lang w:eastAsia="cs-CZ"/>
        </w:rPr>
        <w:t xml:space="preserve">Obrázek </w:t>
      </w:r>
      <w:r w:rsidRPr="005D1920">
        <w:rPr>
          <w:rFonts w:cs="Arial"/>
          <w:bCs w:val="0"/>
          <w:noProof/>
          <w:sz w:val="20"/>
          <w:lang w:eastAsia="cs-CZ"/>
        </w:rPr>
        <w:fldChar w:fldCharType="begin"/>
      </w:r>
      <w:r w:rsidRPr="005D1920">
        <w:rPr>
          <w:rFonts w:cs="Arial"/>
          <w:bCs w:val="0"/>
          <w:noProof/>
          <w:sz w:val="20"/>
          <w:lang w:eastAsia="cs-CZ"/>
        </w:rPr>
        <w:instrText xml:space="preserve"> SEQ Obrázek \* ARABIC </w:instrText>
      </w:r>
      <w:r w:rsidRPr="005D1920">
        <w:rPr>
          <w:rFonts w:cs="Arial"/>
          <w:bCs w:val="0"/>
          <w:noProof/>
          <w:sz w:val="20"/>
          <w:lang w:eastAsia="cs-CZ"/>
        </w:rPr>
        <w:fldChar w:fldCharType="separate"/>
      </w:r>
      <w:r w:rsidR="000C4C46">
        <w:rPr>
          <w:rFonts w:cs="Arial"/>
          <w:bCs w:val="0"/>
          <w:noProof/>
          <w:sz w:val="20"/>
          <w:lang w:eastAsia="cs-CZ"/>
        </w:rPr>
        <w:t>7</w:t>
      </w:r>
      <w:r w:rsidRPr="005D1920">
        <w:rPr>
          <w:rFonts w:cs="Arial"/>
          <w:bCs w:val="0"/>
          <w:noProof/>
          <w:sz w:val="20"/>
          <w:lang w:eastAsia="cs-CZ"/>
        </w:rPr>
        <w:fldChar w:fldCharType="end"/>
      </w:r>
      <w:r>
        <w:rPr>
          <w:rFonts w:cs="Arial"/>
          <w:bCs w:val="0"/>
          <w:noProof/>
          <w:sz w:val="20"/>
          <w:lang w:eastAsia="cs-CZ"/>
        </w:rPr>
        <w:t xml:space="preserve"> </w:t>
      </w:r>
      <w:r w:rsidRPr="005D1920">
        <w:rPr>
          <w:rFonts w:cs="Arial"/>
          <w:bCs w:val="0"/>
          <w:noProof/>
          <w:sz w:val="20"/>
          <w:lang w:eastAsia="cs-CZ"/>
        </w:rPr>
        <w:t>Evidovaný objem smrkového kůrovcového dříví na 1 ha smrkových porostů v roce 2019 (zdroj: VÚLHM, LOS</w:t>
      </w:r>
      <w:r>
        <w:rPr>
          <w:rFonts w:cs="Arial"/>
          <w:bCs w:val="0"/>
          <w:noProof/>
          <w:sz w:val="20"/>
          <w:lang w:eastAsia="cs-CZ"/>
        </w:rPr>
        <w:t>)</w:t>
      </w:r>
      <w:bookmarkEnd w:id="314"/>
    </w:p>
    <w:p w14:paraId="6CEC8789" w14:textId="77777777" w:rsidR="001F7140" w:rsidRDefault="003E0F58">
      <w:pPr>
        <w:keepNext/>
        <w:spacing w:before="120" w:line="276" w:lineRule="auto"/>
        <w:ind w:left="142" w:right="113"/>
      </w:pPr>
      <w:r w:rsidRPr="007C705C">
        <w:rPr>
          <w:rFonts w:cs="Times New Roman"/>
          <w:noProof/>
          <w:lang w:val="cs-CZ" w:eastAsia="cs-CZ"/>
        </w:rPr>
        <w:lastRenderedPageBreak/>
        <w:drawing>
          <wp:inline distT="0" distB="0" distL="0" distR="0" wp14:anchorId="4F589CF2" wp14:editId="1589DE10">
            <wp:extent cx="5760085" cy="3761396"/>
            <wp:effectExtent l="0" t="0" r="0" b="0"/>
            <wp:docPr id="21" name="Obrázek 21" descr="C:\Users\luboj\Desktop\VÚLHM\LOS\Publikace\LP_2020_5_Prognoza za 2019\final\Obr 2 - kurovci SM m3 201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boj\Desktop\VÚLHM\LOS\Publikace\LP_2020_5_Prognoza za 2019\final\Obr 2 - kurovci SM m3 2019.bmp"/>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60085" cy="3761396"/>
                    </a:xfrm>
                    <a:prstGeom prst="rect">
                      <a:avLst/>
                    </a:prstGeom>
                    <a:noFill/>
                    <a:ln>
                      <a:noFill/>
                    </a:ln>
                  </pic:spPr>
                </pic:pic>
              </a:graphicData>
            </a:graphic>
          </wp:inline>
        </w:drawing>
      </w:r>
      <w:r w:rsidRPr="007C705C">
        <w:rPr>
          <w:rFonts w:eastAsia="Calibri" w:cs="Times New Roman"/>
          <w:noProof/>
          <w:sz w:val="22"/>
          <w:lang w:val="cs-CZ" w:eastAsia="cs-CZ"/>
        </w:rPr>
        <w:drawing>
          <wp:inline distT="0" distB="0" distL="0" distR="0" wp14:anchorId="6518BFBC" wp14:editId="01808AC8">
            <wp:extent cx="5543550" cy="3495675"/>
            <wp:effectExtent l="0" t="0" r="0" b="9525"/>
            <wp:docPr id="13" name="Obrázek 13" descr="Ob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Obr"/>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543550" cy="3495675"/>
                    </a:xfrm>
                    <a:prstGeom prst="rect">
                      <a:avLst/>
                    </a:prstGeom>
                    <a:noFill/>
                    <a:ln>
                      <a:noFill/>
                    </a:ln>
                  </pic:spPr>
                </pic:pic>
              </a:graphicData>
            </a:graphic>
          </wp:inline>
        </w:drawing>
      </w:r>
    </w:p>
    <w:p w14:paraId="0CDDE22D" w14:textId="74B1A188" w:rsidR="003E0F58" w:rsidRPr="005D1920" w:rsidRDefault="001F7140" w:rsidP="005D1920">
      <w:pPr>
        <w:pStyle w:val="Titulek"/>
        <w:rPr>
          <w:rFonts w:cs="Arial"/>
          <w:noProof/>
          <w:sz w:val="20"/>
          <w:lang w:eastAsia="cs-CZ"/>
        </w:rPr>
      </w:pPr>
      <w:bookmarkStart w:id="315" w:name="_Toc93583791"/>
      <w:r w:rsidRPr="005D1920">
        <w:rPr>
          <w:rFonts w:cs="Arial"/>
          <w:bCs w:val="0"/>
          <w:noProof/>
          <w:sz w:val="20"/>
          <w:lang w:eastAsia="cs-CZ"/>
        </w:rPr>
        <w:t xml:space="preserve">Obrázek </w:t>
      </w:r>
      <w:r w:rsidRPr="005D1920">
        <w:rPr>
          <w:rFonts w:cs="Arial"/>
          <w:bCs w:val="0"/>
          <w:noProof/>
          <w:sz w:val="20"/>
          <w:lang w:eastAsia="cs-CZ"/>
        </w:rPr>
        <w:fldChar w:fldCharType="begin"/>
      </w:r>
      <w:r w:rsidRPr="005D1920">
        <w:rPr>
          <w:rFonts w:cs="Arial"/>
          <w:bCs w:val="0"/>
          <w:noProof/>
          <w:sz w:val="20"/>
          <w:lang w:eastAsia="cs-CZ"/>
        </w:rPr>
        <w:instrText xml:space="preserve"> SEQ Obrázek \* ARABIC </w:instrText>
      </w:r>
      <w:r w:rsidRPr="005D1920">
        <w:rPr>
          <w:rFonts w:cs="Arial"/>
          <w:bCs w:val="0"/>
          <w:noProof/>
          <w:sz w:val="20"/>
          <w:lang w:eastAsia="cs-CZ"/>
        </w:rPr>
        <w:fldChar w:fldCharType="separate"/>
      </w:r>
      <w:r w:rsidR="000C4C46">
        <w:rPr>
          <w:rFonts w:cs="Arial"/>
          <w:bCs w:val="0"/>
          <w:noProof/>
          <w:sz w:val="20"/>
          <w:lang w:eastAsia="cs-CZ"/>
        </w:rPr>
        <w:t>8</w:t>
      </w:r>
      <w:r w:rsidRPr="005D1920">
        <w:rPr>
          <w:rFonts w:cs="Arial"/>
          <w:bCs w:val="0"/>
          <w:noProof/>
          <w:sz w:val="20"/>
          <w:lang w:eastAsia="cs-CZ"/>
        </w:rPr>
        <w:fldChar w:fldCharType="end"/>
      </w:r>
      <w:r w:rsidRPr="005D1920">
        <w:rPr>
          <w:rFonts w:cs="Arial"/>
          <w:bCs w:val="0"/>
          <w:noProof/>
          <w:sz w:val="20"/>
          <w:lang w:eastAsia="cs-CZ"/>
        </w:rPr>
        <w:t xml:space="preserve"> Evidovaný objem smrkového kůrovcového dříví v roce 2019 (zdroj: VÚLHM, LOS</w:t>
      </w:r>
      <w:r>
        <w:rPr>
          <w:rFonts w:cs="Arial"/>
          <w:bCs w:val="0"/>
          <w:noProof/>
          <w:sz w:val="20"/>
          <w:lang w:eastAsia="cs-CZ"/>
        </w:rPr>
        <w:t>)</w:t>
      </w:r>
      <w:bookmarkEnd w:id="315"/>
    </w:p>
    <w:p w14:paraId="5F34EB3E" w14:textId="77777777" w:rsidR="003E0F58" w:rsidRPr="007C705C" w:rsidRDefault="003E0F58" w:rsidP="003E0F58">
      <w:pPr>
        <w:keepNext/>
        <w:spacing w:after="200" w:line="276" w:lineRule="auto"/>
        <w:ind w:left="142"/>
        <w:jc w:val="left"/>
        <w:rPr>
          <w:rFonts w:eastAsia="Calibri" w:cs="Times New Roman"/>
          <w:b/>
          <w:bCs/>
          <w:sz w:val="20"/>
          <w:szCs w:val="20"/>
          <w:lang w:val="cs-CZ"/>
        </w:rPr>
      </w:pPr>
    </w:p>
    <w:p w14:paraId="0C31840A" w14:textId="170552D9" w:rsidR="003E0F58" w:rsidRPr="007C705C" w:rsidRDefault="003E0F58" w:rsidP="00D96987">
      <w:pPr>
        <w:pStyle w:val="UZEINormaln"/>
        <w:rPr>
          <w:rFonts w:eastAsia="Calibri"/>
        </w:rPr>
      </w:pPr>
      <w:r w:rsidRPr="007C705C">
        <w:rPr>
          <w:rFonts w:eastAsia="Calibri"/>
        </w:rPr>
        <w:t xml:space="preserve">S ohledem na nutnost rychlého a z hlediska co největšího zamezení dalšího šíření poškozených stromů efektivního zpracování kalamitního dříví se jako pomocný faktor nabízí některé technologické možnosti spojené s odkorňováním kůrovcového kalamitního dříví, které by alespoň mohlo částečně zmírnit šíření kalamitní expanze. Jedná se především o odkorňovací harvestorové hlavice a stacionární či mobilní odkorňovače. Jejich potenciál limitovaný jejich počtem vyplývá z údajů Zprávy o stavu lesů a lesního hospodářství v roce 2018, kde podle </w:t>
      </w:r>
      <w:r w:rsidRPr="007C705C">
        <w:rPr>
          <w:rFonts w:eastAsia="Calibri"/>
        </w:rPr>
        <w:lastRenderedPageBreak/>
        <w:t>jejích statistických podkladů od dovozců těžebně dopravních strojů je v provozu 663 harvestorů. Z tohoto počtu je 238 strojů vybaveno kácecí hlavicí s úřezem do 55 cm, což dává předpoklady k jejich uplatnění při výchovných těžbách. Pro mýtní a kalamitní těžby je 469 strojů, které jsou vybaveny kácecími hlavicemi s úřezem do 62, 72 a 75 cm. Meziroční nárůst harvestorů o 81 ks byl reakcí dodavatelů prací pro zpracování kalamitních kůrovcových těžeb. Co se týče stacionárních odkorňovacích strojů, zde je stav v ČR silně poddimenzován, kdy se na našem území nacházejí tyto stroje v jednotkách kusů a je potřeba mnohonásobně zvýšit jejich počet.</w:t>
      </w:r>
    </w:p>
    <w:p w14:paraId="62A3374B" w14:textId="77777777" w:rsidR="003E0F58" w:rsidRPr="007C705C" w:rsidRDefault="003E0F58" w:rsidP="008A1AE3">
      <w:pPr>
        <w:pStyle w:val="Odstavecseseznamem"/>
        <w:numPr>
          <w:ilvl w:val="0"/>
          <w:numId w:val="17"/>
        </w:numPr>
        <w:spacing w:before="60" w:line="360" w:lineRule="atLeast"/>
        <w:rPr>
          <w:rFonts w:eastAsiaTheme="minorEastAsia"/>
          <w:b/>
          <w:bCs/>
        </w:rPr>
      </w:pPr>
      <w:r w:rsidRPr="007C705C">
        <w:rPr>
          <w:rFonts w:eastAsiaTheme="minorEastAsia"/>
          <w:b/>
          <w:bCs/>
        </w:rPr>
        <w:t>Druhové, věkové a prostorové složení lesních porostů</w:t>
      </w:r>
    </w:p>
    <w:p w14:paraId="011B463F" w14:textId="3550538E" w:rsidR="003E0F58" w:rsidRPr="000D55E5" w:rsidRDefault="003E0F58" w:rsidP="000D55E5">
      <w:pPr>
        <w:pStyle w:val="UZEINormaln"/>
        <w:rPr>
          <w:rFonts w:eastAsiaTheme="minorEastAsia"/>
        </w:rPr>
      </w:pPr>
      <w:r w:rsidRPr="007C705C">
        <w:rPr>
          <w:rFonts w:eastAsiaTheme="minorEastAsia"/>
        </w:rPr>
        <w:t xml:space="preserve">Současné druhové složení lesních porostů ve srovnání s přirozenou a optimální druhovou </w:t>
      </w:r>
      <w:r w:rsidRPr="00695CFF">
        <w:rPr>
          <w:rFonts w:eastAsiaTheme="minorEastAsia"/>
        </w:rPr>
        <w:t>skladbou je patrné z </w:t>
      </w:r>
      <w:r w:rsidR="00B660C5">
        <w:rPr>
          <w:rFonts w:eastAsiaTheme="minorEastAsia"/>
        </w:rPr>
        <w:fldChar w:fldCharType="begin"/>
      </w:r>
      <w:r w:rsidR="00B660C5">
        <w:rPr>
          <w:rFonts w:eastAsiaTheme="minorEastAsia"/>
        </w:rPr>
        <w:instrText xml:space="preserve"> REF _Ref81748458 \r \h </w:instrText>
      </w:r>
      <w:r w:rsidR="00B660C5">
        <w:rPr>
          <w:rFonts w:eastAsiaTheme="minorEastAsia"/>
        </w:rPr>
      </w:r>
      <w:r w:rsidR="00B660C5">
        <w:rPr>
          <w:rFonts w:eastAsiaTheme="minorEastAsia"/>
        </w:rPr>
        <w:fldChar w:fldCharType="separate"/>
      </w:r>
      <w:r w:rsidR="00B660C5">
        <w:rPr>
          <w:rFonts w:eastAsiaTheme="minorEastAsia"/>
        </w:rPr>
        <w:t>Tabulka 4</w:t>
      </w:r>
      <w:r w:rsidR="00B660C5">
        <w:rPr>
          <w:rFonts w:eastAsiaTheme="minorEastAsia"/>
        </w:rPr>
        <w:fldChar w:fldCharType="end"/>
      </w:r>
      <w:r w:rsidR="001F7140">
        <w:rPr>
          <w:rFonts w:eastAsiaTheme="minorEastAsia"/>
        </w:rPr>
        <w:t>6</w:t>
      </w:r>
      <w:r w:rsidRPr="00695CFF">
        <w:rPr>
          <w:rFonts w:eastAsiaTheme="minorEastAsia"/>
        </w:rPr>
        <w:t xml:space="preserve">. </w:t>
      </w:r>
      <w:r w:rsidR="003C48D3">
        <w:rPr>
          <w:rFonts w:eastAsiaTheme="minorEastAsia"/>
        </w:rPr>
        <w:fldChar w:fldCharType="begin"/>
      </w:r>
      <w:r w:rsidR="003C48D3">
        <w:rPr>
          <w:rFonts w:eastAsiaTheme="minorEastAsia"/>
        </w:rPr>
        <w:instrText xml:space="preserve"> REF _Ref81748490 \r \h </w:instrText>
      </w:r>
      <w:r w:rsidR="003C48D3">
        <w:rPr>
          <w:rFonts w:eastAsiaTheme="minorEastAsia"/>
        </w:rPr>
      </w:r>
      <w:r w:rsidR="003C48D3">
        <w:rPr>
          <w:rFonts w:eastAsiaTheme="minorEastAsia"/>
        </w:rPr>
        <w:fldChar w:fldCharType="separate"/>
      </w:r>
      <w:r w:rsidR="003C48D3">
        <w:rPr>
          <w:rFonts w:eastAsiaTheme="minorEastAsia"/>
        </w:rPr>
        <w:t>Tabulka 4</w:t>
      </w:r>
      <w:r w:rsidR="003C48D3">
        <w:rPr>
          <w:rFonts w:eastAsiaTheme="minorEastAsia"/>
        </w:rPr>
        <w:fldChar w:fldCharType="end"/>
      </w:r>
      <w:r w:rsidR="001F7140">
        <w:rPr>
          <w:rFonts w:eastAsiaTheme="minorEastAsia"/>
        </w:rPr>
        <w:t>7</w:t>
      </w:r>
      <w:r w:rsidR="003C48D3">
        <w:rPr>
          <w:rFonts w:eastAsiaTheme="minorEastAsia"/>
        </w:rPr>
        <w:t xml:space="preserve"> </w:t>
      </w:r>
      <w:r w:rsidRPr="00695CFF">
        <w:rPr>
          <w:rFonts w:eastAsiaTheme="minorEastAsia"/>
        </w:rPr>
        <w:t xml:space="preserve">pak ukazuje změny v zastoupení hlavních dřevin od roku 2000. </w:t>
      </w:r>
      <w:bookmarkStart w:id="316" w:name="_Hlk12355073"/>
    </w:p>
    <w:p w14:paraId="0E628AF3" w14:textId="46D28AA0" w:rsidR="003E0F58" w:rsidRPr="007C705C" w:rsidRDefault="00FC13F5" w:rsidP="00FC13F5">
      <w:pPr>
        <w:pStyle w:val="UZEITaB"/>
        <w:rPr>
          <w:rFonts w:eastAsia="Calibri"/>
        </w:rPr>
      </w:pPr>
      <w:bookmarkStart w:id="317" w:name="_Toc15309856"/>
      <w:bookmarkStart w:id="318" w:name="_Toc77245833"/>
      <w:r>
        <w:rPr>
          <w:rFonts w:eastAsia="Calibri"/>
        </w:rPr>
        <w:t xml:space="preserve"> </w:t>
      </w:r>
      <w:bookmarkStart w:id="319" w:name="_Ref81748458"/>
      <w:bookmarkStart w:id="320" w:name="_Toc94181597"/>
      <w:r w:rsidR="003E0F58" w:rsidRPr="007C705C">
        <w:rPr>
          <w:rFonts w:eastAsia="Calibri"/>
        </w:rPr>
        <w:t>Rekonstruovaná přirozená a současná skladba lesů (v %) (zdroj: ÚHÚL)</w:t>
      </w:r>
      <w:bookmarkEnd w:id="317"/>
      <w:bookmarkEnd w:id="318"/>
      <w:bookmarkEnd w:id="319"/>
      <w:bookmarkEnd w:id="320"/>
    </w:p>
    <w:tbl>
      <w:tblPr>
        <w:tblW w:w="5740" w:type="dxa"/>
        <w:tblInd w:w="637" w:type="dxa"/>
        <w:tblCellMar>
          <w:left w:w="70" w:type="dxa"/>
          <w:right w:w="70" w:type="dxa"/>
        </w:tblCellMar>
        <w:tblLook w:val="04A0" w:firstRow="1" w:lastRow="0" w:firstColumn="1" w:lastColumn="0" w:noHBand="0" w:noVBand="1"/>
      </w:tblPr>
      <w:tblGrid>
        <w:gridCol w:w="1780"/>
        <w:gridCol w:w="1320"/>
        <w:gridCol w:w="1320"/>
        <w:gridCol w:w="1320"/>
      </w:tblGrid>
      <w:tr w:rsidR="003E0F58" w:rsidRPr="007C705C" w14:paraId="1C292D70" w14:textId="77777777" w:rsidTr="004D2249">
        <w:trPr>
          <w:trHeight w:val="300"/>
        </w:trPr>
        <w:tc>
          <w:tcPr>
            <w:tcW w:w="1780" w:type="dxa"/>
            <w:tcBorders>
              <w:top w:val="single" w:sz="4" w:space="0" w:color="auto"/>
              <w:left w:val="nil"/>
              <w:bottom w:val="single" w:sz="4" w:space="0" w:color="auto"/>
              <w:right w:val="nil"/>
            </w:tcBorders>
            <w:noWrap/>
            <w:vAlign w:val="center"/>
            <w:hideMark/>
          </w:tcPr>
          <w:p w14:paraId="75793842" w14:textId="77777777" w:rsidR="003E0F58" w:rsidRPr="007C705C" w:rsidRDefault="003E0F58" w:rsidP="004D2249">
            <w:pPr>
              <w:jc w:val="left"/>
              <w:rPr>
                <w:rFonts w:cs="Times New Roman"/>
                <w:b/>
                <w:bCs/>
                <w:color w:val="000000"/>
                <w:sz w:val="22"/>
                <w:lang w:val="cs-CZ"/>
              </w:rPr>
            </w:pPr>
            <w:r w:rsidRPr="007C705C">
              <w:rPr>
                <w:rFonts w:cs="Times New Roman"/>
                <w:b/>
                <w:bCs/>
                <w:color w:val="000000"/>
                <w:sz w:val="22"/>
                <w:lang w:val="cs-CZ"/>
              </w:rPr>
              <w:t>Skladba lesů</w:t>
            </w:r>
          </w:p>
        </w:tc>
        <w:tc>
          <w:tcPr>
            <w:tcW w:w="1320" w:type="dxa"/>
            <w:tcBorders>
              <w:top w:val="single" w:sz="4" w:space="0" w:color="auto"/>
              <w:left w:val="nil"/>
              <w:bottom w:val="single" w:sz="4" w:space="0" w:color="auto"/>
              <w:right w:val="nil"/>
            </w:tcBorders>
            <w:vAlign w:val="center"/>
            <w:hideMark/>
          </w:tcPr>
          <w:p w14:paraId="46703938" w14:textId="77777777" w:rsidR="003E0F58" w:rsidRPr="007C705C" w:rsidRDefault="003E0F58" w:rsidP="004D2249">
            <w:pPr>
              <w:jc w:val="center"/>
              <w:rPr>
                <w:rFonts w:cs="Times New Roman"/>
                <w:b/>
                <w:bCs/>
                <w:color w:val="000000"/>
                <w:sz w:val="22"/>
                <w:lang w:val="cs-CZ"/>
              </w:rPr>
            </w:pPr>
            <w:r w:rsidRPr="007C705C">
              <w:rPr>
                <w:rFonts w:cs="Times New Roman"/>
                <w:b/>
                <w:bCs/>
                <w:color w:val="000000"/>
                <w:sz w:val="22"/>
                <w:lang w:val="cs-CZ"/>
              </w:rPr>
              <w:t>Přirozená</w:t>
            </w:r>
          </w:p>
        </w:tc>
        <w:tc>
          <w:tcPr>
            <w:tcW w:w="1320" w:type="dxa"/>
            <w:tcBorders>
              <w:top w:val="single" w:sz="4" w:space="0" w:color="auto"/>
              <w:left w:val="nil"/>
              <w:bottom w:val="single" w:sz="4" w:space="0" w:color="auto"/>
              <w:right w:val="nil"/>
            </w:tcBorders>
            <w:vAlign w:val="center"/>
            <w:hideMark/>
          </w:tcPr>
          <w:p w14:paraId="5A4FF787" w14:textId="77777777" w:rsidR="003E0F58" w:rsidRPr="007C705C" w:rsidRDefault="003E0F58" w:rsidP="004D2249">
            <w:pPr>
              <w:jc w:val="center"/>
              <w:rPr>
                <w:rFonts w:cs="Times New Roman"/>
                <w:b/>
                <w:bCs/>
                <w:color w:val="000000"/>
                <w:sz w:val="22"/>
                <w:lang w:val="cs-CZ"/>
              </w:rPr>
            </w:pPr>
            <w:r w:rsidRPr="007C705C">
              <w:rPr>
                <w:rFonts w:cs="Times New Roman"/>
                <w:b/>
                <w:bCs/>
                <w:color w:val="000000"/>
                <w:sz w:val="22"/>
                <w:lang w:val="cs-CZ"/>
              </w:rPr>
              <w:t>Současná</w:t>
            </w:r>
          </w:p>
        </w:tc>
        <w:tc>
          <w:tcPr>
            <w:tcW w:w="1320" w:type="dxa"/>
            <w:tcBorders>
              <w:top w:val="single" w:sz="4" w:space="0" w:color="auto"/>
              <w:left w:val="nil"/>
              <w:bottom w:val="single" w:sz="4" w:space="0" w:color="auto"/>
              <w:right w:val="nil"/>
            </w:tcBorders>
            <w:vAlign w:val="center"/>
            <w:hideMark/>
          </w:tcPr>
          <w:p w14:paraId="48D7DC3F" w14:textId="77777777" w:rsidR="003E0F58" w:rsidRPr="007C705C" w:rsidRDefault="003E0F58" w:rsidP="004D2249">
            <w:pPr>
              <w:jc w:val="center"/>
              <w:rPr>
                <w:rFonts w:cs="Times New Roman"/>
                <w:b/>
                <w:bCs/>
                <w:color w:val="000000"/>
                <w:sz w:val="22"/>
                <w:lang w:val="cs-CZ"/>
              </w:rPr>
            </w:pPr>
            <w:r w:rsidRPr="007C705C">
              <w:rPr>
                <w:rFonts w:cs="Times New Roman"/>
                <w:b/>
                <w:bCs/>
                <w:color w:val="000000"/>
                <w:sz w:val="22"/>
                <w:lang w:val="cs-CZ"/>
              </w:rPr>
              <w:t xml:space="preserve">Doporučená </w:t>
            </w:r>
          </w:p>
        </w:tc>
      </w:tr>
      <w:tr w:rsidR="003E0F58" w:rsidRPr="007C705C" w14:paraId="7CE1188F" w14:textId="77777777" w:rsidTr="004D2249">
        <w:trPr>
          <w:trHeight w:val="300"/>
        </w:trPr>
        <w:tc>
          <w:tcPr>
            <w:tcW w:w="1780" w:type="dxa"/>
            <w:noWrap/>
            <w:vAlign w:val="center"/>
            <w:hideMark/>
          </w:tcPr>
          <w:p w14:paraId="72C0DF47" w14:textId="77777777" w:rsidR="003E0F58" w:rsidRPr="007C705C" w:rsidRDefault="003E0F58" w:rsidP="004D2249">
            <w:pPr>
              <w:jc w:val="left"/>
              <w:rPr>
                <w:rFonts w:cs="Times New Roman"/>
                <w:color w:val="000000"/>
                <w:sz w:val="22"/>
                <w:lang w:val="cs-CZ"/>
              </w:rPr>
            </w:pPr>
            <w:r w:rsidRPr="007C705C">
              <w:rPr>
                <w:rFonts w:cs="Times New Roman"/>
                <w:bCs/>
                <w:color w:val="000000"/>
                <w:sz w:val="22"/>
                <w:lang w:val="cs-CZ"/>
              </w:rPr>
              <w:t>smrk</w:t>
            </w:r>
          </w:p>
        </w:tc>
        <w:tc>
          <w:tcPr>
            <w:tcW w:w="1320" w:type="dxa"/>
            <w:noWrap/>
            <w:vAlign w:val="center"/>
            <w:hideMark/>
          </w:tcPr>
          <w:p w14:paraId="6C428C78"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11,2</w:t>
            </w:r>
          </w:p>
        </w:tc>
        <w:tc>
          <w:tcPr>
            <w:tcW w:w="1320" w:type="dxa"/>
            <w:noWrap/>
            <w:vAlign w:val="center"/>
            <w:hideMark/>
          </w:tcPr>
          <w:p w14:paraId="5013C42A"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49,5</w:t>
            </w:r>
          </w:p>
        </w:tc>
        <w:tc>
          <w:tcPr>
            <w:tcW w:w="1320" w:type="dxa"/>
            <w:noWrap/>
            <w:vAlign w:val="center"/>
            <w:hideMark/>
          </w:tcPr>
          <w:p w14:paraId="215960BE"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36,5</w:t>
            </w:r>
          </w:p>
        </w:tc>
      </w:tr>
      <w:tr w:rsidR="003E0F58" w:rsidRPr="007C705C" w14:paraId="497EEBB8" w14:textId="77777777" w:rsidTr="004D2249">
        <w:trPr>
          <w:trHeight w:val="300"/>
        </w:trPr>
        <w:tc>
          <w:tcPr>
            <w:tcW w:w="1780" w:type="dxa"/>
            <w:noWrap/>
            <w:vAlign w:val="center"/>
            <w:hideMark/>
          </w:tcPr>
          <w:p w14:paraId="62782759" w14:textId="77777777" w:rsidR="003E0F58" w:rsidRPr="007C705C" w:rsidRDefault="003E0F58" w:rsidP="004D2249">
            <w:pPr>
              <w:jc w:val="left"/>
              <w:rPr>
                <w:rFonts w:cs="Times New Roman"/>
                <w:color w:val="000000"/>
                <w:sz w:val="22"/>
                <w:lang w:val="cs-CZ"/>
              </w:rPr>
            </w:pPr>
            <w:r w:rsidRPr="007C705C">
              <w:rPr>
                <w:rFonts w:cs="Times New Roman"/>
                <w:bCs/>
                <w:color w:val="000000"/>
                <w:sz w:val="22"/>
                <w:lang w:val="cs-CZ"/>
              </w:rPr>
              <w:t>jedle</w:t>
            </w:r>
          </w:p>
        </w:tc>
        <w:tc>
          <w:tcPr>
            <w:tcW w:w="1320" w:type="dxa"/>
            <w:noWrap/>
            <w:vAlign w:val="center"/>
            <w:hideMark/>
          </w:tcPr>
          <w:p w14:paraId="368A75D9"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19,8</w:t>
            </w:r>
          </w:p>
        </w:tc>
        <w:tc>
          <w:tcPr>
            <w:tcW w:w="1320" w:type="dxa"/>
            <w:noWrap/>
            <w:vAlign w:val="center"/>
            <w:hideMark/>
          </w:tcPr>
          <w:p w14:paraId="78D7CA9D"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1,2</w:t>
            </w:r>
          </w:p>
        </w:tc>
        <w:tc>
          <w:tcPr>
            <w:tcW w:w="1320" w:type="dxa"/>
            <w:noWrap/>
            <w:vAlign w:val="center"/>
            <w:hideMark/>
          </w:tcPr>
          <w:p w14:paraId="0984DF80"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4,4</w:t>
            </w:r>
          </w:p>
        </w:tc>
      </w:tr>
      <w:tr w:rsidR="003E0F58" w:rsidRPr="007C705C" w14:paraId="27DD0E08" w14:textId="77777777" w:rsidTr="004D2249">
        <w:trPr>
          <w:trHeight w:val="300"/>
        </w:trPr>
        <w:tc>
          <w:tcPr>
            <w:tcW w:w="1780" w:type="dxa"/>
            <w:noWrap/>
            <w:vAlign w:val="center"/>
            <w:hideMark/>
          </w:tcPr>
          <w:p w14:paraId="2525D0DB" w14:textId="77777777" w:rsidR="003E0F58" w:rsidRPr="007C705C" w:rsidRDefault="003E0F58" w:rsidP="004D2249">
            <w:pPr>
              <w:jc w:val="left"/>
              <w:rPr>
                <w:rFonts w:cs="Times New Roman"/>
                <w:color w:val="000000"/>
                <w:sz w:val="22"/>
                <w:lang w:val="cs-CZ"/>
              </w:rPr>
            </w:pPr>
            <w:r w:rsidRPr="007C705C">
              <w:rPr>
                <w:rFonts w:cs="Times New Roman"/>
                <w:bCs/>
                <w:color w:val="000000"/>
                <w:sz w:val="22"/>
                <w:lang w:val="cs-CZ"/>
              </w:rPr>
              <w:t>borovice</w:t>
            </w:r>
          </w:p>
        </w:tc>
        <w:tc>
          <w:tcPr>
            <w:tcW w:w="1320" w:type="dxa"/>
            <w:noWrap/>
            <w:vAlign w:val="center"/>
            <w:hideMark/>
          </w:tcPr>
          <w:p w14:paraId="36CA2153"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3,4</w:t>
            </w:r>
          </w:p>
        </w:tc>
        <w:tc>
          <w:tcPr>
            <w:tcW w:w="1320" w:type="dxa"/>
            <w:noWrap/>
            <w:vAlign w:val="center"/>
            <w:hideMark/>
          </w:tcPr>
          <w:p w14:paraId="036D36BC"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16,1</w:t>
            </w:r>
          </w:p>
        </w:tc>
        <w:tc>
          <w:tcPr>
            <w:tcW w:w="1320" w:type="dxa"/>
            <w:noWrap/>
            <w:vAlign w:val="center"/>
            <w:hideMark/>
          </w:tcPr>
          <w:p w14:paraId="0FD98C03"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16,8</w:t>
            </w:r>
          </w:p>
        </w:tc>
      </w:tr>
      <w:tr w:rsidR="003E0F58" w:rsidRPr="007C705C" w14:paraId="6788ADCC" w14:textId="77777777" w:rsidTr="004D2249">
        <w:trPr>
          <w:trHeight w:val="300"/>
        </w:trPr>
        <w:tc>
          <w:tcPr>
            <w:tcW w:w="1780" w:type="dxa"/>
            <w:noWrap/>
            <w:vAlign w:val="center"/>
            <w:hideMark/>
          </w:tcPr>
          <w:p w14:paraId="6670128F" w14:textId="77777777" w:rsidR="003E0F58" w:rsidRPr="007C705C" w:rsidRDefault="003E0F58" w:rsidP="004D2249">
            <w:pPr>
              <w:jc w:val="left"/>
              <w:rPr>
                <w:rFonts w:cs="Times New Roman"/>
                <w:color w:val="000000"/>
                <w:sz w:val="22"/>
                <w:lang w:val="cs-CZ"/>
              </w:rPr>
            </w:pPr>
            <w:r w:rsidRPr="007C705C">
              <w:rPr>
                <w:rFonts w:cs="Times New Roman"/>
                <w:bCs/>
                <w:color w:val="000000"/>
                <w:sz w:val="22"/>
                <w:lang w:val="cs-CZ"/>
              </w:rPr>
              <w:t>modřín</w:t>
            </w:r>
          </w:p>
        </w:tc>
        <w:tc>
          <w:tcPr>
            <w:tcW w:w="1320" w:type="dxa"/>
            <w:noWrap/>
            <w:vAlign w:val="center"/>
            <w:hideMark/>
          </w:tcPr>
          <w:p w14:paraId="7484E6FD"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0,0</w:t>
            </w:r>
          </w:p>
        </w:tc>
        <w:tc>
          <w:tcPr>
            <w:tcW w:w="1320" w:type="dxa"/>
            <w:noWrap/>
            <w:vAlign w:val="center"/>
            <w:hideMark/>
          </w:tcPr>
          <w:p w14:paraId="299E7F75"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3,8</w:t>
            </w:r>
          </w:p>
        </w:tc>
        <w:tc>
          <w:tcPr>
            <w:tcW w:w="1320" w:type="dxa"/>
            <w:noWrap/>
            <w:vAlign w:val="center"/>
            <w:hideMark/>
          </w:tcPr>
          <w:p w14:paraId="408C759C"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4,5</w:t>
            </w:r>
          </w:p>
        </w:tc>
      </w:tr>
      <w:tr w:rsidR="003E0F58" w:rsidRPr="007C705C" w14:paraId="174F298E" w14:textId="77777777" w:rsidTr="004D2249">
        <w:trPr>
          <w:trHeight w:val="300"/>
        </w:trPr>
        <w:tc>
          <w:tcPr>
            <w:tcW w:w="1780" w:type="dxa"/>
            <w:noWrap/>
            <w:vAlign w:val="center"/>
            <w:hideMark/>
          </w:tcPr>
          <w:p w14:paraId="018059EF" w14:textId="77777777" w:rsidR="003E0F58" w:rsidRPr="007C705C" w:rsidRDefault="003E0F58" w:rsidP="004D2249">
            <w:pPr>
              <w:jc w:val="left"/>
              <w:rPr>
                <w:rFonts w:cs="Times New Roman"/>
                <w:color w:val="000000"/>
                <w:sz w:val="22"/>
                <w:lang w:val="cs-CZ"/>
              </w:rPr>
            </w:pPr>
            <w:r w:rsidRPr="007C705C">
              <w:rPr>
                <w:rFonts w:cs="Times New Roman"/>
                <w:bCs/>
                <w:color w:val="000000"/>
                <w:sz w:val="22"/>
                <w:lang w:val="cs-CZ"/>
              </w:rPr>
              <w:t>ostatní jehličnaté</w:t>
            </w:r>
          </w:p>
        </w:tc>
        <w:tc>
          <w:tcPr>
            <w:tcW w:w="1320" w:type="dxa"/>
            <w:noWrap/>
            <w:vAlign w:val="center"/>
            <w:hideMark/>
          </w:tcPr>
          <w:p w14:paraId="3406CBBD"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0,3</w:t>
            </w:r>
          </w:p>
        </w:tc>
        <w:tc>
          <w:tcPr>
            <w:tcW w:w="1320" w:type="dxa"/>
            <w:noWrap/>
            <w:vAlign w:val="center"/>
            <w:hideMark/>
          </w:tcPr>
          <w:p w14:paraId="03C2E80F"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0,3</w:t>
            </w:r>
          </w:p>
        </w:tc>
        <w:tc>
          <w:tcPr>
            <w:tcW w:w="1320" w:type="dxa"/>
            <w:noWrap/>
            <w:vAlign w:val="center"/>
            <w:hideMark/>
          </w:tcPr>
          <w:p w14:paraId="674D309F"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2,2</w:t>
            </w:r>
          </w:p>
        </w:tc>
      </w:tr>
      <w:tr w:rsidR="003E0F58" w:rsidRPr="007C705C" w14:paraId="630A8FD6" w14:textId="77777777" w:rsidTr="004D2249">
        <w:trPr>
          <w:trHeight w:val="300"/>
        </w:trPr>
        <w:tc>
          <w:tcPr>
            <w:tcW w:w="1780" w:type="dxa"/>
            <w:noWrap/>
            <w:vAlign w:val="center"/>
            <w:hideMark/>
          </w:tcPr>
          <w:p w14:paraId="52F9EA07" w14:textId="77777777" w:rsidR="003E0F58" w:rsidRPr="007C705C" w:rsidRDefault="003E0F58" w:rsidP="004D2249">
            <w:pPr>
              <w:jc w:val="left"/>
              <w:rPr>
                <w:rFonts w:cs="Times New Roman"/>
                <w:color w:val="000000"/>
                <w:sz w:val="22"/>
                <w:lang w:val="cs-CZ"/>
              </w:rPr>
            </w:pPr>
            <w:r w:rsidRPr="007C705C">
              <w:rPr>
                <w:rFonts w:cs="Times New Roman"/>
                <w:bCs/>
                <w:color w:val="000000"/>
                <w:sz w:val="22"/>
                <w:lang w:val="cs-CZ"/>
              </w:rPr>
              <w:t>celkem jehličnaté</w:t>
            </w:r>
          </w:p>
        </w:tc>
        <w:tc>
          <w:tcPr>
            <w:tcW w:w="1320" w:type="dxa"/>
            <w:noWrap/>
            <w:vAlign w:val="center"/>
            <w:hideMark/>
          </w:tcPr>
          <w:p w14:paraId="5893E648"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34,7</w:t>
            </w:r>
          </w:p>
        </w:tc>
        <w:tc>
          <w:tcPr>
            <w:tcW w:w="1320" w:type="dxa"/>
            <w:noWrap/>
            <w:vAlign w:val="center"/>
            <w:hideMark/>
          </w:tcPr>
          <w:p w14:paraId="3CF64CE5"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71,0</w:t>
            </w:r>
          </w:p>
        </w:tc>
        <w:tc>
          <w:tcPr>
            <w:tcW w:w="1320" w:type="dxa"/>
            <w:noWrap/>
            <w:vAlign w:val="center"/>
            <w:hideMark/>
          </w:tcPr>
          <w:p w14:paraId="4FF0C6E1"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64,4</w:t>
            </w:r>
          </w:p>
        </w:tc>
      </w:tr>
      <w:tr w:rsidR="003E0F58" w:rsidRPr="007C705C" w14:paraId="6D0B77B7" w14:textId="77777777" w:rsidTr="004D2249">
        <w:trPr>
          <w:trHeight w:val="300"/>
        </w:trPr>
        <w:tc>
          <w:tcPr>
            <w:tcW w:w="1780" w:type="dxa"/>
            <w:noWrap/>
            <w:vAlign w:val="center"/>
            <w:hideMark/>
          </w:tcPr>
          <w:p w14:paraId="273CE660" w14:textId="77777777" w:rsidR="003E0F58" w:rsidRPr="007C705C" w:rsidRDefault="003E0F58" w:rsidP="004D2249">
            <w:pPr>
              <w:jc w:val="left"/>
              <w:rPr>
                <w:rFonts w:cs="Times New Roman"/>
                <w:color w:val="000000"/>
                <w:sz w:val="22"/>
                <w:lang w:val="cs-CZ"/>
              </w:rPr>
            </w:pPr>
            <w:r w:rsidRPr="007C705C">
              <w:rPr>
                <w:rFonts w:cs="Times New Roman"/>
                <w:bCs/>
                <w:color w:val="000000"/>
                <w:sz w:val="22"/>
                <w:lang w:val="cs-CZ"/>
              </w:rPr>
              <w:t>dub</w:t>
            </w:r>
          </w:p>
        </w:tc>
        <w:tc>
          <w:tcPr>
            <w:tcW w:w="1320" w:type="dxa"/>
            <w:noWrap/>
            <w:vAlign w:val="center"/>
            <w:hideMark/>
          </w:tcPr>
          <w:p w14:paraId="665EBE59"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19,4</w:t>
            </w:r>
          </w:p>
        </w:tc>
        <w:tc>
          <w:tcPr>
            <w:tcW w:w="1320" w:type="dxa"/>
            <w:noWrap/>
            <w:vAlign w:val="center"/>
            <w:hideMark/>
          </w:tcPr>
          <w:p w14:paraId="5BB9557D"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7,4</w:t>
            </w:r>
          </w:p>
        </w:tc>
        <w:tc>
          <w:tcPr>
            <w:tcW w:w="1320" w:type="dxa"/>
            <w:noWrap/>
            <w:vAlign w:val="center"/>
            <w:hideMark/>
          </w:tcPr>
          <w:p w14:paraId="70119198"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9,0</w:t>
            </w:r>
          </w:p>
        </w:tc>
      </w:tr>
      <w:tr w:rsidR="003E0F58" w:rsidRPr="007C705C" w14:paraId="31A51E7C" w14:textId="77777777" w:rsidTr="004D2249">
        <w:trPr>
          <w:trHeight w:val="300"/>
        </w:trPr>
        <w:tc>
          <w:tcPr>
            <w:tcW w:w="1780" w:type="dxa"/>
            <w:noWrap/>
            <w:vAlign w:val="center"/>
            <w:hideMark/>
          </w:tcPr>
          <w:p w14:paraId="6BFC9F4A" w14:textId="77777777" w:rsidR="003E0F58" w:rsidRPr="007C705C" w:rsidRDefault="003E0F58" w:rsidP="004D2249">
            <w:pPr>
              <w:jc w:val="left"/>
              <w:rPr>
                <w:rFonts w:cs="Times New Roman"/>
                <w:color w:val="000000"/>
                <w:sz w:val="22"/>
                <w:lang w:val="cs-CZ"/>
              </w:rPr>
            </w:pPr>
            <w:r w:rsidRPr="007C705C">
              <w:rPr>
                <w:rFonts w:cs="Times New Roman"/>
                <w:bCs/>
                <w:color w:val="000000"/>
                <w:sz w:val="22"/>
                <w:lang w:val="cs-CZ"/>
              </w:rPr>
              <w:t>buk</w:t>
            </w:r>
          </w:p>
        </w:tc>
        <w:tc>
          <w:tcPr>
            <w:tcW w:w="1320" w:type="dxa"/>
            <w:noWrap/>
            <w:vAlign w:val="center"/>
            <w:hideMark/>
          </w:tcPr>
          <w:p w14:paraId="5577C4CE"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40,2</w:t>
            </w:r>
          </w:p>
        </w:tc>
        <w:tc>
          <w:tcPr>
            <w:tcW w:w="1320" w:type="dxa"/>
            <w:noWrap/>
            <w:vAlign w:val="center"/>
            <w:hideMark/>
          </w:tcPr>
          <w:p w14:paraId="6EC5F477"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8,8</w:t>
            </w:r>
          </w:p>
        </w:tc>
        <w:tc>
          <w:tcPr>
            <w:tcW w:w="1320" w:type="dxa"/>
            <w:noWrap/>
            <w:vAlign w:val="center"/>
            <w:hideMark/>
          </w:tcPr>
          <w:p w14:paraId="3B406D12"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18,0</w:t>
            </w:r>
          </w:p>
        </w:tc>
      </w:tr>
      <w:tr w:rsidR="003E0F58" w:rsidRPr="007C705C" w14:paraId="1EE0C07D" w14:textId="77777777" w:rsidTr="004D2249">
        <w:trPr>
          <w:trHeight w:val="300"/>
        </w:trPr>
        <w:tc>
          <w:tcPr>
            <w:tcW w:w="1780" w:type="dxa"/>
            <w:noWrap/>
            <w:vAlign w:val="center"/>
            <w:hideMark/>
          </w:tcPr>
          <w:p w14:paraId="268F57CF" w14:textId="77777777" w:rsidR="003E0F58" w:rsidRPr="007C705C" w:rsidRDefault="003E0F58" w:rsidP="004D2249">
            <w:pPr>
              <w:jc w:val="left"/>
              <w:rPr>
                <w:rFonts w:cs="Times New Roman"/>
                <w:color w:val="000000"/>
                <w:sz w:val="22"/>
                <w:lang w:val="cs-CZ"/>
              </w:rPr>
            </w:pPr>
            <w:r w:rsidRPr="007C705C">
              <w:rPr>
                <w:rFonts w:cs="Times New Roman"/>
                <w:bCs/>
                <w:color w:val="000000"/>
                <w:sz w:val="22"/>
                <w:lang w:val="cs-CZ"/>
              </w:rPr>
              <w:t>habr</w:t>
            </w:r>
          </w:p>
        </w:tc>
        <w:tc>
          <w:tcPr>
            <w:tcW w:w="1320" w:type="dxa"/>
            <w:noWrap/>
            <w:vAlign w:val="center"/>
            <w:hideMark/>
          </w:tcPr>
          <w:p w14:paraId="64287517"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1,6</w:t>
            </w:r>
          </w:p>
        </w:tc>
        <w:tc>
          <w:tcPr>
            <w:tcW w:w="1320" w:type="dxa"/>
            <w:noWrap/>
            <w:vAlign w:val="center"/>
            <w:hideMark/>
          </w:tcPr>
          <w:p w14:paraId="7F20EBD6"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1,3</w:t>
            </w:r>
          </w:p>
        </w:tc>
        <w:tc>
          <w:tcPr>
            <w:tcW w:w="1320" w:type="dxa"/>
            <w:noWrap/>
            <w:vAlign w:val="center"/>
            <w:hideMark/>
          </w:tcPr>
          <w:p w14:paraId="2D0473F1"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0,9</w:t>
            </w:r>
          </w:p>
        </w:tc>
      </w:tr>
      <w:tr w:rsidR="003E0F58" w:rsidRPr="007C705C" w14:paraId="3664F90A" w14:textId="77777777" w:rsidTr="004D2249">
        <w:trPr>
          <w:trHeight w:val="300"/>
        </w:trPr>
        <w:tc>
          <w:tcPr>
            <w:tcW w:w="1780" w:type="dxa"/>
            <w:noWrap/>
            <w:vAlign w:val="center"/>
            <w:hideMark/>
          </w:tcPr>
          <w:p w14:paraId="2F455061" w14:textId="77777777" w:rsidR="003E0F58" w:rsidRPr="007C705C" w:rsidRDefault="003E0F58" w:rsidP="004D2249">
            <w:pPr>
              <w:jc w:val="left"/>
              <w:rPr>
                <w:rFonts w:cs="Times New Roman"/>
                <w:color w:val="000000"/>
                <w:sz w:val="22"/>
                <w:lang w:val="cs-CZ"/>
              </w:rPr>
            </w:pPr>
            <w:r w:rsidRPr="007C705C">
              <w:rPr>
                <w:rFonts w:cs="Times New Roman"/>
                <w:bCs/>
                <w:color w:val="000000"/>
                <w:sz w:val="22"/>
                <w:lang w:val="cs-CZ"/>
              </w:rPr>
              <w:t>jasan</w:t>
            </w:r>
          </w:p>
        </w:tc>
        <w:tc>
          <w:tcPr>
            <w:tcW w:w="1320" w:type="dxa"/>
            <w:noWrap/>
            <w:vAlign w:val="center"/>
            <w:hideMark/>
          </w:tcPr>
          <w:p w14:paraId="11297255"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0,6</w:t>
            </w:r>
          </w:p>
        </w:tc>
        <w:tc>
          <w:tcPr>
            <w:tcW w:w="1320" w:type="dxa"/>
            <w:noWrap/>
            <w:vAlign w:val="center"/>
            <w:hideMark/>
          </w:tcPr>
          <w:p w14:paraId="7E13D93A"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1,4</w:t>
            </w:r>
          </w:p>
        </w:tc>
        <w:tc>
          <w:tcPr>
            <w:tcW w:w="1320" w:type="dxa"/>
            <w:noWrap/>
            <w:vAlign w:val="center"/>
            <w:hideMark/>
          </w:tcPr>
          <w:p w14:paraId="5A8188AB"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0,7</w:t>
            </w:r>
          </w:p>
        </w:tc>
      </w:tr>
      <w:tr w:rsidR="003E0F58" w:rsidRPr="007C705C" w14:paraId="74EE4D01" w14:textId="77777777" w:rsidTr="004D2249">
        <w:trPr>
          <w:trHeight w:val="300"/>
        </w:trPr>
        <w:tc>
          <w:tcPr>
            <w:tcW w:w="1780" w:type="dxa"/>
            <w:noWrap/>
            <w:vAlign w:val="center"/>
            <w:hideMark/>
          </w:tcPr>
          <w:p w14:paraId="5AB2C435" w14:textId="77777777" w:rsidR="003E0F58" w:rsidRPr="007C705C" w:rsidRDefault="003E0F58" w:rsidP="004D2249">
            <w:pPr>
              <w:jc w:val="left"/>
              <w:rPr>
                <w:rFonts w:cs="Times New Roman"/>
                <w:color w:val="000000"/>
                <w:sz w:val="22"/>
                <w:lang w:val="cs-CZ"/>
              </w:rPr>
            </w:pPr>
            <w:r w:rsidRPr="007C705C">
              <w:rPr>
                <w:rFonts w:cs="Times New Roman"/>
                <w:bCs/>
                <w:color w:val="000000"/>
                <w:sz w:val="22"/>
                <w:lang w:val="cs-CZ"/>
              </w:rPr>
              <w:t>javor</w:t>
            </w:r>
          </w:p>
        </w:tc>
        <w:tc>
          <w:tcPr>
            <w:tcW w:w="1320" w:type="dxa"/>
            <w:noWrap/>
            <w:vAlign w:val="center"/>
            <w:hideMark/>
          </w:tcPr>
          <w:p w14:paraId="171DFB59"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0,7</w:t>
            </w:r>
          </w:p>
        </w:tc>
        <w:tc>
          <w:tcPr>
            <w:tcW w:w="1320" w:type="dxa"/>
            <w:noWrap/>
            <w:vAlign w:val="center"/>
            <w:hideMark/>
          </w:tcPr>
          <w:p w14:paraId="744053DB"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1,5</w:t>
            </w:r>
          </w:p>
        </w:tc>
        <w:tc>
          <w:tcPr>
            <w:tcW w:w="1320" w:type="dxa"/>
            <w:noWrap/>
            <w:vAlign w:val="center"/>
            <w:hideMark/>
          </w:tcPr>
          <w:p w14:paraId="62DDE02F"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1,5</w:t>
            </w:r>
          </w:p>
        </w:tc>
      </w:tr>
      <w:tr w:rsidR="003E0F58" w:rsidRPr="007C705C" w14:paraId="599CDDFA" w14:textId="77777777" w:rsidTr="004D2249">
        <w:trPr>
          <w:trHeight w:val="300"/>
        </w:trPr>
        <w:tc>
          <w:tcPr>
            <w:tcW w:w="1780" w:type="dxa"/>
            <w:noWrap/>
            <w:vAlign w:val="center"/>
            <w:hideMark/>
          </w:tcPr>
          <w:p w14:paraId="750D08B6" w14:textId="77777777" w:rsidR="003E0F58" w:rsidRPr="007C705C" w:rsidRDefault="003E0F58" w:rsidP="004D2249">
            <w:pPr>
              <w:jc w:val="left"/>
              <w:rPr>
                <w:rFonts w:cs="Times New Roman"/>
                <w:color w:val="000000"/>
                <w:sz w:val="22"/>
                <w:lang w:val="cs-CZ"/>
              </w:rPr>
            </w:pPr>
            <w:r w:rsidRPr="007C705C">
              <w:rPr>
                <w:rFonts w:cs="Times New Roman"/>
                <w:bCs/>
                <w:color w:val="000000"/>
                <w:sz w:val="22"/>
                <w:lang w:val="cs-CZ"/>
              </w:rPr>
              <w:t>jilm</w:t>
            </w:r>
          </w:p>
        </w:tc>
        <w:tc>
          <w:tcPr>
            <w:tcW w:w="1320" w:type="dxa"/>
            <w:noWrap/>
            <w:vAlign w:val="center"/>
            <w:hideMark/>
          </w:tcPr>
          <w:p w14:paraId="101416F2"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0,3</w:t>
            </w:r>
          </w:p>
        </w:tc>
        <w:tc>
          <w:tcPr>
            <w:tcW w:w="1320" w:type="dxa"/>
            <w:noWrap/>
            <w:vAlign w:val="center"/>
            <w:hideMark/>
          </w:tcPr>
          <w:p w14:paraId="6DC0F9E2"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0,0</w:t>
            </w:r>
          </w:p>
        </w:tc>
        <w:tc>
          <w:tcPr>
            <w:tcW w:w="1320" w:type="dxa"/>
            <w:noWrap/>
            <w:vAlign w:val="center"/>
            <w:hideMark/>
          </w:tcPr>
          <w:p w14:paraId="1F3F473E"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0,3</w:t>
            </w:r>
          </w:p>
        </w:tc>
      </w:tr>
      <w:tr w:rsidR="003E0F58" w:rsidRPr="007C705C" w14:paraId="333DA1B3" w14:textId="77777777" w:rsidTr="004D2249">
        <w:trPr>
          <w:trHeight w:val="300"/>
        </w:trPr>
        <w:tc>
          <w:tcPr>
            <w:tcW w:w="1780" w:type="dxa"/>
            <w:noWrap/>
            <w:vAlign w:val="center"/>
            <w:hideMark/>
          </w:tcPr>
          <w:p w14:paraId="71FCB275" w14:textId="77777777" w:rsidR="003E0F58" w:rsidRPr="007C705C" w:rsidRDefault="003E0F58" w:rsidP="004D2249">
            <w:pPr>
              <w:jc w:val="left"/>
              <w:rPr>
                <w:rFonts w:cs="Times New Roman"/>
                <w:color w:val="000000"/>
                <w:sz w:val="22"/>
                <w:lang w:val="cs-CZ"/>
              </w:rPr>
            </w:pPr>
            <w:r w:rsidRPr="007C705C">
              <w:rPr>
                <w:rFonts w:cs="Times New Roman"/>
                <w:bCs/>
                <w:color w:val="000000"/>
                <w:sz w:val="22"/>
                <w:lang w:val="cs-CZ"/>
              </w:rPr>
              <w:t>bříza</w:t>
            </w:r>
          </w:p>
        </w:tc>
        <w:tc>
          <w:tcPr>
            <w:tcW w:w="1320" w:type="dxa"/>
            <w:noWrap/>
            <w:vAlign w:val="center"/>
            <w:hideMark/>
          </w:tcPr>
          <w:p w14:paraId="06572F43"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0,8</w:t>
            </w:r>
          </w:p>
        </w:tc>
        <w:tc>
          <w:tcPr>
            <w:tcW w:w="1320" w:type="dxa"/>
            <w:noWrap/>
            <w:vAlign w:val="center"/>
            <w:hideMark/>
          </w:tcPr>
          <w:p w14:paraId="59BCE173"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2,8</w:t>
            </w:r>
          </w:p>
        </w:tc>
        <w:tc>
          <w:tcPr>
            <w:tcW w:w="1320" w:type="dxa"/>
            <w:noWrap/>
            <w:vAlign w:val="center"/>
            <w:hideMark/>
          </w:tcPr>
          <w:p w14:paraId="3E21D6E3"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0,8</w:t>
            </w:r>
          </w:p>
        </w:tc>
      </w:tr>
      <w:tr w:rsidR="003E0F58" w:rsidRPr="007C705C" w14:paraId="73F5C27A" w14:textId="77777777" w:rsidTr="004D2249">
        <w:trPr>
          <w:trHeight w:val="300"/>
        </w:trPr>
        <w:tc>
          <w:tcPr>
            <w:tcW w:w="1780" w:type="dxa"/>
            <w:noWrap/>
            <w:vAlign w:val="center"/>
            <w:hideMark/>
          </w:tcPr>
          <w:p w14:paraId="5E7124B2" w14:textId="77777777" w:rsidR="003E0F58" w:rsidRPr="007C705C" w:rsidRDefault="003E0F58" w:rsidP="004D2249">
            <w:pPr>
              <w:jc w:val="left"/>
              <w:rPr>
                <w:rFonts w:cs="Times New Roman"/>
                <w:color w:val="000000"/>
                <w:sz w:val="22"/>
                <w:lang w:val="cs-CZ"/>
              </w:rPr>
            </w:pPr>
            <w:r w:rsidRPr="007C705C">
              <w:rPr>
                <w:rFonts w:cs="Times New Roman"/>
                <w:bCs/>
                <w:color w:val="000000"/>
                <w:sz w:val="22"/>
                <w:lang w:val="cs-CZ"/>
              </w:rPr>
              <w:t>lípa</w:t>
            </w:r>
          </w:p>
        </w:tc>
        <w:tc>
          <w:tcPr>
            <w:tcW w:w="1320" w:type="dxa"/>
            <w:noWrap/>
            <w:vAlign w:val="center"/>
            <w:hideMark/>
          </w:tcPr>
          <w:p w14:paraId="3599A43F"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0,8</w:t>
            </w:r>
          </w:p>
        </w:tc>
        <w:tc>
          <w:tcPr>
            <w:tcW w:w="1320" w:type="dxa"/>
            <w:noWrap/>
            <w:vAlign w:val="center"/>
            <w:hideMark/>
          </w:tcPr>
          <w:p w14:paraId="623EC7B9"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1,2</w:t>
            </w:r>
          </w:p>
        </w:tc>
        <w:tc>
          <w:tcPr>
            <w:tcW w:w="1320" w:type="dxa"/>
            <w:noWrap/>
            <w:vAlign w:val="center"/>
            <w:hideMark/>
          </w:tcPr>
          <w:p w14:paraId="1D80DEF3"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3,2</w:t>
            </w:r>
          </w:p>
        </w:tc>
      </w:tr>
      <w:tr w:rsidR="003E0F58" w:rsidRPr="007C705C" w14:paraId="7653C978" w14:textId="77777777" w:rsidTr="004D2249">
        <w:trPr>
          <w:trHeight w:val="300"/>
        </w:trPr>
        <w:tc>
          <w:tcPr>
            <w:tcW w:w="1780" w:type="dxa"/>
            <w:tcBorders>
              <w:top w:val="nil"/>
              <w:left w:val="nil"/>
              <w:bottom w:val="single" w:sz="4" w:space="0" w:color="auto"/>
              <w:right w:val="nil"/>
            </w:tcBorders>
            <w:noWrap/>
            <w:vAlign w:val="center"/>
            <w:hideMark/>
          </w:tcPr>
          <w:p w14:paraId="3632B6FC" w14:textId="77777777" w:rsidR="003E0F58" w:rsidRPr="007C705C" w:rsidRDefault="003E0F58" w:rsidP="004D2249">
            <w:pPr>
              <w:jc w:val="left"/>
              <w:rPr>
                <w:rFonts w:cs="Times New Roman"/>
                <w:color w:val="000000"/>
                <w:sz w:val="22"/>
                <w:lang w:val="cs-CZ"/>
              </w:rPr>
            </w:pPr>
            <w:r w:rsidRPr="007C705C">
              <w:rPr>
                <w:rFonts w:cs="Times New Roman"/>
                <w:bCs/>
                <w:color w:val="000000"/>
                <w:sz w:val="22"/>
                <w:lang w:val="cs-CZ"/>
              </w:rPr>
              <w:t>olše</w:t>
            </w:r>
          </w:p>
        </w:tc>
        <w:tc>
          <w:tcPr>
            <w:tcW w:w="1320" w:type="dxa"/>
            <w:tcBorders>
              <w:top w:val="nil"/>
              <w:left w:val="nil"/>
              <w:bottom w:val="single" w:sz="4" w:space="0" w:color="auto"/>
              <w:right w:val="nil"/>
            </w:tcBorders>
            <w:noWrap/>
            <w:vAlign w:val="center"/>
            <w:hideMark/>
          </w:tcPr>
          <w:p w14:paraId="52A2B458"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0,6</w:t>
            </w:r>
          </w:p>
        </w:tc>
        <w:tc>
          <w:tcPr>
            <w:tcW w:w="1320" w:type="dxa"/>
            <w:tcBorders>
              <w:top w:val="nil"/>
              <w:left w:val="nil"/>
              <w:bottom w:val="single" w:sz="4" w:space="0" w:color="auto"/>
              <w:right w:val="nil"/>
            </w:tcBorders>
            <w:noWrap/>
            <w:vAlign w:val="center"/>
            <w:hideMark/>
          </w:tcPr>
          <w:p w14:paraId="46ED62CB"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1,7</w:t>
            </w:r>
          </w:p>
        </w:tc>
        <w:tc>
          <w:tcPr>
            <w:tcW w:w="1320" w:type="dxa"/>
            <w:tcBorders>
              <w:top w:val="nil"/>
              <w:left w:val="nil"/>
              <w:bottom w:val="single" w:sz="4" w:space="0" w:color="auto"/>
              <w:right w:val="nil"/>
            </w:tcBorders>
            <w:noWrap/>
            <w:vAlign w:val="center"/>
            <w:hideMark/>
          </w:tcPr>
          <w:p w14:paraId="1BF3E2E2"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0,6</w:t>
            </w:r>
          </w:p>
        </w:tc>
      </w:tr>
      <w:tr w:rsidR="003E0F58" w:rsidRPr="007C705C" w14:paraId="681914E5" w14:textId="77777777" w:rsidTr="004D2249">
        <w:trPr>
          <w:trHeight w:val="300"/>
        </w:trPr>
        <w:tc>
          <w:tcPr>
            <w:tcW w:w="1780" w:type="dxa"/>
            <w:noWrap/>
            <w:vAlign w:val="center"/>
            <w:hideMark/>
          </w:tcPr>
          <w:p w14:paraId="07650AD7" w14:textId="77777777" w:rsidR="003E0F58" w:rsidRPr="007C705C" w:rsidRDefault="003E0F58" w:rsidP="004D2249">
            <w:pPr>
              <w:jc w:val="left"/>
              <w:rPr>
                <w:rFonts w:cs="Times New Roman"/>
                <w:color w:val="000000"/>
                <w:sz w:val="22"/>
                <w:lang w:val="cs-CZ"/>
              </w:rPr>
            </w:pPr>
            <w:r w:rsidRPr="007C705C">
              <w:rPr>
                <w:rFonts w:cs="Times New Roman"/>
                <w:bCs/>
                <w:color w:val="000000"/>
                <w:sz w:val="22"/>
                <w:lang w:val="cs-CZ"/>
              </w:rPr>
              <w:t>ostatní listnaté</w:t>
            </w:r>
          </w:p>
        </w:tc>
        <w:tc>
          <w:tcPr>
            <w:tcW w:w="1320" w:type="dxa"/>
            <w:noWrap/>
            <w:vAlign w:val="center"/>
            <w:hideMark/>
          </w:tcPr>
          <w:p w14:paraId="4A5D9287"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0,3</w:t>
            </w:r>
          </w:p>
        </w:tc>
        <w:tc>
          <w:tcPr>
            <w:tcW w:w="1320" w:type="dxa"/>
            <w:noWrap/>
            <w:vAlign w:val="center"/>
            <w:hideMark/>
          </w:tcPr>
          <w:p w14:paraId="02CB1645"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1,6</w:t>
            </w:r>
          </w:p>
        </w:tc>
        <w:tc>
          <w:tcPr>
            <w:tcW w:w="1320" w:type="dxa"/>
            <w:noWrap/>
            <w:vAlign w:val="center"/>
            <w:hideMark/>
          </w:tcPr>
          <w:p w14:paraId="442204A5"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0,6</w:t>
            </w:r>
          </w:p>
        </w:tc>
      </w:tr>
      <w:tr w:rsidR="003E0F58" w:rsidRPr="007C705C" w14:paraId="20F90C12" w14:textId="77777777" w:rsidTr="004D2249">
        <w:trPr>
          <w:trHeight w:val="300"/>
        </w:trPr>
        <w:tc>
          <w:tcPr>
            <w:tcW w:w="1780" w:type="dxa"/>
            <w:noWrap/>
            <w:vAlign w:val="center"/>
            <w:hideMark/>
          </w:tcPr>
          <w:p w14:paraId="254375B3" w14:textId="77777777" w:rsidR="003E0F58" w:rsidRPr="007C705C" w:rsidRDefault="003E0F58" w:rsidP="004D2249">
            <w:pPr>
              <w:jc w:val="left"/>
              <w:rPr>
                <w:rFonts w:cs="Times New Roman"/>
                <w:color w:val="000000"/>
                <w:sz w:val="22"/>
                <w:lang w:val="cs-CZ"/>
              </w:rPr>
            </w:pPr>
            <w:r w:rsidRPr="007C705C">
              <w:rPr>
                <w:rFonts w:cs="Times New Roman"/>
                <w:bCs/>
                <w:color w:val="000000"/>
                <w:sz w:val="22"/>
                <w:lang w:val="cs-CZ"/>
              </w:rPr>
              <w:t>celkem listnaté</w:t>
            </w:r>
          </w:p>
        </w:tc>
        <w:tc>
          <w:tcPr>
            <w:tcW w:w="1320" w:type="dxa"/>
            <w:noWrap/>
            <w:vAlign w:val="center"/>
            <w:hideMark/>
          </w:tcPr>
          <w:p w14:paraId="28072C12"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65,3</w:t>
            </w:r>
          </w:p>
        </w:tc>
        <w:tc>
          <w:tcPr>
            <w:tcW w:w="1320" w:type="dxa"/>
            <w:noWrap/>
            <w:vAlign w:val="center"/>
            <w:hideMark/>
          </w:tcPr>
          <w:p w14:paraId="3632726D"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27,7</w:t>
            </w:r>
          </w:p>
        </w:tc>
        <w:tc>
          <w:tcPr>
            <w:tcW w:w="1320" w:type="dxa"/>
            <w:noWrap/>
            <w:vAlign w:val="center"/>
            <w:hideMark/>
          </w:tcPr>
          <w:p w14:paraId="485C88CD"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35,6</w:t>
            </w:r>
          </w:p>
        </w:tc>
      </w:tr>
      <w:tr w:rsidR="003E0F58" w:rsidRPr="007C705C" w14:paraId="34BD41C4" w14:textId="77777777" w:rsidTr="004D2249">
        <w:trPr>
          <w:trHeight w:val="300"/>
        </w:trPr>
        <w:tc>
          <w:tcPr>
            <w:tcW w:w="1780" w:type="dxa"/>
            <w:tcBorders>
              <w:top w:val="nil"/>
              <w:left w:val="nil"/>
              <w:bottom w:val="single" w:sz="4" w:space="0" w:color="auto"/>
              <w:right w:val="nil"/>
            </w:tcBorders>
            <w:noWrap/>
            <w:vAlign w:val="center"/>
            <w:hideMark/>
          </w:tcPr>
          <w:p w14:paraId="0D50E216" w14:textId="77777777" w:rsidR="003E0F58" w:rsidRPr="007C705C" w:rsidRDefault="003E0F58" w:rsidP="004D2249">
            <w:pPr>
              <w:jc w:val="left"/>
              <w:rPr>
                <w:rFonts w:cs="Times New Roman"/>
                <w:color w:val="000000"/>
                <w:sz w:val="22"/>
                <w:lang w:val="cs-CZ"/>
              </w:rPr>
            </w:pPr>
            <w:r w:rsidRPr="007C705C">
              <w:rPr>
                <w:rFonts w:cs="Times New Roman"/>
                <w:bCs/>
                <w:color w:val="000000"/>
                <w:sz w:val="22"/>
                <w:lang w:val="cs-CZ"/>
              </w:rPr>
              <w:t>holina</w:t>
            </w:r>
          </w:p>
        </w:tc>
        <w:tc>
          <w:tcPr>
            <w:tcW w:w="1320" w:type="dxa"/>
            <w:tcBorders>
              <w:top w:val="nil"/>
              <w:left w:val="nil"/>
              <w:bottom w:val="single" w:sz="4" w:space="0" w:color="auto"/>
              <w:right w:val="nil"/>
            </w:tcBorders>
            <w:noWrap/>
            <w:vAlign w:val="center"/>
            <w:hideMark/>
          </w:tcPr>
          <w:p w14:paraId="72FE2DC5"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0,0</w:t>
            </w:r>
          </w:p>
        </w:tc>
        <w:tc>
          <w:tcPr>
            <w:tcW w:w="1320" w:type="dxa"/>
            <w:tcBorders>
              <w:top w:val="nil"/>
              <w:left w:val="nil"/>
              <w:bottom w:val="single" w:sz="4" w:space="0" w:color="auto"/>
              <w:right w:val="nil"/>
            </w:tcBorders>
            <w:noWrap/>
            <w:vAlign w:val="center"/>
            <w:hideMark/>
          </w:tcPr>
          <w:p w14:paraId="1C2EDF39"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1,3</w:t>
            </w:r>
          </w:p>
        </w:tc>
        <w:tc>
          <w:tcPr>
            <w:tcW w:w="1320" w:type="dxa"/>
            <w:tcBorders>
              <w:top w:val="nil"/>
              <w:left w:val="nil"/>
              <w:bottom w:val="single" w:sz="4" w:space="0" w:color="auto"/>
              <w:right w:val="nil"/>
            </w:tcBorders>
            <w:noWrap/>
            <w:vAlign w:val="center"/>
            <w:hideMark/>
          </w:tcPr>
          <w:p w14:paraId="4D363C89"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0,0</w:t>
            </w:r>
          </w:p>
        </w:tc>
      </w:tr>
      <w:tr w:rsidR="003E0F58" w:rsidRPr="007C705C" w14:paraId="4D7A0C42" w14:textId="77777777" w:rsidTr="004D2249">
        <w:trPr>
          <w:trHeight w:val="300"/>
        </w:trPr>
        <w:tc>
          <w:tcPr>
            <w:tcW w:w="1780" w:type="dxa"/>
            <w:tcBorders>
              <w:top w:val="single" w:sz="4" w:space="0" w:color="auto"/>
              <w:left w:val="nil"/>
              <w:bottom w:val="single" w:sz="4" w:space="0" w:color="auto"/>
              <w:right w:val="nil"/>
            </w:tcBorders>
            <w:noWrap/>
            <w:vAlign w:val="center"/>
            <w:hideMark/>
          </w:tcPr>
          <w:p w14:paraId="5B90C88E" w14:textId="77777777" w:rsidR="003E0F58" w:rsidRPr="007C705C" w:rsidRDefault="003E0F58" w:rsidP="004D2249">
            <w:pPr>
              <w:jc w:val="left"/>
              <w:rPr>
                <w:rFonts w:cs="Times New Roman"/>
                <w:b/>
                <w:bCs/>
                <w:color w:val="000000"/>
                <w:sz w:val="22"/>
                <w:lang w:val="cs-CZ"/>
              </w:rPr>
            </w:pPr>
            <w:r w:rsidRPr="007C705C">
              <w:rPr>
                <w:rFonts w:cs="Times New Roman"/>
                <w:b/>
                <w:bCs/>
                <w:color w:val="000000"/>
                <w:sz w:val="22"/>
                <w:lang w:val="cs-CZ"/>
              </w:rPr>
              <w:t>Skladba lesů</w:t>
            </w:r>
          </w:p>
        </w:tc>
        <w:tc>
          <w:tcPr>
            <w:tcW w:w="1320" w:type="dxa"/>
            <w:tcBorders>
              <w:top w:val="single" w:sz="4" w:space="0" w:color="auto"/>
              <w:left w:val="nil"/>
              <w:bottom w:val="single" w:sz="4" w:space="0" w:color="auto"/>
              <w:right w:val="nil"/>
            </w:tcBorders>
            <w:vAlign w:val="center"/>
            <w:hideMark/>
          </w:tcPr>
          <w:p w14:paraId="5C6ACCF2" w14:textId="77777777" w:rsidR="003E0F58" w:rsidRPr="007C705C" w:rsidRDefault="003E0F58" w:rsidP="004D2249">
            <w:pPr>
              <w:jc w:val="center"/>
              <w:rPr>
                <w:rFonts w:cs="Times New Roman"/>
                <w:b/>
                <w:bCs/>
                <w:color w:val="000000"/>
                <w:sz w:val="22"/>
                <w:lang w:val="cs-CZ"/>
              </w:rPr>
            </w:pPr>
            <w:r w:rsidRPr="007C705C">
              <w:rPr>
                <w:rFonts w:cs="Times New Roman"/>
                <w:b/>
                <w:bCs/>
                <w:color w:val="000000"/>
                <w:sz w:val="22"/>
                <w:lang w:val="cs-CZ"/>
              </w:rPr>
              <w:t>Přirozená</w:t>
            </w:r>
          </w:p>
        </w:tc>
        <w:tc>
          <w:tcPr>
            <w:tcW w:w="1320" w:type="dxa"/>
            <w:tcBorders>
              <w:top w:val="single" w:sz="4" w:space="0" w:color="auto"/>
              <w:left w:val="nil"/>
              <w:bottom w:val="single" w:sz="4" w:space="0" w:color="auto"/>
              <w:right w:val="nil"/>
            </w:tcBorders>
            <w:vAlign w:val="center"/>
            <w:hideMark/>
          </w:tcPr>
          <w:p w14:paraId="08454632" w14:textId="77777777" w:rsidR="003E0F58" w:rsidRPr="007C705C" w:rsidRDefault="003E0F58" w:rsidP="004D2249">
            <w:pPr>
              <w:jc w:val="center"/>
              <w:rPr>
                <w:rFonts w:cs="Times New Roman"/>
                <w:b/>
                <w:bCs/>
                <w:color w:val="000000"/>
                <w:sz w:val="22"/>
                <w:lang w:val="cs-CZ"/>
              </w:rPr>
            </w:pPr>
            <w:r w:rsidRPr="007C705C">
              <w:rPr>
                <w:rFonts w:cs="Times New Roman"/>
                <w:b/>
                <w:bCs/>
                <w:color w:val="000000"/>
                <w:sz w:val="22"/>
                <w:lang w:val="cs-CZ"/>
              </w:rPr>
              <w:t>Současná</w:t>
            </w:r>
          </w:p>
        </w:tc>
        <w:tc>
          <w:tcPr>
            <w:tcW w:w="1320" w:type="dxa"/>
            <w:tcBorders>
              <w:top w:val="single" w:sz="4" w:space="0" w:color="auto"/>
              <w:left w:val="nil"/>
              <w:bottom w:val="single" w:sz="4" w:space="0" w:color="auto"/>
              <w:right w:val="nil"/>
            </w:tcBorders>
            <w:vAlign w:val="center"/>
            <w:hideMark/>
          </w:tcPr>
          <w:p w14:paraId="64A29D51" w14:textId="77777777" w:rsidR="003E0F58" w:rsidRPr="007C705C" w:rsidRDefault="003E0F58" w:rsidP="004D2249">
            <w:pPr>
              <w:jc w:val="center"/>
              <w:rPr>
                <w:rFonts w:cs="Times New Roman"/>
                <w:b/>
                <w:bCs/>
                <w:color w:val="000000"/>
                <w:sz w:val="22"/>
                <w:lang w:val="cs-CZ"/>
              </w:rPr>
            </w:pPr>
            <w:r w:rsidRPr="007C705C">
              <w:rPr>
                <w:rFonts w:cs="Times New Roman"/>
                <w:b/>
                <w:bCs/>
                <w:color w:val="000000"/>
                <w:sz w:val="22"/>
                <w:lang w:val="cs-CZ"/>
              </w:rPr>
              <w:t xml:space="preserve">Doporučená </w:t>
            </w:r>
          </w:p>
        </w:tc>
      </w:tr>
      <w:tr w:rsidR="003E0F58" w:rsidRPr="007C705C" w14:paraId="5A1A9A79" w14:textId="77777777" w:rsidTr="004D2249">
        <w:trPr>
          <w:trHeight w:val="300"/>
        </w:trPr>
        <w:tc>
          <w:tcPr>
            <w:tcW w:w="1780" w:type="dxa"/>
            <w:noWrap/>
            <w:vAlign w:val="center"/>
            <w:hideMark/>
          </w:tcPr>
          <w:p w14:paraId="5E352607" w14:textId="77777777" w:rsidR="003E0F58" w:rsidRPr="007C705C" w:rsidRDefault="003E0F58" w:rsidP="004D2249">
            <w:pPr>
              <w:jc w:val="left"/>
              <w:rPr>
                <w:rFonts w:cs="Times New Roman"/>
                <w:color w:val="000000"/>
                <w:sz w:val="22"/>
                <w:lang w:val="cs-CZ"/>
              </w:rPr>
            </w:pPr>
            <w:r w:rsidRPr="007C705C">
              <w:rPr>
                <w:rFonts w:cs="Times New Roman"/>
                <w:bCs/>
                <w:color w:val="000000"/>
                <w:sz w:val="22"/>
                <w:lang w:val="cs-CZ"/>
              </w:rPr>
              <w:t>smrk</w:t>
            </w:r>
          </w:p>
        </w:tc>
        <w:tc>
          <w:tcPr>
            <w:tcW w:w="1320" w:type="dxa"/>
            <w:noWrap/>
            <w:vAlign w:val="center"/>
            <w:hideMark/>
          </w:tcPr>
          <w:p w14:paraId="3800C385"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11,2</w:t>
            </w:r>
          </w:p>
        </w:tc>
        <w:tc>
          <w:tcPr>
            <w:tcW w:w="1320" w:type="dxa"/>
            <w:noWrap/>
            <w:vAlign w:val="center"/>
            <w:hideMark/>
          </w:tcPr>
          <w:p w14:paraId="10598B27"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50,3</w:t>
            </w:r>
          </w:p>
        </w:tc>
        <w:tc>
          <w:tcPr>
            <w:tcW w:w="1320" w:type="dxa"/>
            <w:noWrap/>
            <w:vAlign w:val="center"/>
            <w:hideMark/>
          </w:tcPr>
          <w:p w14:paraId="563C15BB"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36,5</w:t>
            </w:r>
          </w:p>
        </w:tc>
      </w:tr>
      <w:tr w:rsidR="003E0F58" w:rsidRPr="007C705C" w14:paraId="0C0E3939" w14:textId="77777777" w:rsidTr="004D2249">
        <w:trPr>
          <w:trHeight w:val="300"/>
        </w:trPr>
        <w:tc>
          <w:tcPr>
            <w:tcW w:w="1780" w:type="dxa"/>
            <w:noWrap/>
            <w:vAlign w:val="center"/>
            <w:hideMark/>
          </w:tcPr>
          <w:p w14:paraId="49A4F13E" w14:textId="77777777" w:rsidR="003E0F58" w:rsidRPr="007C705C" w:rsidRDefault="003E0F58" w:rsidP="004D2249">
            <w:pPr>
              <w:jc w:val="left"/>
              <w:rPr>
                <w:rFonts w:cs="Times New Roman"/>
                <w:color w:val="000000"/>
                <w:sz w:val="22"/>
                <w:lang w:val="cs-CZ"/>
              </w:rPr>
            </w:pPr>
            <w:r w:rsidRPr="007C705C">
              <w:rPr>
                <w:rFonts w:cs="Times New Roman"/>
                <w:bCs/>
                <w:color w:val="000000"/>
                <w:sz w:val="22"/>
                <w:lang w:val="cs-CZ"/>
              </w:rPr>
              <w:t>jedle</w:t>
            </w:r>
          </w:p>
        </w:tc>
        <w:tc>
          <w:tcPr>
            <w:tcW w:w="1320" w:type="dxa"/>
            <w:noWrap/>
            <w:vAlign w:val="center"/>
            <w:hideMark/>
          </w:tcPr>
          <w:p w14:paraId="57C7B6D5"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19,8</w:t>
            </w:r>
          </w:p>
        </w:tc>
        <w:tc>
          <w:tcPr>
            <w:tcW w:w="1320" w:type="dxa"/>
            <w:noWrap/>
            <w:vAlign w:val="center"/>
            <w:hideMark/>
          </w:tcPr>
          <w:p w14:paraId="23BDE505"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1,1</w:t>
            </w:r>
          </w:p>
        </w:tc>
        <w:tc>
          <w:tcPr>
            <w:tcW w:w="1320" w:type="dxa"/>
            <w:noWrap/>
            <w:vAlign w:val="center"/>
            <w:hideMark/>
          </w:tcPr>
          <w:p w14:paraId="4707A9E9"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4,4</w:t>
            </w:r>
          </w:p>
        </w:tc>
      </w:tr>
      <w:tr w:rsidR="003E0F58" w:rsidRPr="007C705C" w14:paraId="7F1A4F27" w14:textId="77777777" w:rsidTr="004D2249">
        <w:trPr>
          <w:trHeight w:val="300"/>
        </w:trPr>
        <w:tc>
          <w:tcPr>
            <w:tcW w:w="1780" w:type="dxa"/>
            <w:noWrap/>
            <w:vAlign w:val="center"/>
            <w:hideMark/>
          </w:tcPr>
          <w:p w14:paraId="18B5F090" w14:textId="77777777" w:rsidR="003E0F58" w:rsidRPr="007C705C" w:rsidRDefault="003E0F58" w:rsidP="004D2249">
            <w:pPr>
              <w:jc w:val="left"/>
              <w:rPr>
                <w:rFonts w:cs="Times New Roman"/>
                <w:color w:val="000000"/>
                <w:sz w:val="22"/>
                <w:lang w:val="cs-CZ"/>
              </w:rPr>
            </w:pPr>
            <w:r w:rsidRPr="007C705C">
              <w:rPr>
                <w:rFonts w:cs="Times New Roman"/>
                <w:bCs/>
                <w:color w:val="000000"/>
                <w:sz w:val="22"/>
                <w:lang w:val="cs-CZ"/>
              </w:rPr>
              <w:t>borovice</w:t>
            </w:r>
          </w:p>
        </w:tc>
        <w:tc>
          <w:tcPr>
            <w:tcW w:w="1320" w:type="dxa"/>
            <w:noWrap/>
            <w:vAlign w:val="center"/>
            <w:hideMark/>
          </w:tcPr>
          <w:p w14:paraId="16DA8846"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3,4</w:t>
            </w:r>
          </w:p>
        </w:tc>
        <w:tc>
          <w:tcPr>
            <w:tcW w:w="1320" w:type="dxa"/>
            <w:noWrap/>
            <w:vAlign w:val="center"/>
            <w:hideMark/>
          </w:tcPr>
          <w:p w14:paraId="58AAB59A"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16,3</w:t>
            </w:r>
          </w:p>
        </w:tc>
        <w:tc>
          <w:tcPr>
            <w:tcW w:w="1320" w:type="dxa"/>
            <w:noWrap/>
            <w:vAlign w:val="center"/>
            <w:hideMark/>
          </w:tcPr>
          <w:p w14:paraId="2805BC6C"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16,8</w:t>
            </w:r>
          </w:p>
        </w:tc>
      </w:tr>
      <w:tr w:rsidR="003E0F58" w:rsidRPr="007C705C" w14:paraId="30DE5631" w14:textId="77777777" w:rsidTr="004D2249">
        <w:trPr>
          <w:trHeight w:val="300"/>
        </w:trPr>
        <w:tc>
          <w:tcPr>
            <w:tcW w:w="1780" w:type="dxa"/>
            <w:noWrap/>
            <w:vAlign w:val="center"/>
            <w:hideMark/>
          </w:tcPr>
          <w:p w14:paraId="2F5B75CB" w14:textId="77777777" w:rsidR="003E0F58" w:rsidRPr="007C705C" w:rsidRDefault="003E0F58" w:rsidP="004D2249">
            <w:pPr>
              <w:jc w:val="left"/>
              <w:rPr>
                <w:rFonts w:cs="Times New Roman"/>
                <w:color w:val="000000"/>
                <w:sz w:val="22"/>
                <w:lang w:val="cs-CZ"/>
              </w:rPr>
            </w:pPr>
            <w:r w:rsidRPr="007C705C">
              <w:rPr>
                <w:rFonts w:cs="Times New Roman"/>
                <w:bCs/>
                <w:color w:val="000000"/>
                <w:sz w:val="22"/>
                <w:lang w:val="cs-CZ"/>
              </w:rPr>
              <w:t>modřín</w:t>
            </w:r>
          </w:p>
        </w:tc>
        <w:tc>
          <w:tcPr>
            <w:tcW w:w="1320" w:type="dxa"/>
            <w:noWrap/>
            <w:vAlign w:val="center"/>
            <w:hideMark/>
          </w:tcPr>
          <w:p w14:paraId="62C2B281"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0,0</w:t>
            </w:r>
          </w:p>
        </w:tc>
        <w:tc>
          <w:tcPr>
            <w:tcW w:w="1320" w:type="dxa"/>
            <w:noWrap/>
            <w:vAlign w:val="center"/>
            <w:hideMark/>
          </w:tcPr>
          <w:p w14:paraId="6246DCD2"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3,8</w:t>
            </w:r>
          </w:p>
        </w:tc>
        <w:tc>
          <w:tcPr>
            <w:tcW w:w="1320" w:type="dxa"/>
            <w:noWrap/>
            <w:vAlign w:val="center"/>
            <w:hideMark/>
          </w:tcPr>
          <w:p w14:paraId="53925BF3"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4,5</w:t>
            </w:r>
          </w:p>
        </w:tc>
      </w:tr>
      <w:tr w:rsidR="003E0F58" w:rsidRPr="007C705C" w14:paraId="14FDA6F2" w14:textId="77777777" w:rsidTr="004D2249">
        <w:trPr>
          <w:trHeight w:val="300"/>
        </w:trPr>
        <w:tc>
          <w:tcPr>
            <w:tcW w:w="1780" w:type="dxa"/>
            <w:noWrap/>
            <w:vAlign w:val="center"/>
            <w:hideMark/>
          </w:tcPr>
          <w:p w14:paraId="5C9D5244" w14:textId="77777777" w:rsidR="003E0F58" w:rsidRPr="007C705C" w:rsidRDefault="003E0F58" w:rsidP="004D2249">
            <w:pPr>
              <w:jc w:val="left"/>
              <w:rPr>
                <w:rFonts w:cs="Times New Roman"/>
                <w:color w:val="000000"/>
                <w:sz w:val="22"/>
                <w:lang w:val="cs-CZ"/>
              </w:rPr>
            </w:pPr>
            <w:r w:rsidRPr="007C705C">
              <w:rPr>
                <w:rFonts w:cs="Times New Roman"/>
                <w:bCs/>
                <w:color w:val="000000"/>
                <w:sz w:val="22"/>
                <w:lang w:val="cs-CZ"/>
              </w:rPr>
              <w:t>ostatní jehličnaté</w:t>
            </w:r>
          </w:p>
        </w:tc>
        <w:tc>
          <w:tcPr>
            <w:tcW w:w="1320" w:type="dxa"/>
            <w:noWrap/>
            <w:vAlign w:val="center"/>
            <w:hideMark/>
          </w:tcPr>
          <w:p w14:paraId="1A69EAF3"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0,3</w:t>
            </w:r>
          </w:p>
        </w:tc>
        <w:tc>
          <w:tcPr>
            <w:tcW w:w="1320" w:type="dxa"/>
            <w:noWrap/>
            <w:vAlign w:val="center"/>
            <w:hideMark/>
          </w:tcPr>
          <w:p w14:paraId="6C67237F"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0,3</w:t>
            </w:r>
          </w:p>
        </w:tc>
        <w:tc>
          <w:tcPr>
            <w:tcW w:w="1320" w:type="dxa"/>
            <w:noWrap/>
            <w:vAlign w:val="center"/>
            <w:hideMark/>
          </w:tcPr>
          <w:p w14:paraId="4BC9BA52"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2,2</w:t>
            </w:r>
          </w:p>
        </w:tc>
      </w:tr>
      <w:tr w:rsidR="003E0F58" w:rsidRPr="007C705C" w14:paraId="03C21D66" w14:textId="77777777" w:rsidTr="004D2249">
        <w:trPr>
          <w:trHeight w:val="300"/>
        </w:trPr>
        <w:tc>
          <w:tcPr>
            <w:tcW w:w="1780" w:type="dxa"/>
            <w:noWrap/>
            <w:vAlign w:val="center"/>
            <w:hideMark/>
          </w:tcPr>
          <w:p w14:paraId="61FA4C82" w14:textId="77777777" w:rsidR="003E0F58" w:rsidRPr="007C705C" w:rsidRDefault="003E0F58" w:rsidP="004D2249">
            <w:pPr>
              <w:jc w:val="left"/>
              <w:rPr>
                <w:rFonts w:cs="Times New Roman"/>
                <w:color w:val="000000"/>
                <w:sz w:val="22"/>
                <w:lang w:val="cs-CZ"/>
              </w:rPr>
            </w:pPr>
            <w:r w:rsidRPr="007C705C">
              <w:rPr>
                <w:rFonts w:cs="Times New Roman"/>
                <w:bCs/>
                <w:color w:val="000000"/>
                <w:sz w:val="22"/>
                <w:lang w:val="cs-CZ"/>
              </w:rPr>
              <w:t>celkem jehličnaté</w:t>
            </w:r>
          </w:p>
        </w:tc>
        <w:tc>
          <w:tcPr>
            <w:tcW w:w="1320" w:type="dxa"/>
            <w:noWrap/>
            <w:vAlign w:val="center"/>
            <w:hideMark/>
          </w:tcPr>
          <w:p w14:paraId="5A55F2B6"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34,7</w:t>
            </w:r>
          </w:p>
        </w:tc>
        <w:tc>
          <w:tcPr>
            <w:tcW w:w="1320" w:type="dxa"/>
            <w:noWrap/>
            <w:vAlign w:val="center"/>
            <w:hideMark/>
          </w:tcPr>
          <w:p w14:paraId="2E4D2801"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71,9</w:t>
            </w:r>
          </w:p>
        </w:tc>
        <w:tc>
          <w:tcPr>
            <w:tcW w:w="1320" w:type="dxa"/>
            <w:noWrap/>
            <w:vAlign w:val="center"/>
            <w:hideMark/>
          </w:tcPr>
          <w:p w14:paraId="610479D0"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64,4</w:t>
            </w:r>
          </w:p>
        </w:tc>
      </w:tr>
      <w:tr w:rsidR="003E0F58" w:rsidRPr="007C705C" w14:paraId="3765578A" w14:textId="77777777" w:rsidTr="004D2249">
        <w:trPr>
          <w:trHeight w:val="300"/>
        </w:trPr>
        <w:tc>
          <w:tcPr>
            <w:tcW w:w="1780" w:type="dxa"/>
            <w:noWrap/>
            <w:vAlign w:val="center"/>
            <w:hideMark/>
          </w:tcPr>
          <w:p w14:paraId="48EE76B2" w14:textId="77777777" w:rsidR="003E0F58" w:rsidRPr="007C705C" w:rsidRDefault="003E0F58" w:rsidP="004D2249">
            <w:pPr>
              <w:jc w:val="left"/>
              <w:rPr>
                <w:rFonts w:cs="Times New Roman"/>
                <w:color w:val="000000"/>
                <w:sz w:val="22"/>
                <w:lang w:val="cs-CZ"/>
              </w:rPr>
            </w:pPr>
            <w:r w:rsidRPr="007C705C">
              <w:rPr>
                <w:rFonts w:cs="Times New Roman"/>
                <w:bCs/>
                <w:color w:val="000000"/>
                <w:sz w:val="22"/>
                <w:lang w:val="cs-CZ"/>
              </w:rPr>
              <w:t>dub</w:t>
            </w:r>
          </w:p>
        </w:tc>
        <w:tc>
          <w:tcPr>
            <w:tcW w:w="1320" w:type="dxa"/>
            <w:noWrap/>
            <w:vAlign w:val="center"/>
            <w:hideMark/>
          </w:tcPr>
          <w:p w14:paraId="7F4C5DAE"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19,4</w:t>
            </w:r>
          </w:p>
        </w:tc>
        <w:tc>
          <w:tcPr>
            <w:tcW w:w="1320" w:type="dxa"/>
            <w:noWrap/>
            <w:vAlign w:val="center"/>
            <w:hideMark/>
          </w:tcPr>
          <w:p w14:paraId="2FB2E64E"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7,2</w:t>
            </w:r>
          </w:p>
        </w:tc>
        <w:tc>
          <w:tcPr>
            <w:tcW w:w="1320" w:type="dxa"/>
            <w:noWrap/>
            <w:vAlign w:val="center"/>
            <w:hideMark/>
          </w:tcPr>
          <w:p w14:paraId="7D3A0F2E"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9,0</w:t>
            </w:r>
          </w:p>
        </w:tc>
      </w:tr>
      <w:tr w:rsidR="003E0F58" w:rsidRPr="007C705C" w14:paraId="610C90D7" w14:textId="77777777" w:rsidTr="004D2249">
        <w:trPr>
          <w:trHeight w:val="300"/>
        </w:trPr>
        <w:tc>
          <w:tcPr>
            <w:tcW w:w="1780" w:type="dxa"/>
            <w:noWrap/>
            <w:vAlign w:val="center"/>
            <w:hideMark/>
          </w:tcPr>
          <w:p w14:paraId="45DC1E7A" w14:textId="77777777" w:rsidR="003E0F58" w:rsidRPr="007C705C" w:rsidRDefault="003E0F58" w:rsidP="004D2249">
            <w:pPr>
              <w:jc w:val="left"/>
              <w:rPr>
                <w:rFonts w:cs="Times New Roman"/>
                <w:color w:val="000000"/>
                <w:sz w:val="22"/>
                <w:lang w:val="cs-CZ"/>
              </w:rPr>
            </w:pPr>
            <w:r w:rsidRPr="007C705C">
              <w:rPr>
                <w:rFonts w:cs="Times New Roman"/>
                <w:bCs/>
                <w:color w:val="000000"/>
                <w:sz w:val="22"/>
                <w:lang w:val="cs-CZ"/>
              </w:rPr>
              <w:t>buk</w:t>
            </w:r>
          </w:p>
        </w:tc>
        <w:tc>
          <w:tcPr>
            <w:tcW w:w="1320" w:type="dxa"/>
            <w:noWrap/>
            <w:vAlign w:val="center"/>
            <w:hideMark/>
          </w:tcPr>
          <w:p w14:paraId="288A03E4"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40,2</w:t>
            </w:r>
          </w:p>
        </w:tc>
        <w:tc>
          <w:tcPr>
            <w:tcW w:w="1320" w:type="dxa"/>
            <w:noWrap/>
            <w:vAlign w:val="center"/>
            <w:hideMark/>
          </w:tcPr>
          <w:p w14:paraId="51C405F0"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8,4</w:t>
            </w:r>
          </w:p>
        </w:tc>
        <w:tc>
          <w:tcPr>
            <w:tcW w:w="1320" w:type="dxa"/>
            <w:noWrap/>
            <w:vAlign w:val="center"/>
            <w:hideMark/>
          </w:tcPr>
          <w:p w14:paraId="6824A64C"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18,0</w:t>
            </w:r>
          </w:p>
        </w:tc>
      </w:tr>
      <w:tr w:rsidR="003E0F58" w:rsidRPr="007C705C" w14:paraId="444E53BC" w14:textId="77777777" w:rsidTr="004D2249">
        <w:trPr>
          <w:trHeight w:val="300"/>
        </w:trPr>
        <w:tc>
          <w:tcPr>
            <w:tcW w:w="1780" w:type="dxa"/>
            <w:noWrap/>
            <w:vAlign w:val="center"/>
            <w:hideMark/>
          </w:tcPr>
          <w:p w14:paraId="3A1D8323" w14:textId="77777777" w:rsidR="003E0F58" w:rsidRPr="007C705C" w:rsidRDefault="003E0F58" w:rsidP="004D2249">
            <w:pPr>
              <w:jc w:val="left"/>
              <w:rPr>
                <w:rFonts w:cs="Times New Roman"/>
                <w:color w:val="000000"/>
                <w:sz w:val="22"/>
                <w:lang w:val="cs-CZ"/>
              </w:rPr>
            </w:pPr>
            <w:r w:rsidRPr="007C705C">
              <w:rPr>
                <w:rFonts w:cs="Times New Roman"/>
                <w:bCs/>
                <w:color w:val="000000"/>
                <w:sz w:val="22"/>
                <w:lang w:val="cs-CZ"/>
              </w:rPr>
              <w:t>habr</w:t>
            </w:r>
          </w:p>
        </w:tc>
        <w:tc>
          <w:tcPr>
            <w:tcW w:w="1320" w:type="dxa"/>
            <w:noWrap/>
            <w:vAlign w:val="center"/>
            <w:hideMark/>
          </w:tcPr>
          <w:p w14:paraId="193CB94C"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1,6</w:t>
            </w:r>
          </w:p>
        </w:tc>
        <w:tc>
          <w:tcPr>
            <w:tcW w:w="1320" w:type="dxa"/>
            <w:noWrap/>
            <w:vAlign w:val="center"/>
            <w:hideMark/>
          </w:tcPr>
          <w:p w14:paraId="499D5B72"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1,3</w:t>
            </w:r>
          </w:p>
        </w:tc>
        <w:tc>
          <w:tcPr>
            <w:tcW w:w="1320" w:type="dxa"/>
            <w:noWrap/>
            <w:vAlign w:val="center"/>
            <w:hideMark/>
          </w:tcPr>
          <w:p w14:paraId="34C9FF27"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0,9</w:t>
            </w:r>
          </w:p>
        </w:tc>
      </w:tr>
      <w:tr w:rsidR="003E0F58" w:rsidRPr="007C705C" w14:paraId="1AE28E52" w14:textId="77777777" w:rsidTr="004D2249">
        <w:trPr>
          <w:trHeight w:val="300"/>
        </w:trPr>
        <w:tc>
          <w:tcPr>
            <w:tcW w:w="1780" w:type="dxa"/>
            <w:noWrap/>
            <w:vAlign w:val="center"/>
            <w:hideMark/>
          </w:tcPr>
          <w:p w14:paraId="0BEF219A" w14:textId="77777777" w:rsidR="003E0F58" w:rsidRPr="007C705C" w:rsidRDefault="003E0F58" w:rsidP="004D2249">
            <w:pPr>
              <w:jc w:val="left"/>
              <w:rPr>
                <w:rFonts w:cs="Times New Roman"/>
                <w:color w:val="000000"/>
                <w:sz w:val="22"/>
                <w:lang w:val="cs-CZ"/>
              </w:rPr>
            </w:pPr>
            <w:r w:rsidRPr="007C705C">
              <w:rPr>
                <w:rFonts w:cs="Times New Roman"/>
                <w:bCs/>
                <w:color w:val="000000"/>
                <w:sz w:val="22"/>
                <w:lang w:val="cs-CZ"/>
              </w:rPr>
              <w:t>jasan</w:t>
            </w:r>
          </w:p>
        </w:tc>
        <w:tc>
          <w:tcPr>
            <w:tcW w:w="1320" w:type="dxa"/>
            <w:noWrap/>
            <w:vAlign w:val="center"/>
            <w:hideMark/>
          </w:tcPr>
          <w:p w14:paraId="6FE8BD4D"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0,6</w:t>
            </w:r>
          </w:p>
        </w:tc>
        <w:tc>
          <w:tcPr>
            <w:tcW w:w="1320" w:type="dxa"/>
            <w:noWrap/>
            <w:vAlign w:val="center"/>
            <w:hideMark/>
          </w:tcPr>
          <w:p w14:paraId="4EB32131"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1,4</w:t>
            </w:r>
          </w:p>
        </w:tc>
        <w:tc>
          <w:tcPr>
            <w:tcW w:w="1320" w:type="dxa"/>
            <w:noWrap/>
            <w:vAlign w:val="center"/>
            <w:hideMark/>
          </w:tcPr>
          <w:p w14:paraId="490D3622"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0,7</w:t>
            </w:r>
          </w:p>
        </w:tc>
      </w:tr>
      <w:tr w:rsidR="003E0F58" w:rsidRPr="007C705C" w14:paraId="050E71AA" w14:textId="77777777" w:rsidTr="004D2249">
        <w:trPr>
          <w:trHeight w:val="300"/>
        </w:trPr>
        <w:tc>
          <w:tcPr>
            <w:tcW w:w="1780" w:type="dxa"/>
            <w:noWrap/>
            <w:vAlign w:val="center"/>
            <w:hideMark/>
          </w:tcPr>
          <w:p w14:paraId="007A9CB6" w14:textId="77777777" w:rsidR="003E0F58" w:rsidRPr="007C705C" w:rsidRDefault="003E0F58" w:rsidP="004D2249">
            <w:pPr>
              <w:jc w:val="left"/>
              <w:rPr>
                <w:rFonts w:cs="Times New Roman"/>
                <w:color w:val="000000"/>
                <w:sz w:val="22"/>
                <w:lang w:val="cs-CZ"/>
              </w:rPr>
            </w:pPr>
            <w:r w:rsidRPr="007C705C">
              <w:rPr>
                <w:rFonts w:cs="Times New Roman"/>
                <w:bCs/>
                <w:color w:val="000000"/>
                <w:sz w:val="22"/>
                <w:lang w:val="cs-CZ"/>
              </w:rPr>
              <w:t>javor</w:t>
            </w:r>
          </w:p>
        </w:tc>
        <w:tc>
          <w:tcPr>
            <w:tcW w:w="1320" w:type="dxa"/>
            <w:noWrap/>
            <w:vAlign w:val="center"/>
            <w:hideMark/>
          </w:tcPr>
          <w:p w14:paraId="7ADA9914"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0,7</w:t>
            </w:r>
          </w:p>
        </w:tc>
        <w:tc>
          <w:tcPr>
            <w:tcW w:w="1320" w:type="dxa"/>
            <w:noWrap/>
            <w:vAlign w:val="center"/>
            <w:hideMark/>
          </w:tcPr>
          <w:p w14:paraId="2F2F7F7E"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1,5</w:t>
            </w:r>
          </w:p>
        </w:tc>
        <w:tc>
          <w:tcPr>
            <w:tcW w:w="1320" w:type="dxa"/>
            <w:noWrap/>
            <w:vAlign w:val="center"/>
            <w:hideMark/>
          </w:tcPr>
          <w:p w14:paraId="4C3AC117"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1,5</w:t>
            </w:r>
          </w:p>
        </w:tc>
      </w:tr>
      <w:tr w:rsidR="003E0F58" w:rsidRPr="007C705C" w14:paraId="481398B9" w14:textId="77777777" w:rsidTr="004D2249">
        <w:trPr>
          <w:trHeight w:val="300"/>
        </w:trPr>
        <w:tc>
          <w:tcPr>
            <w:tcW w:w="1780" w:type="dxa"/>
            <w:noWrap/>
            <w:vAlign w:val="center"/>
            <w:hideMark/>
          </w:tcPr>
          <w:p w14:paraId="162B463A" w14:textId="77777777" w:rsidR="003E0F58" w:rsidRPr="007C705C" w:rsidRDefault="003E0F58" w:rsidP="004D2249">
            <w:pPr>
              <w:jc w:val="left"/>
              <w:rPr>
                <w:rFonts w:cs="Times New Roman"/>
                <w:color w:val="000000"/>
                <w:sz w:val="22"/>
                <w:lang w:val="cs-CZ"/>
              </w:rPr>
            </w:pPr>
            <w:r w:rsidRPr="007C705C">
              <w:rPr>
                <w:rFonts w:cs="Times New Roman"/>
                <w:bCs/>
                <w:color w:val="000000"/>
                <w:sz w:val="22"/>
                <w:lang w:val="cs-CZ"/>
              </w:rPr>
              <w:t>jilm</w:t>
            </w:r>
          </w:p>
        </w:tc>
        <w:tc>
          <w:tcPr>
            <w:tcW w:w="1320" w:type="dxa"/>
            <w:noWrap/>
            <w:vAlign w:val="center"/>
            <w:hideMark/>
          </w:tcPr>
          <w:p w14:paraId="1531CCC8"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0,3</w:t>
            </w:r>
          </w:p>
        </w:tc>
        <w:tc>
          <w:tcPr>
            <w:tcW w:w="1320" w:type="dxa"/>
            <w:noWrap/>
            <w:vAlign w:val="center"/>
            <w:hideMark/>
          </w:tcPr>
          <w:p w14:paraId="3289C07E"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0,0</w:t>
            </w:r>
          </w:p>
        </w:tc>
        <w:tc>
          <w:tcPr>
            <w:tcW w:w="1320" w:type="dxa"/>
            <w:noWrap/>
            <w:vAlign w:val="center"/>
            <w:hideMark/>
          </w:tcPr>
          <w:p w14:paraId="69AA5F36"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0,3</w:t>
            </w:r>
          </w:p>
        </w:tc>
      </w:tr>
      <w:tr w:rsidR="003E0F58" w:rsidRPr="007C705C" w14:paraId="1EC1300A" w14:textId="77777777" w:rsidTr="004D2249">
        <w:trPr>
          <w:trHeight w:val="300"/>
        </w:trPr>
        <w:tc>
          <w:tcPr>
            <w:tcW w:w="1780" w:type="dxa"/>
            <w:noWrap/>
            <w:vAlign w:val="center"/>
            <w:hideMark/>
          </w:tcPr>
          <w:p w14:paraId="32D6BF95" w14:textId="77777777" w:rsidR="003E0F58" w:rsidRPr="007C705C" w:rsidRDefault="003E0F58" w:rsidP="004D2249">
            <w:pPr>
              <w:jc w:val="left"/>
              <w:rPr>
                <w:rFonts w:cs="Times New Roman"/>
                <w:color w:val="000000"/>
                <w:sz w:val="22"/>
                <w:lang w:val="cs-CZ"/>
              </w:rPr>
            </w:pPr>
            <w:r w:rsidRPr="007C705C">
              <w:rPr>
                <w:rFonts w:cs="Times New Roman"/>
                <w:bCs/>
                <w:color w:val="000000"/>
                <w:sz w:val="22"/>
                <w:lang w:val="cs-CZ"/>
              </w:rPr>
              <w:lastRenderedPageBreak/>
              <w:t>bříza</w:t>
            </w:r>
          </w:p>
        </w:tc>
        <w:tc>
          <w:tcPr>
            <w:tcW w:w="1320" w:type="dxa"/>
            <w:noWrap/>
            <w:vAlign w:val="center"/>
            <w:hideMark/>
          </w:tcPr>
          <w:p w14:paraId="738090D1"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0,8</w:t>
            </w:r>
          </w:p>
        </w:tc>
        <w:tc>
          <w:tcPr>
            <w:tcW w:w="1320" w:type="dxa"/>
            <w:noWrap/>
            <w:vAlign w:val="center"/>
            <w:hideMark/>
          </w:tcPr>
          <w:p w14:paraId="26408C07"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2,8</w:t>
            </w:r>
          </w:p>
        </w:tc>
        <w:tc>
          <w:tcPr>
            <w:tcW w:w="1320" w:type="dxa"/>
            <w:noWrap/>
            <w:vAlign w:val="center"/>
            <w:hideMark/>
          </w:tcPr>
          <w:p w14:paraId="1548A3D0"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0,8</w:t>
            </w:r>
          </w:p>
        </w:tc>
      </w:tr>
      <w:tr w:rsidR="003E0F58" w:rsidRPr="007C705C" w14:paraId="49B564CC" w14:textId="77777777" w:rsidTr="004D2249">
        <w:trPr>
          <w:trHeight w:val="300"/>
        </w:trPr>
        <w:tc>
          <w:tcPr>
            <w:tcW w:w="1780" w:type="dxa"/>
            <w:noWrap/>
            <w:vAlign w:val="center"/>
            <w:hideMark/>
          </w:tcPr>
          <w:p w14:paraId="745CC26D" w14:textId="77777777" w:rsidR="003E0F58" w:rsidRPr="007C705C" w:rsidRDefault="003E0F58" w:rsidP="004D2249">
            <w:pPr>
              <w:jc w:val="left"/>
              <w:rPr>
                <w:rFonts w:cs="Times New Roman"/>
                <w:color w:val="000000"/>
                <w:sz w:val="22"/>
                <w:lang w:val="cs-CZ"/>
              </w:rPr>
            </w:pPr>
            <w:r w:rsidRPr="007C705C">
              <w:rPr>
                <w:rFonts w:cs="Times New Roman"/>
                <w:bCs/>
                <w:color w:val="000000"/>
                <w:sz w:val="22"/>
                <w:lang w:val="cs-CZ"/>
              </w:rPr>
              <w:t>lípa</w:t>
            </w:r>
          </w:p>
        </w:tc>
        <w:tc>
          <w:tcPr>
            <w:tcW w:w="1320" w:type="dxa"/>
            <w:noWrap/>
            <w:vAlign w:val="center"/>
            <w:hideMark/>
          </w:tcPr>
          <w:p w14:paraId="259BC4CA"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0,8</w:t>
            </w:r>
          </w:p>
        </w:tc>
        <w:tc>
          <w:tcPr>
            <w:tcW w:w="1320" w:type="dxa"/>
            <w:noWrap/>
            <w:vAlign w:val="center"/>
            <w:hideMark/>
          </w:tcPr>
          <w:p w14:paraId="63D93027"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1,2</w:t>
            </w:r>
          </w:p>
        </w:tc>
        <w:tc>
          <w:tcPr>
            <w:tcW w:w="1320" w:type="dxa"/>
            <w:noWrap/>
            <w:vAlign w:val="center"/>
            <w:hideMark/>
          </w:tcPr>
          <w:p w14:paraId="1E193FE8"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3,2</w:t>
            </w:r>
          </w:p>
        </w:tc>
      </w:tr>
      <w:tr w:rsidR="003E0F58" w:rsidRPr="007C705C" w14:paraId="204A7812" w14:textId="77777777" w:rsidTr="004D2249">
        <w:trPr>
          <w:trHeight w:val="300"/>
        </w:trPr>
        <w:tc>
          <w:tcPr>
            <w:tcW w:w="1780" w:type="dxa"/>
            <w:tcBorders>
              <w:top w:val="nil"/>
              <w:left w:val="nil"/>
              <w:bottom w:val="single" w:sz="4" w:space="0" w:color="auto"/>
              <w:right w:val="nil"/>
            </w:tcBorders>
            <w:noWrap/>
            <w:vAlign w:val="center"/>
            <w:hideMark/>
          </w:tcPr>
          <w:p w14:paraId="4EE8C4D1" w14:textId="77777777" w:rsidR="003E0F58" w:rsidRPr="007C705C" w:rsidRDefault="003E0F58" w:rsidP="004D2249">
            <w:pPr>
              <w:jc w:val="left"/>
              <w:rPr>
                <w:rFonts w:cs="Times New Roman"/>
                <w:color w:val="000000"/>
                <w:sz w:val="22"/>
                <w:lang w:val="cs-CZ"/>
              </w:rPr>
            </w:pPr>
            <w:r w:rsidRPr="007C705C">
              <w:rPr>
                <w:rFonts w:cs="Times New Roman"/>
                <w:bCs/>
                <w:color w:val="000000"/>
                <w:sz w:val="22"/>
                <w:lang w:val="cs-CZ"/>
              </w:rPr>
              <w:t>olše</w:t>
            </w:r>
          </w:p>
        </w:tc>
        <w:tc>
          <w:tcPr>
            <w:tcW w:w="1320" w:type="dxa"/>
            <w:tcBorders>
              <w:top w:val="nil"/>
              <w:left w:val="nil"/>
              <w:bottom w:val="single" w:sz="4" w:space="0" w:color="auto"/>
              <w:right w:val="nil"/>
            </w:tcBorders>
            <w:noWrap/>
            <w:vAlign w:val="center"/>
            <w:hideMark/>
          </w:tcPr>
          <w:p w14:paraId="52D3768B"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0,6</w:t>
            </w:r>
          </w:p>
        </w:tc>
        <w:tc>
          <w:tcPr>
            <w:tcW w:w="1320" w:type="dxa"/>
            <w:tcBorders>
              <w:top w:val="nil"/>
              <w:left w:val="nil"/>
              <w:bottom w:val="single" w:sz="4" w:space="0" w:color="auto"/>
              <w:right w:val="nil"/>
            </w:tcBorders>
            <w:noWrap/>
            <w:vAlign w:val="center"/>
            <w:hideMark/>
          </w:tcPr>
          <w:p w14:paraId="15778C90"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1,6</w:t>
            </w:r>
          </w:p>
        </w:tc>
        <w:tc>
          <w:tcPr>
            <w:tcW w:w="1320" w:type="dxa"/>
            <w:tcBorders>
              <w:top w:val="nil"/>
              <w:left w:val="nil"/>
              <w:bottom w:val="single" w:sz="4" w:space="0" w:color="auto"/>
              <w:right w:val="nil"/>
            </w:tcBorders>
            <w:noWrap/>
            <w:vAlign w:val="center"/>
            <w:hideMark/>
          </w:tcPr>
          <w:p w14:paraId="26583087"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0,6</w:t>
            </w:r>
          </w:p>
        </w:tc>
      </w:tr>
      <w:tr w:rsidR="003E0F58" w:rsidRPr="007C705C" w14:paraId="533C413B" w14:textId="77777777" w:rsidTr="004D2249">
        <w:trPr>
          <w:trHeight w:val="300"/>
        </w:trPr>
        <w:tc>
          <w:tcPr>
            <w:tcW w:w="1780" w:type="dxa"/>
            <w:noWrap/>
            <w:vAlign w:val="center"/>
            <w:hideMark/>
          </w:tcPr>
          <w:p w14:paraId="63ED19E3" w14:textId="77777777" w:rsidR="003E0F58" w:rsidRPr="007C705C" w:rsidRDefault="003E0F58" w:rsidP="004D2249">
            <w:pPr>
              <w:jc w:val="left"/>
              <w:rPr>
                <w:rFonts w:cs="Times New Roman"/>
                <w:color w:val="000000"/>
                <w:sz w:val="22"/>
                <w:lang w:val="cs-CZ"/>
              </w:rPr>
            </w:pPr>
            <w:r w:rsidRPr="007C705C">
              <w:rPr>
                <w:rFonts w:cs="Times New Roman"/>
                <w:bCs/>
                <w:color w:val="000000"/>
                <w:sz w:val="22"/>
                <w:lang w:val="cs-CZ"/>
              </w:rPr>
              <w:t>ostatní listnaté</w:t>
            </w:r>
          </w:p>
        </w:tc>
        <w:tc>
          <w:tcPr>
            <w:tcW w:w="1320" w:type="dxa"/>
            <w:noWrap/>
            <w:vAlign w:val="center"/>
            <w:hideMark/>
          </w:tcPr>
          <w:p w14:paraId="1A070105"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0,3</w:t>
            </w:r>
          </w:p>
        </w:tc>
        <w:tc>
          <w:tcPr>
            <w:tcW w:w="1320" w:type="dxa"/>
            <w:noWrap/>
            <w:vAlign w:val="center"/>
            <w:hideMark/>
          </w:tcPr>
          <w:p w14:paraId="19BED158"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1,6</w:t>
            </w:r>
          </w:p>
        </w:tc>
        <w:tc>
          <w:tcPr>
            <w:tcW w:w="1320" w:type="dxa"/>
            <w:noWrap/>
            <w:vAlign w:val="center"/>
            <w:hideMark/>
          </w:tcPr>
          <w:p w14:paraId="4871DD1B"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0,6</w:t>
            </w:r>
          </w:p>
        </w:tc>
      </w:tr>
      <w:tr w:rsidR="003E0F58" w:rsidRPr="007C705C" w14:paraId="1C39DD7C" w14:textId="77777777" w:rsidTr="004D2249">
        <w:trPr>
          <w:trHeight w:val="300"/>
        </w:trPr>
        <w:tc>
          <w:tcPr>
            <w:tcW w:w="1780" w:type="dxa"/>
            <w:noWrap/>
            <w:vAlign w:val="center"/>
            <w:hideMark/>
          </w:tcPr>
          <w:p w14:paraId="499F47E7" w14:textId="77777777" w:rsidR="003E0F58" w:rsidRPr="007C705C" w:rsidRDefault="003E0F58" w:rsidP="004D2249">
            <w:pPr>
              <w:jc w:val="left"/>
              <w:rPr>
                <w:rFonts w:cs="Times New Roman"/>
                <w:color w:val="000000"/>
                <w:sz w:val="22"/>
                <w:lang w:val="cs-CZ"/>
              </w:rPr>
            </w:pPr>
            <w:r w:rsidRPr="007C705C">
              <w:rPr>
                <w:rFonts w:cs="Times New Roman"/>
                <w:bCs/>
                <w:color w:val="000000"/>
                <w:sz w:val="22"/>
                <w:lang w:val="cs-CZ"/>
              </w:rPr>
              <w:t>celkem listnaté</w:t>
            </w:r>
          </w:p>
        </w:tc>
        <w:tc>
          <w:tcPr>
            <w:tcW w:w="1320" w:type="dxa"/>
            <w:noWrap/>
            <w:vAlign w:val="center"/>
            <w:hideMark/>
          </w:tcPr>
          <w:p w14:paraId="7E965017"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65,3</w:t>
            </w:r>
          </w:p>
        </w:tc>
        <w:tc>
          <w:tcPr>
            <w:tcW w:w="1320" w:type="dxa"/>
            <w:noWrap/>
            <w:vAlign w:val="center"/>
            <w:hideMark/>
          </w:tcPr>
          <w:p w14:paraId="678B8720"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27,0</w:t>
            </w:r>
          </w:p>
        </w:tc>
        <w:tc>
          <w:tcPr>
            <w:tcW w:w="1320" w:type="dxa"/>
            <w:noWrap/>
            <w:vAlign w:val="center"/>
            <w:hideMark/>
          </w:tcPr>
          <w:p w14:paraId="6ECBD1BB"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35,6</w:t>
            </w:r>
          </w:p>
        </w:tc>
      </w:tr>
      <w:tr w:rsidR="003E0F58" w:rsidRPr="007C705C" w14:paraId="60B6BAF7" w14:textId="77777777" w:rsidTr="004D2249">
        <w:trPr>
          <w:trHeight w:val="300"/>
        </w:trPr>
        <w:tc>
          <w:tcPr>
            <w:tcW w:w="1780" w:type="dxa"/>
            <w:tcBorders>
              <w:top w:val="nil"/>
              <w:left w:val="nil"/>
              <w:bottom w:val="single" w:sz="4" w:space="0" w:color="auto"/>
              <w:right w:val="nil"/>
            </w:tcBorders>
            <w:noWrap/>
            <w:vAlign w:val="center"/>
            <w:hideMark/>
          </w:tcPr>
          <w:p w14:paraId="72F29CE9" w14:textId="77777777" w:rsidR="003E0F58" w:rsidRPr="007C705C" w:rsidRDefault="003E0F58" w:rsidP="004D2249">
            <w:pPr>
              <w:jc w:val="left"/>
              <w:rPr>
                <w:rFonts w:cs="Times New Roman"/>
                <w:color w:val="000000"/>
                <w:sz w:val="22"/>
                <w:lang w:val="cs-CZ"/>
              </w:rPr>
            </w:pPr>
            <w:r w:rsidRPr="007C705C">
              <w:rPr>
                <w:rFonts w:cs="Times New Roman"/>
                <w:bCs/>
                <w:color w:val="000000"/>
                <w:sz w:val="22"/>
                <w:lang w:val="cs-CZ"/>
              </w:rPr>
              <w:t>holina</w:t>
            </w:r>
          </w:p>
        </w:tc>
        <w:tc>
          <w:tcPr>
            <w:tcW w:w="1320" w:type="dxa"/>
            <w:tcBorders>
              <w:top w:val="nil"/>
              <w:left w:val="nil"/>
              <w:bottom w:val="single" w:sz="4" w:space="0" w:color="auto"/>
              <w:right w:val="nil"/>
            </w:tcBorders>
            <w:noWrap/>
            <w:vAlign w:val="center"/>
            <w:hideMark/>
          </w:tcPr>
          <w:p w14:paraId="607A7FB1"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0,0</w:t>
            </w:r>
          </w:p>
        </w:tc>
        <w:tc>
          <w:tcPr>
            <w:tcW w:w="1320" w:type="dxa"/>
            <w:tcBorders>
              <w:top w:val="nil"/>
              <w:left w:val="nil"/>
              <w:bottom w:val="single" w:sz="4" w:space="0" w:color="auto"/>
              <w:right w:val="nil"/>
            </w:tcBorders>
            <w:noWrap/>
            <w:vAlign w:val="center"/>
            <w:hideMark/>
          </w:tcPr>
          <w:p w14:paraId="56819C9D"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1,2</w:t>
            </w:r>
          </w:p>
        </w:tc>
        <w:tc>
          <w:tcPr>
            <w:tcW w:w="1320" w:type="dxa"/>
            <w:tcBorders>
              <w:top w:val="nil"/>
              <w:left w:val="nil"/>
              <w:bottom w:val="single" w:sz="4" w:space="0" w:color="auto"/>
              <w:right w:val="nil"/>
            </w:tcBorders>
            <w:noWrap/>
            <w:vAlign w:val="center"/>
            <w:hideMark/>
          </w:tcPr>
          <w:p w14:paraId="456221C7"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0,0</w:t>
            </w:r>
          </w:p>
        </w:tc>
      </w:tr>
    </w:tbl>
    <w:bookmarkEnd w:id="316"/>
    <w:p w14:paraId="7FF1E48B" w14:textId="77777777" w:rsidR="003E0F58" w:rsidRPr="007C705C" w:rsidRDefault="003E0F58" w:rsidP="00FC13F5">
      <w:pPr>
        <w:pStyle w:val="UZEINormaln"/>
        <w:rPr>
          <w:rFonts w:eastAsia="Calibri"/>
        </w:rPr>
      </w:pPr>
      <w:r w:rsidRPr="007C705C">
        <w:rPr>
          <w:rFonts w:eastAsia="Calibri"/>
        </w:rPr>
        <w:t>Přirozená druhová skladba byla rekonstruována jako skladba přirozených lesních společenstev, které by se v daných přírodních podmínkách za současného klimatu vyvinuly bez zásahu člověka.</w:t>
      </w:r>
    </w:p>
    <w:p w14:paraId="22494B6E" w14:textId="676E2645" w:rsidR="003E0F58" w:rsidRPr="00FC13F5" w:rsidRDefault="003E0F58" w:rsidP="00FC13F5">
      <w:pPr>
        <w:pStyle w:val="UZEINormaln"/>
        <w:rPr>
          <w:rFonts w:eastAsia="Calibri"/>
        </w:rPr>
      </w:pPr>
      <w:r w:rsidRPr="007C705C">
        <w:rPr>
          <w:rFonts w:eastAsia="Calibri"/>
        </w:rPr>
        <w:t>Doporučená dřevinná skladba představuje ekonomicky, ekologicky a funkčně optimalizované zastoupení dřevin, které zaručuje vyvážené plnění produkčních a mimoprodukčních funkcí lesa.</w:t>
      </w:r>
    </w:p>
    <w:p w14:paraId="70DF7507" w14:textId="27AA06C3" w:rsidR="003E0F58" w:rsidRPr="007C705C" w:rsidRDefault="00FC13F5" w:rsidP="00FC13F5">
      <w:pPr>
        <w:pStyle w:val="UZEITaB"/>
        <w:rPr>
          <w:rFonts w:eastAsia="Calibri"/>
        </w:rPr>
      </w:pPr>
      <w:bookmarkStart w:id="321" w:name="_Toc15309857"/>
      <w:bookmarkStart w:id="322" w:name="_Toc77245834"/>
      <w:r>
        <w:rPr>
          <w:rFonts w:eastAsia="Calibri"/>
        </w:rPr>
        <w:t xml:space="preserve">  </w:t>
      </w:r>
      <w:bookmarkStart w:id="323" w:name="_Ref81748490"/>
      <w:bookmarkStart w:id="324" w:name="_Toc94181598"/>
      <w:r w:rsidR="003E0F58" w:rsidRPr="007C705C">
        <w:rPr>
          <w:rFonts w:eastAsia="Calibri"/>
        </w:rPr>
        <w:t>Druhové složení lesů v ha a % z celkové plochy porostní půdy (zdroj: ÚHÚL)</w:t>
      </w:r>
      <w:bookmarkEnd w:id="321"/>
      <w:bookmarkEnd w:id="322"/>
      <w:bookmarkEnd w:id="323"/>
      <w:bookmarkEnd w:id="324"/>
    </w:p>
    <w:tbl>
      <w:tblPr>
        <w:tblW w:w="10223" w:type="dxa"/>
        <w:tblInd w:w="284" w:type="dxa"/>
        <w:tblLayout w:type="fixed"/>
        <w:tblCellMar>
          <w:left w:w="70" w:type="dxa"/>
          <w:right w:w="70" w:type="dxa"/>
        </w:tblCellMar>
        <w:tblLook w:val="04A0" w:firstRow="1" w:lastRow="0" w:firstColumn="1" w:lastColumn="0" w:noHBand="0" w:noVBand="1"/>
      </w:tblPr>
      <w:tblGrid>
        <w:gridCol w:w="315"/>
        <w:gridCol w:w="698"/>
        <w:gridCol w:w="574"/>
        <w:gridCol w:w="443"/>
        <w:gridCol w:w="575"/>
        <w:gridCol w:w="594"/>
        <w:gridCol w:w="575"/>
        <w:gridCol w:w="594"/>
        <w:gridCol w:w="575"/>
        <w:gridCol w:w="594"/>
        <w:gridCol w:w="575"/>
        <w:gridCol w:w="594"/>
        <w:gridCol w:w="575"/>
        <w:gridCol w:w="599"/>
        <w:gridCol w:w="575"/>
        <w:gridCol w:w="594"/>
        <w:gridCol w:w="1174"/>
      </w:tblGrid>
      <w:tr w:rsidR="003E0F58" w:rsidRPr="00FC13F5" w14:paraId="5B2F12DD" w14:textId="77777777" w:rsidTr="005F68F2">
        <w:trPr>
          <w:trHeight w:val="280"/>
        </w:trPr>
        <w:tc>
          <w:tcPr>
            <w:tcW w:w="1015" w:type="dxa"/>
            <w:gridSpan w:val="2"/>
            <w:vMerge w:val="restart"/>
            <w:tcBorders>
              <w:top w:val="single" w:sz="4" w:space="0" w:color="auto"/>
              <w:left w:val="nil"/>
              <w:bottom w:val="single" w:sz="4" w:space="0" w:color="000000"/>
              <w:right w:val="nil"/>
            </w:tcBorders>
            <w:noWrap/>
            <w:vAlign w:val="center"/>
            <w:hideMark/>
          </w:tcPr>
          <w:p w14:paraId="479984FB" w14:textId="77777777" w:rsidR="003E0F58" w:rsidRPr="00FC13F5" w:rsidRDefault="003E0F58" w:rsidP="004D2249">
            <w:pPr>
              <w:jc w:val="left"/>
              <w:rPr>
                <w:rFonts w:cs="Times New Roman"/>
                <w:color w:val="000000"/>
                <w:sz w:val="20"/>
                <w:szCs w:val="20"/>
                <w:lang w:val="cs-CZ"/>
              </w:rPr>
            </w:pPr>
            <w:r w:rsidRPr="00FC13F5">
              <w:rPr>
                <w:rFonts w:cs="Times New Roman"/>
                <w:bCs/>
                <w:color w:val="000000"/>
                <w:sz w:val="20"/>
                <w:szCs w:val="20"/>
                <w:lang w:val="cs-CZ"/>
              </w:rPr>
              <w:t>Dřevina</w:t>
            </w:r>
          </w:p>
        </w:tc>
        <w:tc>
          <w:tcPr>
            <w:tcW w:w="6868" w:type="dxa"/>
            <w:gridSpan w:val="12"/>
            <w:tcBorders>
              <w:top w:val="single" w:sz="4" w:space="0" w:color="auto"/>
              <w:left w:val="nil"/>
              <w:bottom w:val="nil"/>
              <w:right w:val="nil"/>
            </w:tcBorders>
            <w:noWrap/>
            <w:vAlign w:val="center"/>
            <w:hideMark/>
          </w:tcPr>
          <w:p w14:paraId="678F5956" w14:textId="77777777" w:rsidR="003E0F58" w:rsidRPr="00FC13F5" w:rsidRDefault="003E0F58" w:rsidP="007C0619">
            <w:pPr>
              <w:jc w:val="center"/>
              <w:rPr>
                <w:rFonts w:cs="Times New Roman"/>
                <w:color w:val="000000"/>
                <w:sz w:val="20"/>
                <w:szCs w:val="20"/>
                <w:lang w:val="cs-CZ"/>
              </w:rPr>
            </w:pPr>
            <w:r w:rsidRPr="00FC13F5">
              <w:rPr>
                <w:rFonts w:cs="Times New Roman"/>
                <w:bCs/>
                <w:color w:val="000000"/>
                <w:sz w:val="20"/>
                <w:szCs w:val="20"/>
                <w:lang w:val="cs-CZ"/>
              </w:rPr>
              <w:t>Rok</w:t>
            </w:r>
          </w:p>
        </w:tc>
        <w:tc>
          <w:tcPr>
            <w:tcW w:w="1169" w:type="dxa"/>
            <w:gridSpan w:val="2"/>
            <w:tcBorders>
              <w:top w:val="single" w:sz="4" w:space="0" w:color="auto"/>
              <w:left w:val="nil"/>
              <w:bottom w:val="nil"/>
              <w:right w:val="nil"/>
            </w:tcBorders>
          </w:tcPr>
          <w:p w14:paraId="01633560" w14:textId="77777777" w:rsidR="003E0F58" w:rsidRPr="00FC13F5" w:rsidRDefault="003E0F58" w:rsidP="004D2249">
            <w:pPr>
              <w:jc w:val="left"/>
              <w:rPr>
                <w:rFonts w:cs="Times New Roman"/>
                <w:bCs/>
                <w:color w:val="000000"/>
                <w:sz w:val="20"/>
                <w:szCs w:val="20"/>
                <w:lang w:val="cs-CZ"/>
              </w:rPr>
            </w:pPr>
          </w:p>
        </w:tc>
        <w:tc>
          <w:tcPr>
            <w:tcW w:w="1171" w:type="dxa"/>
            <w:tcBorders>
              <w:top w:val="single" w:sz="4" w:space="0" w:color="auto"/>
              <w:left w:val="nil"/>
              <w:bottom w:val="nil"/>
              <w:right w:val="nil"/>
            </w:tcBorders>
          </w:tcPr>
          <w:p w14:paraId="56036463" w14:textId="77777777" w:rsidR="003E0F58" w:rsidRPr="00FC13F5" w:rsidRDefault="003E0F58" w:rsidP="004D2249">
            <w:pPr>
              <w:jc w:val="left"/>
              <w:rPr>
                <w:rFonts w:cs="Times New Roman"/>
                <w:bCs/>
                <w:color w:val="000000"/>
                <w:sz w:val="20"/>
                <w:szCs w:val="20"/>
                <w:lang w:val="cs-CZ"/>
              </w:rPr>
            </w:pPr>
          </w:p>
        </w:tc>
      </w:tr>
      <w:tr w:rsidR="003E0F58" w:rsidRPr="00FC13F5" w14:paraId="43D103DC" w14:textId="77777777" w:rsidTr="005F68F2">
        <w:trPr>
          <w:trHeight w:val="280"/>
        </w:trPr>
        <w:tc>
          <w:tcPr>
            <w:tcW w:w="1015" w:type="dxa"/>
            <w:gridSpan w:val="2"/>
            <w:vMerge/>
            <w:tcBorders>
              <w:top w:val="single" w:sz="4" w:space="0" w:color="auto"/>
              <w:left w:val="nil"/>
              <w:bottom w:val="single" w:sz="4" w:space="0" w:color="000000"/>
              <w:right w:val="nil"/>
            </w:tcBorders>
            <w:vAlign w:val="center"/>
            <w:hideMark/>
          </w:tcPr>
          <w:p w14:paraId="37F398FA" w14:textId="77777777" w:rsidR="003E0F58" w:rsidRPr="00FC13F5" w:rsidRDefault="003E0F58" w:rsidP="004D2249">
            <w:pPr>
              <w:jc w:val="left"/>
              <w:rPr>
                <w:rFonts w:cs="Times New Roman"/>
                <w:color w:val="000000"/>
                <w:sz w:val="20"/>
                <w:szCs w:val="20"/>
                <w:lang w:val="cs-CZ"/>
              </w:rPr>
            </w:pPr>
          </w:p>
        </w:tc>
        <w:tc>
          <w:tcPr>
            <w:tcW w:w="1018" w:type="dxa"/>
            <w:gridSpan w:val="2"/>
            <w:noWrap/>
            <w:vAlign w:val="center"/>
            <w:hideMark/>
          </w:tcPr>
          <w:p w14:paraId="17408FDB" w14:textId="77777777" w:rsidR="003E0F58" w:rsidRPr="005D28F1" w:rsidRDefault="003E0F58" w:rsidP="007C0619">
            <w:pPr>
              <w:jc w:val="center"/>
              <w:rPr>
                <w:rFonts w:cs="Times New Roman"/>
                <w:b/>
                <w:bCs/>
                <w:color w:val="000000"/>
                <w:sz w:val="20"/>
                <w:szCs w:val="20"/>
                <w:lang w:val="cs-CZ"/>
              </w:rPr>
            </w:pPr>
            <w:r w:rsidRPr="005D28F1">
              <w:rPr>
                <w:rFonts w:cs="Times New Roman"/>
                <w:b/>
                <w:bCs/>
                <w:color w:val="000000"/>
                <w:sz w:val="20"/>
                <w:szCs w:val="20"/>
                <w:lang w:val="cs-CZ"/>
              </w:rPr>
              <w:t>2000</w:t>
            </w:r>
          </w:p>
        </w:tc>
        <w:tc>
          <w:tcPr>
            <w:tcW w:w="1169" w:type="dxa"/>
            <w:gridSpan w:val="2"/>
            <w:noWrap/>
            <w:vAlign w:val="center"/>
            <w:hideMark/>
          </w:tcPr>
          <w:p w14:paraId="22DB80A7" w14:textId="77777777" w:rsidR="003E0F58" w:rsidRPr="005D28F1" w:rsidRDefault="003E0F58" w:rsidP="007C0619">
            <w:pPr>
              <w:jc w:val="center"/>
              <w:rPr>
                <w:rFonts w:cs="Times New Roman"/>
                <w:b/>
                <w:bCs/>
                <w:color w:val="000000"/>
                <w:sz w:val="20"/>
                <w:szCs w:val="20"/>
                <w:lang w:val="cs-CZ"/>
              </w:rPr>
            </w:pPr>
            <w:r w:rsidRPr="005D28F1">
              <w:rPr>
                <w:rFonts w:cs="Times New Roman"/>
                <w:b/>
                <w:bCs/>
                <w:color w:val="000000"/>
                <w:sz w:val="20"/>
                <w:szCs w:val="20"/>
                <w:lang w:val="cs-CZ"/>
              </w:rPr>
              <w:t>2010</w:t>
            </w:r>
          </w:p>
        </w:tc>
        <w:tc>
          <w:tcPr>
            <w:tcW w:w="1169" w:type="dxa"/>
            <w:gridSpan w:val="2"/>
            <w:noWrap/>
            <w:vAlign w:val="center"/>
            <w:hideMark/>
          </w:tcPr>
          <w:p w14:paraId="59E35411" w14:textId="77777777" w:rsidR="003E0F58" w:rsidRPr="00FC13F5" w:rsidRDefault="003E0F58" w:rsidP="007C0619">
            <w:pPr>
              <w:jc w:val="center"/>
              <w:rPr>
                <w:rFonts w:cs="Times New Roman"/>
                <w:b/>
                <w:bCs/>
                <w:color w:val="000000"/>
                <w:sz w:val="20"/>
                <w:szCs w:val="20"/>
                <w:lang w:val="cs-CZ"/>
              </w:rPr>
            </w:pPr>
            <w:r w:rsidRPr="00FC13F5">
              <w:rPr>
                <w:rFonts w:cs="Times New Roman"/>
                <w:b/>
                <w:bCs/>
                <w:color w:val="000000"/>
                <w:sz w:val="20"/>
                <w:szCs w:val="20"/>
                <w:lang w:val="cs-CZ"/>
              </w:rPr>
              <w:t>2014</w:t>
            </w:r>
          </w:p>
        </w:tc>
        <w:tc>
          <w:tcPr>
            <w:tcW w:w="1169" w:type="dxa"/>
            <w:gridSpan w:val="2"/>
            <w:noWrap/>
            <w:vAlign w:val="center"/>
            <w:hideMark/>
          </w:tcPr>
          <w:p w14:paraId="011D025F" w14:textId="77777777" w:rsidR="003E0F58" w:rsidRPr="00FC13F5" w:rsidRDefault="003E0F58" w:rsidP="007C0619">
            <w:pPr>
              <w:jc w:val="center"/>
              <w:rPr>
                <w:rFonts w:cs="Times New Roman"/>
                <w:b/>
                <w:bCs/>
                <w:color w:val="000000"/>
                <w:sz w:val="20"/>
                <w:szCs w:val="20"/>
                <w:lang w:val="cs-CZ"/>
              </w:rPr>
            </w:pPr>
            <w:r w:rsidRPr="00FC13F5">
              <w:rPr>
                <w:rFonts w:cs="Times New Roman"/>
                <w:b/>
                <w:bCs/>
                <w:color w:val="000000"/>
                <w:sz w:val="20"/>
                <w:szCs w:val="20"/>
                <w:lang w:val="cs-CZ"/>
              </w:rPr>
              <w:t>2015</w:t>
            </w:r>
          </w:p>
        </w:tc>
        <w:tc>
          <w:tcPr>
            <w:tcW w:w="1169" w:type="dxa"/>
            <w:gridSpan w:val="2"/>
            <w:noWrap/>
            <w:vAlign w:val="center"/>
            <w:hideMark/>
          </w:tcPr>
          <w:p w14:paraId="50F0A318" w14:textId="77777777" w:rsidR="003E0F58" w:rsidRPr="00FC13F5" w:rsidRDefault="003E0F58" w:rsidP="007C0619">
            <w:pPr>
              <w:jc w:val="center"/>
              <w:rPr>
                <w:rFonts w:cs="Times New Roman"/>
                <w:b/>
                <w:bCs/>
                <w:color w:val="000000"/>
                <w:sz w:val="20"/>
                <w:szCs w:val="20"/>
                <w:lang w:val="cs-CZ"/>
              </w:rPr>
            </w:pPr>
            <w:r w:rsidRPr="00FC13F5">
              <w:rPr>
                <w:rFonts w:cs="Times New Roman"/>
                <w:b/>
                <w:bCs/>
                <w:color w:val="000000"/>
                <w:sz w:val="20"/>
                <w:szCs w:val="20"/>
                <w:lang w:val="cs-CZ"/>
              </w:rPr>
              <w:t>2016</w:t>
            </w:r>
          </w:p>
        </w:tc>
        <w:tc>
          <w:tcPr>
            <w:tcW w:w="1171" w:type="dxa"/>
            <w:gridSpan w:val="2"/>
            <w:vAlign w:val="center"/>
            <w:hideMark/>
          </w:tcPr>
          <w:p w14:paraId="3AADAC7B" w14:textId="77777777" w:rsidR="003E0F58" w:rsidRPr="00FC13F5" w:rsidRDefault="003E0F58" w:rsidP="007C0619">
            <w:pPr>
              <w:jc w:val="center"/>
              <w:rPr>
                <w:rFonts w:cs="Times New Roman"/>
                <w:b/>
                <w:bCs/>
                <w:color w:val="000000"/>
                <w:sz w:val="20"/>
                <w:szCs w:val="20"/>
                <w:lang w:val="cs-CZ"/>
              </w:rPr>
            </w:pPr>
            <w:r w:rsidRPr="00FC13F5">
              <w:rPr>
                <w:rFonts w:cs="Times New Roman"/>
                <w:b/>
                <w:bCs/>
                <w:color w:val="000000"/>
                <w:sz w:val="20"/>
                <w:szCs w:val="20"/>
                <w:lang w:val="cs-CZ"/>
              </w:rPr>
              <w:t>2017</w:t>
            </w:r>
          </w:p>
        </w:tc>
        <w:tc>
          <w:tcPr>
            <w:tcW w:w="1169" w:type="dxa"/>
            <w:gridSpan w:val="2"/>
            <w:vAlign w:val="center"/>
          </w:tcPr>
          <w:p w14:paraId="33BECB0B" w14:textId="77777777" w:rsidR="003E0F58" w:rsidRPr="00FC13F5" w:rsidRDefault="003E0F58" w:rsidP="007C0619">
            <w:pPr>
              <w:jc w:val="center"/>
              <w:rPr>
                <w:rFonts w:cs="Times New Roman"/>
                <w:b/>
                <w:bCs/>
                <w:color w:val="000000"/>
                <w:sz w:val="20"/>
                <w:szCs w:val="20"/>
                <w:lang w:val="cs-CZ"/>
              </w:rPr>
            </w:pPr>
            <w:r w:rsidRPr="00FC13F5">
              <w:rPr>
                <w:rFonts w:cs="Times New Roman"/>
                <w:b/>
                <w:bCs/>
                <w:color w:val="000000"/>
                <w:sz w:val="20"/>
                <w:szCs w:val="20"/>
                <w:lang w:val="cs-CZ"/>
              </w:rPr>
              <w:t>2018</w:t>
            </w:r>
          </w:p>
        </w:tc>
        <w:tc>
          <w:tcPr>
            <w:tcW w:w="1171" w:type="dxa"/>
            <w:vAlign w:val="center"/>
          </w:tcPr>
          <w:p w14:paraId="39802F1A" w14:textId="77777777" w:rsidR="003E0F58" w:rsidRPr="00FC13F5" w:rsidRDefault="003E0F58" w:rsidP="007C0619">
            <w:pPr>
              <w:jc w:val="center"/>
              <w:rPr>
                <w:rFonts w:cs="Times New Roman"/>
                <w:b/>
                <w:bCs/>
                <w:color w:val="000000"/>
                <w:sz w:val="20"/>
                <w:szCs w:val="20"/>
                <w:lang w:val="cs-CZ"/>
              </w:rPr>
            </w:pPr>
            <w:r w:rsidRPr="00FC13F5">
              <w:rPr>
                <w:rFonts w:cs="Times New Roman"/>
                <w:b/>
                <w:bCs/>
                <w:color w:val="000000"/>
                <w:sz w:val="20"/>
                <w:szCs w:val="20"/>
                <w:lang w:val="cs-CZ"/>
              </w:rPr>
              <w:t>2019</w:t>
            </w:r>
          </w:p>
          <w:p w14:paraId="059BC494" w14:textId="77777777" w:rsidR="003E0F58" w:rsidRPr="00FC13F5" w:rsidRDefault="003E0F58" w:rsidP="007C0619">
            <w:pPr>
              <w:jc w:val="center"/>
              <w:rPr>
                <w:rFonts w:cs="Times New Roman"/>
                <w:b/>
                <w:bCs/>
                <w:color w:val="000000"/>
                <w:sz w:val="20"/>
                <w:szCs w:val="20"/>
                <w:lang w:val="cs-CZ"/>
              </w:rPr>
            </w:pPr>
          </w:p>
        </w:tc>
      </w:tr>
      <w:tr w:rsidR="003E0F58" w:rsidRPr="00FC13F5" w14:paraId="42FD852F" w14:textId="77777777" w:rsidTr="005F68F2">
        <w:trPr>
          <w:trHeight w:val="280"/>
        </w:trPr>
        <w:tc>
          <w:tcPr>
            <w:tcW w:w="1015" w:type="dxa"/>
            <w:gridSpan w:val="2"/>
            <w:vMerge/>
            <w:tcBorders>
              <w:top w:val="single" w:sz="4" w:space="0" w:color="auto"/>
              <w:left w:val="nil"/>
              <w:bottom w:val="single" w:sz="4" w:space="0" w:color="000000"/>
              <w:right w:val="nil"/>
            </w:tcBorders>
            <w:vAlign w:val="center"/>
            <w:hideMark/>
          </w:tcPr>
          <w:p w14:paraId="448DDB33" w14:textId="77777777" w:rsidR="003E0F58" w:rsidRPr="00FC13F5" w:rsidRDefault="003E0F58" w:rsidP="004D2249">
            <w:pPr>
              <w:jc w:val="left"/>
              <w:rPr>
                <w:rFonts w:cs="Times New Roman"/>
                <w:color w:val="000000"/>
                <w:sz w:val="20"/>
                <w:szCs w:val="20"/>
                <w:lang w:val="cs-CZ"/>
              </w:rPr>
            </w:pPr>
          </w:p>
        </w:tc>
        <w:tc>
          <w:tcPr>
            <w:tcW w:w="6868" w:type="dxa"/>
            <w:gridSpan w:val="12"/>
            <w:tcBorders>
              <w:top w:val="nil"/>
              <w:left w:val="nil"/>
              <w:bottom w:val="single" w:sz="4" w:space="0" w:color="auto"/>
              <w:right w:val="nil"/>
            </w:tcBorders>
            <w:noWrap/>
            <w:vAlign w:val="center"/>
            <w:hideMark/>
          </w:tcPr>
          <w:p w14:paraId="111F09EC" w14:textId="77777777" w:rsidR="003E0F58" w:rsidRPr="00FC13F5" w:rsidRDefault="003E0F58" w:rsidP="004D2249">
            <w:pPr>
              <w:jc w:val="center"/>
              <w:rPr>
                <w:rFonts w:cs="Times New Roman"/>
                <w:color w:val="000000"/>
                <w:sz w:val="20"/>
                <w:szCs w:val="20"/>
                <w:lang w:val="cs-CZ"/>
              </w:rPr>
            </w:pPr>
            <w:r w:rsidRPr="00FC13F5">
              <w:rPr>
                <w:rFonts w:cs="Times New Roman"/>
                <w:bCs/>
                <w:color w:val="000000"/>
                <w:sz w:val="20"/>
                <w:szCs w:val="20"/>
                <w:lang w:val="cs-CZ"/>
              </w:rPr>
              <w:t>plocha porostní půdy ha / %</w:t>
            </w:r>
          </w:p>
        </w:tc>
        <w:tc>
          <w:tcPr>
            <w:tcW w:w="1169" w:type="dxa"/>
            <w:gridSpan w:val="2"/>
            <w:tcBorders>
              <w:top w:val="nil"/>
              <w:left w:val="nil"/>
              <w:bottom w:val="single" w:sz="4" w:space="0" w:color="auto"/>
              <w:right w:val="nil"/>
            </w:tcBorders>
          </w:tcPr>
          <w:p w14:paraId="6ECC66C4" w14:textId="77777777" w:rsidR="003E0F58" w:rsidRPr="00FC13F5" w:rsidRDefault="003E0F58" w:rsidP="004D2249">
            <w:pPr>
              <w:jc w:val="center"/>
              <w:rPr>
                <w:rFonts w:cs="Times New Roman"/>
                <w:bCs/>
                <w:color w:val="000000"/>
                <w:sz w:val="20"/>
                <w:szCs w:val="20"/>
                <w:lang w:val="cs-CZ"/>
              </w:rPr>
            </w:pPr>
          </w:p>
        </w:tc>
        <w:tc>
          <w:tcPr>
            <w:tcW w:w="1171" w:type="dxa"/>
            <w:tcBorders>
              <w:top w:val="nil"/>
              <w:left w:val="nil"/>
              <w:bottom w:val="single" w:sz="4" w:space="0" w:color="auto"/>
              <w:right w:val="nil"/>
            </w:tcBorders>
          </w:tcPr>
          <w:p w14:paraId="328F6AB6" w14:textId="77777777" w:rsidR="003E0F58" w:rsidRPr="00FC13F5" w:rsidRDefault="003E0F58" w:rsidP="004D2249">
            <w:pPr>
              <w:jc w:val="center"/>
              <w:rPr>
                <w:rFonts w:cs="Times New Roman"/>
                <w:bCs/>
                <w:color w:val="000000"/>
                <w:sz w:val="20"/>
                <w:szCs w:val="20"/>
                <w:lang w:val="cs-CZ"/>
              </w:rPr>
            </w:pPr>
          </w:p>
        </w:tc>
      </w:tr>
      <w:tr w:rsidR="003E0F58" w:rsidRPr="00FC13F5" w14:paraId="16D8C51E" w14:textId="77777777" w:rsidTr="005F68F2">
        <w:trPr>
          <w:trHeight w:val="280"/>
        </w:trPr>
        <w:tc>
          <w:tcPr>
            <w:tcW w:w="1015" w:type="dxa"/>
            <w:gridSpan w:val="2"/>
            <w:vMerge w:val="restart"/>
            <w:tcBorders>
              <w:top w:val="nil"/>
              <w:left w:val="nil"/>
              <w:bottom w:val="single" w:sz="4" w:space="0" w:color="000000"/>
              <w:right w:val="nil"/>
            </w:tcBorders>
            <w:hideMark/>
          </w:tcPr>
          <w:p w14:paraId="12EB3757" w14:textId="77777777" w:rsidR="003E0F58" w:rsidRPr="00FC13F5" w:rsidRDefault="003E0F58" w:rsidP="004D2249">
            <w:pPr>
              <w:jc w:val="left"/>
              <w:rPr>
                <w:rFonts w:cs="Times New Roman"/>
                <w:color w:val="000000"/>
                <w:sz w:val="20"/>
                <w:szCs w:val="20"/>
                <w:lang w:val="cs-CZ"/>
              </w:rPr>
            </w:pPr>
            <w:r w:rsidRPr="00FC13F5">
              <w:rPr>
                <w:rFonts w:cs="Times New Roman"/>
                <w:bCs/>
                <w:color w:val="000000"/>
                <w:sz w:val="20"/>
                <w:szCs w:val="20"/>
                <w:lang w:val="cs-CZ"/>
              </w:rPr>
              <w:t xml:space="preserve">smrk ztepilý </w:t>
            </w:r>
          </w:p>
        </w:tc>
        <w:tc>
          <w:tcPr>
            <w:tcW w:w="1018" w:type="dxa"/>
            <w:gridSpan w:val="2"/>
            <w:vAlign w:val="center"/>
            <w:hideMark/>
          </w:tcPr>
          <w:p w14:paraId="64B6C138"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1 397 012</w:t>
            </w:r>
          </w:p>
        </w:tc>
        <w:tc>
          <w:tcPr>
            <w:tcW w:w="1169" w:type="dxa"/>
            <w:gridSpan w:val="2"/>
            <w:vAlign w:val="center"/>
            <w:hideMark/>
          </w:tcPr>
          <w:p w14:paraId="521F7F86"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1 347 239</w:t>
            </w:r>
          </w:p>
        </w:tc>
        <w:tc>
          <w:tcPr>
            <w:tcW w:w="1169" w:type="dxa"/>
            <w:gridSpan w:val="2"/>
            <w:vAlign w:val="center"/>
            <w:hideMark/>
          </w:tcPr>
          <w:p w14:paraId="1D6C0D07"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1 319 733</w:t>
            </w:r>
          </w:p>
        </w:tc>
        <w:tc>
          <w:tcPr>
            <w:tcW w:w="1169" w:type="dxa"/>
            <w:gridSpan w:val="2"/>
            <w:vAlign w:val="center"/>
            <w:hideMark/>
          </w:tcPr>
          <w:p w14:paraId="553C74BF"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1 315 487</w:t>
            </w:r>
          </w:p>
        </w:tc>
        <w:tc>
          <w:tcPr>
            <w:tcW w:w="1169" w:type="dxa"/>
            <w:gridSpan w:val="2"/>
            <w:vAlign w:val="center"/>
            <w:hideMark/>
          </w:tcPr>
          <w:p w14:paraId="0B57ADDD"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1 312 204</w:t>
            </w:r>
          </w:p>
        </w:tc>
        <w:tc>
          <w:tcPr>
            <w:tcW w:w="1171" w:type="dxa"/>
            <w:gridSpan w:val="2"/>
            <w:vAlign w:val="center"/>
            <w:hideMark/>
          </w:tcPr>
          <w:p w14:paraId="3DB5AF08"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1 308 432</w:t>
            </w:r>
          </w:p>
        </w:tc>
        <w:tc>
          <w:tcPr>
            <w:tcW w:w="1169" w:type="dxa"/>
            <w:gridSpan w:val="2"/>
          </w:tcPr>
          <w:p w14:paraId="7E08A523"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1 302 136</w:t>
            </w:r>
          </w:p>
        </w:tc>
        <w:tc>
          <w:tcPr>
            <w:tcW w:w="1171" w:type="dxa"/>
          </w:tcPr>
          <w:p w14:paraId="2CB42AC0" w14:textId="77777777" w:rsidR="003E0F58" w:rsidRPr="00FC13F5" w:rsidRDefault="003E0F58" w:rsidP="004D2249">
            <w:pPr>
              <w:jc w:val="right"/>
              <w:rPr>
                <w:rFonts w:cs="Times New Roman"/>
                <w:color w:val="000000"/>
                <w:sz w:val="20"/>
                <w:szCs w:val="20"/>
                <w:lang w:val="cs-CZ"/>
              </w:rPr>
            </w:pPr>
            <w:r w:rsidRPr="00FC13F5">
              <w:rPr>
                <w:rFonts w:cs="Times New Roman"/>
                <w:sz w:val="20"/>
                <w:szCs w:val="20"/>
                <w:lang w:val="cs-CZ"/>
              </w:rPr>
              <w:t>1 292 461</w:t>
            </w:r>
          </w:p>
        </w:tc>
      </w:tr>
      <w:tr w:rsidR="003E0F58" w:rsidRPr="00FC13F5" w14:paraId="3DBCC288" w14:textId="77777777" w:rsidTr="005F68F2">
        <w:trPr>
          <w:trHeight w:val="280"/>
        </w:trPr>
        <w:tc>
          <w:tcPr>
            <w:tcW w:w="1015" w:type="dxa"/>
            <w:gridSpan w:val="2"/>
            <w:vMerge/>
            <w:tcBorders>
              <w:top w:val="nil"/>
              <w:left w:val="nil"/>
              <w:bottom w:val="single" w:sz="4" w:space="0" w:color="000000"/>
              <w:right w:val="nil"/>
            </w:tcBorders>
            <w:vAlign w:val="center"/>
            <w:hideMark/>
          </w:tcPr>
          <w:p w14:paraId="150EE0AD" w14:textId="77777777" w:rsidR="003E0F58" w:rsidRPr="00FC13F5" w:rsidRDefault="003E0F58" w:rsidP="004D2249">
            <w:pPr>
              <w:jc w:val="left"/>
              <w:rPr>
                <w:rFonts w:cs="Times New Roman"/>
                <w:color w:val="000000"/>
                <w:sz w:val="20"/>
                <w:szCs w:val="20"/>
                <w:lang w:val="cs-CZ"/>
              </w:rPr>
            </w:pPr>
          </w:p>
        </w:tc>
        <w:tc>
          <w:tcPr>
            <w:tcW w:w="1018" w:type="dxa"/>
            <w:gridSpan w:val="2"/>
            <w:tcBorders>
              <w:top w:val="nil"/>
              <w:left w:val="nil"/>
              <w:bottom w:val="single" w:sz="4" w:space="0" w:color="auto"/>
              <w:right w:val="nil"/>
            </w:tcBorders>
            <w:vAlign w:val="center"/>
            <w:hideMark/>
          </w:tcPr>
          <w:p w14:paraId="76CDF8FA"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54,1</w:t>
            </w:r>
          </w:p>
        </w:tc>
        <w:tc>
          <w:tcPr>
            <w:tcW w:w="1169" w:type="dxa"/>
            <w:gridSpan w:val="2"/>
            <w:tcBorders>
              <w:top w:val="nil"/>
              <w:left w:val="nil"/>
              <w:bottom w:val="single" w:sz="4" w:space="0" w:color="auto"/>
              <w:right w:val="nil"/>
            </w:tcBorders>
            <w:vAlign w:val="center"/>
            <w:hideMark/>
          </w:tcPr>
          <w:p w14:paraId="56D58E7F"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51,9</w:t>
            </w:r>
          </w:p>
        </w:tc>
        <w:tc>
          <w:tcPr>
            <w:tcW w:w="1169" w:type="dxa"/>
            <w:gridSpan w:val="2"/>
            <w:tcBorders>
              <w:top w:val="nil"/>
              <w:left w:val="nil"/>
              <w:bottom w:val="single" w:sz="4" w:space="0" w:color="auto"/>
              <w:right w:val="nil"/>
            </w:tcBorders>
            <w:vAlign w:val="center"/>
            <w:hideMark/>
          </w:tcPr>
          <w:p w14:paraId="59C88BC1"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50,7</w:t>
            </w:r>
          </w:p>
        </w:tc>
        <w:tc>
          <w:tcPr>
            <w:tcW w:w="1169" w:type="dxa"/>
            <w:gridSpan w:val="2"/>
            <w:tcBorders>
              <w:top w:val="nil"/>
              <w:left w:val="nil"/>
              <w:bottom w:val="single" w:sz="4" w:space="0" w:color="auto"/>
              <w:right w:val="nil"/>
            </w:tcBorders>
            <w:vAlign w:val="center"/>
            <w:hideMark/>
          </w:tcPr>
          <w:p w14:paraId="7DA66159"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50,6</w:t>
            </w:r>
          </w:p>
        </w:tc>
        <w:tc>
          <w:tcPr>
            <w:tcW w:w="1169" w:type="dxa"/>
            <w:gridSpan w:val="2"/>
            <w:tcBorders>
              <w:top w:val="nil"/>
              <w:left w:val="nil"/>
              <w:bottom w:val="single" w:sz="4" w:space="0" w:color="auto"/>
              <w:right w:val="nil"/>
            </w:tcBorders>
            <w:vAlign w:val="center"/>
            <w:hideMark/>
          </w:tcPr>
          <w:p w14:paraId="72F1854C"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50,5</w:t>
            </w:r>
          </w:p>
        </w:tc>
        <w:tc>
          <w:tcPr>
            <w:tcW w:w="1171" w:type="dxa"/>
            <w:gridSpan w:val="2"/>
            <w:tcBorders>
              <w:top w:val="nil"/>
              <w:left w:val="nil"/>
              <w:bottom w:val="single" w:sz="4" w:space="0" w:color="auto"/>
              <w:right w:val="nil"/>
            </w:tcBorders>
            <w:vAlign w:val="center"/>
            <w:hideMark/>
          </w:tcPr>
          <w:p w14:paraId="36939917"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50,3</w:t>
            </w:r>
          </w:p>
        </w:tc>
        <w:tc>
          <w:tcPr>
            <w:tcW w:w="1169" w:type="dxa"/>
            <w:gridSpan w:val="2"/>
            <w:tcBorders>
              <w:top w:val="nil"/>
              <w:left w:val="nil"/>
              <w:bottom w:val="single" w:sz="4" w:space="0" w:color="auto"/>
              <w:right w:val="nil"/>
            </w:tcBorders>
          </w:tcPr>
          <w:p w14:paraId="5764D129"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50,0</w:t>
            </w:r>
          </w:p>
        </w:tc>
        <w:tc>
          <w:tcPr>
            <w:tcW w:w="1171" w:type="dxa"/>
            <w:tcBorders>
              <w:top w:val="nil"/>
              <w:left w:val="nil"/>
              <w:bottom w:val="single" w:sz="4" w:space="0" w:color="auto"/>
              <w:right w:val="nil"/>
            </w:tcBorders>
          </w:tcPr>
          <w:p w14:paraId="51B8E883" w14:textId="77777777" w:rsidR="003E0F58" w:rsidRPr="00FC13F5" w:rsidRDefault="003E0F58" w:rsidP="004D2249">
            <w:pPr>
              <w:jc w:val="right"/>
              <w:rPr>
                <w:rFonts w:cs="Times New Roman"/>
                <w:color w:val="000000"/>
                <w:sz w:val="20"/>
                <w:szCs w:val="20"/>
                <w:lang w:val="cs-CZ"/>
              </w:rPr>
            </w:pPr>
            <w:r w:rsidRPr="00FC13F5">
              <w:rPr>
                <w:rFonts w:cs="Times New Roman"/>
                <w:sz w:val="20"/>
                <w:szCs w:val="20"/>
                <w:lang w:val="cs-CZ"/>
              </w:rPr>
              <w:t>49,5</w:t>
            </w:r>
          </w:p>
        </w:tc>
      </w:tr>
      <w:tr w:rsidR="003E0F58" w:rsidRPr="00FC13F5" w14:paraId="5E32F713" w14:textId="77777777" w:rsidTr="005F68F2">
        <w:trPr>
          <w:trHeight w:val="280"/>
        </w:trPr>
        <w:tc>
          <w:tcPr>
            <w:tcW w:w="1015" w:type="dxa"/>
            <w:gridSpan w:val="2"/>
            <w:vMerge w:val="restart"/>
            <w:tcBorders>
              <w:top w:val="nil"/>
              <w:left w:val="nil"/>
              <w:bottom w:val="single" w:sz="4" w:space="0" w:color="000000"/>
              <w:right w:val="nil"/>
            </w:tcBorders>
            <w:hideMark/>
          </w:tcPr>
          <w:p w14:paraId="0D7FA630" w14:textId="77777777" w:rsidR="003E0F58" w:rsidRPr="00FC13F5" w:rsidRDefault="003E0F58" w:rsidP="004D2249">
            <w:pPr>
              <w:jc w:val="left"/>
              <w:rPr>
                <w:rFonts w:cs="Times New Roman"/>
                <w:color w:val="000000"/>
                <w:sz w:val="20"/>
                <w:szCs w:val="20"/>
                <w:lang w:val="cs-CZ"/>
              </w:rPr>
            </w:pPr>
            <w:r w:rsidRPr="00FC13F5">
              <w:rPr>
                <w:rFonts w:cs="Times New Roman"/>
                <w:bCs/>
                <w:color w:val="000000"/>
                <w:sz w:val="20"/>
                <w:szCs w:val="20"/>
                <w:lang w:val="cs-CZ"/>
              </w:rPr>
              <w:t>jedle</w:t>
            </w:r>
          </w:p>
        </w:tc>
        <w:tc>
          <w:tcPr>
            <w:tcW w:w="1018" w:type="dxa"/>
            <w:gridSpan w:val="2"/>
            <w:vAlign w:val="center"/>
            <w:hideMark/>
          </w:tcPr>
          <w:p w14:paraId="75173D8D"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23 138</w:t>
            </w:r>
          </w:p>
        </w:tc>
        <w:tc>
          <w:tcPr>
            <w:tcW w:w="1169" w:type="dxa"/>
            <w:gridSpan w:val="2"/>
            <w:vAlign w:val="center"/>
            <w:hideMark/>
          </w:tcPr>
          <w:p w14:paraId="17A13A51"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25 869</w:t>
            </w:r>
          </w:p>
        </w:tc>
        <w:tc>
          <w:tcPr>
            <w:tcW w:w="1169" w:type="dxa"/>
            <w:gridSpan w:val="2"/>
            <w:vAlign w:val="center"/>
            <w:hideMark/>
          </w:tcPr>
          <w:p w14:paraId="1F470514"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28 251</w:t>
            </w:r>
          </w:p>
        </w:tc>
        <w:tc>
          <w:tcPr>
            <w:tcW w:w="1169" w:type="dxa"/>
            <w:gridSpan w:val="2"/>
            <w:vAlign w:val="center"/>
            <w:hideMark/>
          </w:tcPr>
          <w:p w14:paraId="029A86F8"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28 699</w:t>
            </w:r>
          </w:p>
        </w:tc>
        <w:tc>
          <w:tcPr>
            <w:tcW w:w="1169" w:type="dxa"/>
            <w:gridSpan w:val="2"/>
            <w:vAlign w:val="center"/>
            <w:hideMark/>
          </w:tcPr>
          <w:p w14:paraId="7D387C21"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29 086</w:t>
            </w:r>
          </w:p>
        </w:tc>
        <w:tc>
          <w:tcPr>
            <w:tcW w:w="1171" w:type="dxa"/>
            <w:gridSpan w:val="2"/>
            <w:vAlign w:val="center"/>
            <w:hideMark/>
          </w:tcPr>
          <w:p w14:paraId="7AFF0C5A"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29 458</w:t>
            </w:r>
          </w:p>
        </w:tc>
        <w:tc>
          <w:tcPr>
            <w:tcW w:w="1169" w:type="dxa"/>
            <w:gridSpan w:val="2"/>
          </w:tcPr>
          <w:p w14:paraId="2589CE1C"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29 893</w:t>
            </w:r>
          </w:p>
        </w:tc>
        <w:tc>
          <w:tcPr>
            <w:tcW w:w="1171" w:type="dxa"/>
          </w:tcPr>
          <w:p w14:paraId="32B4D3ED" w14:textId="77777777" w:rsidR="003E0F58" w:rsidRPr="00FC13F5" w:rsidRDefault="003E0F58" w:rsidP="004D2249">
            <w:pPr>
              <w:jc w:val="right"/>
              <w:rPr>
                <w:rFonts w:cs="Times New Roman"/>
                <w:color w:val="000000"/>
                <w:sz w:val="20"/>
                <w:szCs w:val="20"/>
                <w:lang w:val="cs-CZ"/>
              </w:rPr>
            </w:pPr>
            <w:r w:rsidRPr="00FC13F5">
              <w:rPr>
                <w:rFonts w:cs="Times New Roman"/>
                <w:sz w:val="20"/>
                <w:szCs w:val="20"/>
                <w:lang w:val="cs-CZ"/>
              </w:rPr>
              <w:t>30 663</w:t>
            </w:r>
          </w:p>
        </w:tc>
      </w:tr>
      <w:tr w:rsidR="003E0F58" w:rsidRPr="00FC13F5" w14:paraId="28715507" w14:textId="77777777" w:rsidTr="005F68F2">
        <w:trPr>
          <w:trHeight w:val="280"/>
        </w:trPr>
        <w:tc>
          <w:tcPr>
            <w:tcW w:w="1015" w:type="dxa"/>
            <w:gridSpan w:val="2"/>
            <w:vMerge/>
            <w:tcBorders>
              <w:top w:val="nil"/>
              <w:left w:val="nil"/>
              <w:bottom w:val="single" w:sz="4" w:space="0" w:color="000000"/>
              <w:right w:val="nil"/>
            </w:tcBorders>
            <w:vAlign w:val="center"/>
            <w:hideMark/>
          </w:tcPr>
          <w:p w14:paraId="643D74C8" w14:textId="77777777" w:rsidR="003E0F58" w:rsidRPr="00FC13F5" w:rsidRDefault="003E0F58" w:rsidP="004D2249">
            <w:pPr>
              <w:jc w:val="left"/>
              <w:rPr>
                <w:rFonts w:cs="Times New Roman"/>
                <w:color w:val="000000"/>
                <w:sz w:val="20"/>
                <w:szCs w:val="20"/>
                <w:lang w:val="cs-CZ"/>
              </w:rPr>
            </w:pPr>
          </w:p>
        </w:tc>
        <w:tc>
          <w:tcPr>
            <w:tcW w:w="1018" w:type="dxa"/>
            <w:gridSpan w:val="2"/>
            <w:tcBorders>
              <w:top w:val="nil"/>
              <w:left w:val="nil"/>
              <w:bottom w:val="single" w:sz="4" w:space="0" w:color="auto"/>
              <w:right w:val="nil"/>
            </w:tcBorders>
            <w:vAlign w:val="center"/>
            <w:hideMark/>
          </w:tcPr>
          <w:p w14:paraId="24B6178A"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0,9</w:t>
            </w:r>
          </w:p>
        </w:tc>
        <w:tc>
          <w:tcPr>
            <w:tcW w:w="1169" w:type="dxa"/>
            <w:gridSpan w:val="2"/>
            <w:tcBorders>
              <w:top w:val="nil"/>
              <w:left w:val="nil"/>
              <w:bottom w:val="single" w:sz="4" w:space="0" w:color="auto"/>
              <w:right w:val="nil"/>
            </w:tcBorders>
            <w:vAlign w:val="center"/>
            <w:hideMark/>
          </w:tcPr>
          <w:p w14:paraId="78B1DEC6"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w:t>
            </w:r>
          </w:p>
        </w:tc>
        <w:tc>
          <w:tcPr>
            <w:tcW w:w="1169" w:type="dxa"/>
            <w:gridSpan w:val="2"/>
            <w:tcBorders>
              <w:top w:val="nil"/>
              <w:left w:val="nil"/>
              <w:bottom w:val="single" w:sz="4" w:space="0" w:color="auto"/>
              <w:right w:val="nil"/>
            </w:tcBorders>
            <w:vAlign w:val="center"/>
            <w:hideMark/>
          </w:tcPr>
          <w:p w14:paraId="5ABC435F"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1,1</w:t>
            </w:r>
          </w:p>
        </w:tc>
        <w:tc>
          <w:tcPr>
            <w:tcW w:w="1169" w:type="dxa"/>
            <w:gridSpan w:val="2"/>
            <w:tcBorders>
              <w:top w:val="nil"/>
              <w:left w:val="nil"/>
              <w:bottom w:val="single" w:sz="4" w:space="0" w:color="auto"/>
              <w:right w:val="nil"/>
            </w:tcBorders>
            <w:vAlign w:val="center"/>
            <w:hideMark/>
          </w:tcPr>
          <w:p w14:paraId="03716DA8"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1,1</w:t>
            </w:r>
          </w:p>
        </w:tc>
        <w:tc>
          <w:tcPr>
            <w:tcW w:w="1169" w:type="dxa"/>
            <w:gridSpan w:val="2"/>
            <w:tcBorders>
              <w:top w:val="nil"/>
              <w:left w:val="nil"/>
              <w:bottom w:val="single" w:sz="4" w:space="0" w:color="auto"/>
              <w:right w:val="nil"/>
            </w:tcBorders>
            <w:vAlign w:val="center"/>
            <w:hideMark/>
          </w:tcPr>
          <w:p w14:paraId="318866DA"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1,1</w:t>
            </w:r>
          </w:p>
        </w:tc>
        <w:tc>
          <w:tcPr>
            <w:tcW w:w="1171" w:type="dxa"/>
            <w:gridSpan w:val="2"/>
            <w:tcBorders>
              <w:top w:val="nil"/>
              <w:left w:val="nil"/>
              <w:bottom w:val="single" w:sz="4" w:space="0" w:color="auto"/>
              <w:right w:val="nil"/>
            </w:tcBorders>
            <w:vAlign w:val="center"/>
            <w:hideMark/>
          </w:tcPr>
          <w:p w14:paraId="58DE8219"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1,1</w:t>
            </w:r>
          </w:p>
        </w:tc>
        <w:tc>
          <w:tcPr>
            <w:tcW w:w="1169" w:type="dxa"/>
            <w:gridSpan w:val="2"/>
            <w:tcBorders>
              <w:top w:val="nil"/>
              <w:left w:val="nil"/>
              <w:bottom w:val="single" w:sz="4" w:space="0" w:color="auto"/>
              <w:right w:val="nil"/>
            </w:tcBorders>
          </w:tcPr>
          <w:p w14:paraId="6B31EF2B"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1,2</w:t>
            </w:r>
          </w:p>
        </w:tc>
        <w:tc>
          <w:tcPr>
            <w:tcW w:w="1171" w:type="dxa"/>
            <w:tcBorders>
              <w:top w:val="nil"/>
              <w:left w:val="nil"/>
              <w:bottom w:val="single" w:sz="4" w:space="0" w:color="auto"/>
              <w:right w:val="nil"/>
            </w:tcBorders>
          </w:tcPr>
          <w:p w14:paraId="75B128A6" w14:textId="77777777" w:rsidR="003E0F58" w:rsidRPr="00FC13F5" w:rsidRDefault="003E0F58" w:rsidP="004D2249">
            <w:pPr>
              <w:jc w:val="right"/>
              <w:rPr>
                <w:rFonts w:cs="Times New Roman"/>
                <w:color w:val="000000"/>
                <w:sz w:val="20"/>
                <w:szCs w:val="20"/>
                <w:lang w:val="cs-CZ"/>
              </w:rPr>
            </w:pPr>
            <w:r w:rsidRPr="00FC13F5">
              <w:rPr>
                <w:rFonts w:cs="Times New Roman"/>
                <w:sz w:val="20"/>
                <w:szCs w:val="20"/>
                <w:lang w:val="cs-CZ"/>
              </w:rPr>
              <w:t>1,2</w:t>
            </w:r>
          </w:p>
        </w:tc>
      </w:tr>
      <w:tr w:rsidR="003E0F58" w:rsidRPr="00FC13F5" w14:paraId="56893ECC" w14:textId="77777777" w:rsidTr="005F68F2">
        <w:trPr>
          <w:trHeight w:val="280"/>
        </w:trPr>
        <w:tc>
          <w:tcPr>
            <w:tcW w:w="1015" w:type="dxa"/>
            <w:gridSpan w:val="2"/>
            <w:vMerge w:val="restart"/>
            <w:tcBorders>
              <w:top w:val="nil"/>
              <w:left w:val="nil"/>
              <w:bottom w:val="single" w:sz="4" w:space="0" w:color="000000"/>
              <w:right w:val="nil"/>
            </w:tcBorders>
            <w:hideMark/>
          </w:tcPr>
          <w:p w14:paraId="1ED7B69A" w14:textId="77777777" w:rsidR="003E0F58" w:rsidRPr="00FC13F5" w:rsidRDefault="003E0F58" w:rsidP="004D2249">
            <w:pPr>
              <w:jc w:val="left"/>
              <w:rPr>
                <w:rFonts w:cs="Times New Roman"/>
                <w:color w:val="000000"/>
                <w:sz w:val="20"/>
                <w:szCs w:val="20"/>
                <w:lang w:val="cs-CZ"/>
              </w:rPr>
            </w:pPr>
            <w:r w:rsidRPr="00FC13F5">
              <w:rPr>
                <w:rFonts w:cs="Times New Roman"/>
                <w:bCs/>
                <w:color w:val="000000"/>
                <w:sz w:val="20"/>
                <w:szCs w:val="20"/>
                <w:lang w:val="cs-CZ"/>
              </w:rPr>
              <w:t>borovice</w:t>
            </w:r>
          </w:p>
        </w:tc>
        <w:tc>
          <w:tcPr>
            <w:tcW w:w="1018" w:type="dxa"/>
            <w:gridSpan w:val="2"/>
            <w:vAlign w:val="center"/>
            <w:hideMark/>
          </w:tcPr>
          <w:p w14:paraId="5484E93E"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453 159</w:t>
            </w:r>
          </w:p>
        </w:tc>
        <w:tc>
          <w:tcPr>
            <w:tcW w:w="1169" w:type="dxa"/>
            <w:gridSpan w:val="2"/>
            <w:vAlign w:val="center"/>
            <w:hideMark/>
          </w:tcPr>
          <w:p w14:paraId="09F4CB50"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436 308</w:t>
            </w:r>
          </w:p>
        </w:tc>
        <w:tc>
          <w:tcPr>
            <w:tcW w:w="1169" w:type="dxa"/>
            <w:gridSpan w:val="2"/>
            <w:vAlign w:val="center"/>
            <w:hideMark/>
          </w:tcPr>
          <w:p w14:paraId="0F288319"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429 636</w:t>
            </w:r>
          </w:p>
        </w:tc>
        <w:tc>
          <w:tcPr>
            <w:tcW w:w="1169" w:type="dxa"/>
            <w:gridSpan w:val="2"/>
            <w:vAlign w:val="center"/>
            <w:hideMark/>
          </w:tcPr>
          <w:p w14:paraId="203A110E"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428 030</w:t>
            </w:r>
          </w:p>
        </w:tc>
        <w:tc>
          <w:tcPr>
            <w:tcW w:w="1169" w:type="dxa"/>
            <w:gridSpan w:val="2"/>
            <w:vAlign w:val="center"/>
            <w:hideMark/>
          </w:tcPr>
          <w:p w14:paraId="6EACF7B0"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425 687</w:t>
            </w:r>
          </w:p>
        </w:tc>
        <w:tc>
          <w:tcPr>
            <w:tcW w:w="1171" w:type="dxa"/>
            <w:gridSpan w:val="2"/>
            <w:vAlign w:val="center"/>
            <w:hideMark/>
          </w:tcPr>
          <w:p w14:paraId="7CA6FE37"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424 201</w:t>
            </w:r>
          </w:p>
        </w:tc>
        <w:tc>
          <w:tcPr>
            <w:tcW w:w="1169" w:type="dxa"/>
            <w:gridSpan w:val="2"/>
          </w:tcPr>
          <w:p w14:paraId="2D7377BF"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422 243</w:t>
            </w:r>
          </w:p>
        </w:tc>
        <w:tc>
          <w:tcPr>
            <w:tcW w:w="1171" w:type="dxa"/>
          </w:tcPr>
          <w:p w14:paraId="41C5A64A" w14:textId="77777777" w:rsidR="003E0F58" w:rsidRPr="00FC13F5" w:rsidRDefault="003E0F58" w:rsidP="004D2249">
            <w:pPr>
              <w:jc w:val="right"/>
              <w:rPr>
                <w:rFonts w:cs="Times New Roman"/>
                <w:color w:val="000000"/>
                <w:sz w:val="20"/>
                <w:szCs w:val="20"/>
                <w:lang w:val="cs-CZ"/>
              </w:rPr>
            </w:pPr>
            <w:r w:rsidRPr="00FC13F5">
              <w:rPr>
                <w:rFonts w:cs="Times New Roman"/>
                <w:sz w:val="20"/>
                <w:szCs w:val="20"/>
                <w:lang w:val="cs-CZ"/>
              </w:rPr>
              <w:t>420 840</w:t>
            </w:r>
          </w:p>
        </w:tc>
      </w:tr>
      <w:tr w:rsidR="003E0F58" w:rsidRPr="00FC13F5" w14:paraId="4097B8E0" w14:textId="77777777" w:rsidTr="005F68F2">
        <w:trPr>
          <w:trHeight w:val="280"/>
        </w:trPr>
        <w:tc>
          <w:tcPr>
            <w:tcW w:w="1015" w:type="dxa"/>
            <w:gridSpan w:val="2"/>
            <w:vMerge/>
            <w:tcBorders>
              <w:top w:val="nil"/>
              <w:left w:val="nil"/>
              <w:bottom w:val="single" w:sz="4" w:space="0" w:color="000000"/>
              <w:right w:val="nil"/>
            </w:tcBorders>
            <w:vAlign w:val="center"/>
            <w:hideMark/>
          </w:tcPr>
          <w:p w14:paraId="6A3AF0BF" w14:textId="77777777" w:rsidR="003E0F58" w:rsidRPr="00FC13F5" w:rsidRDefault="003E0F58" w:rsidP="004D2249">
            <w:pPr>
              <w:jc w:val="left"/>
              <w:rPr>
                <w:rFonts w:cs="Times New Roman"/>
                <w:color w:val="000000"/>
                <w:sz w:val="20"/>
                <w:szCs w:val="20"/>
                <w:lang w:val="cs-CZ"/>
              </w:rPr>
            </w:pPr>
          </w:p>
        </w:tc>
        <w:tc>
          <w:tcPr>
            <w:tcW w:w="1018" w:type="dxa"/>
            <w:gridSpan w:val="2"/>
            <w:tcBorders>
              <w:top w:val="nil"/>
              <w:left w:val="nil"/>
              <w:bottom w:val="single" w:sz="4" w:space="0" w:color="auto"/>
              <w:right w:val="nil"/>
            </w:tcBorders>
            <w:vAlign w:val="center"/>
            <w:hideMark/>
          </w:tcPr>
          <w:p w14:paraId="7232CB04"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17,6</w:t>
            </w:r>
          </w:p>
        </w:tc>
        <w:tc>
          <w:tcPr>
            <w:tcW w:w="1169" w:type="dxa"/>
            <w:gridSpan w:val="2"/>
            <w:tcBorders>
              <w:top w:val="nil"/>
              <w:left w:val="nil"/>
              <w:bottom w:val="single" w:sz="4" w:space="0" w:color="auto"/>
              <w:right w:val="nil"/>
            </w:tcBorders>
            <w:vAlign w:val="center"/>
            <w:hideMark/>
          </w:tcPr>
          <w:p w14:paraId="21A34D6B"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16,8</w:t>
            </w:r>
          </w:p>
        </w:tc>
        <w:tc>
          <w:tcPr>
            <w:tcW w:w="1169" w:type="dxa"/>
            <w:gridSpan w:val="2"/>
            <w:tcBorders>
              <w:top w:val="nil"/>
              <w:left w:val="nil"/>
              <w:bottom w:val="single" w:sz="4" w:space="0" w:color="auto"/>
              <w:right w:val="nil"/>
            </w:tcBorders>
            <w:vAlign w:val="center"/>
            <w:hideMark/>
          </w:tcPr>
          <w:p w14:paraId="10DDCA2E"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16,5</w:t>
            </w:r>
          </w:p>
        </w:tc>
        <w:tc>
          <w:tcPr>
            <w:tcW w:w="1169" w:type="dxa"/>
            <w:gridSpan w:val="2"/>
            <w:tcBorders>
              <w:top w:val="nil"/>
              <w:left w:val="nil"/>
              <w:bottom w:val="single" w:sz="4" w:space="0" w:color="auto"/>
              <w:right w:val="nil"/>
            </w:tcBorders>
            <w:vAlign w:val="center"/>
            <w:hideMark/>
          </w:tcPr>
          <w:p w14:paraId="27A2050E"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16,5</w:t>
            </w:r>
          </w:p>
        </w:tc>
        <w:tc>
          <w:tcPr>
            <w:tcW w:w="1169" w:type="dxa"/>
            <w:gridSpan w:val="2"/>
            <w:tcBorders>
              <w:top w:val="nil"/>
              <w:left w:val="nil"/>
              <w:bottom w:val="single" w:sz="4" w:space="0" w:color="auto"/>
              <w:right w:val="nil"/>
            </w:tcBorders>
            <w:vAlign w:val="center"/>
            <w:hideMark/>
          </w:tcPr>
          <w:p w14:paraId="0DA8A25C"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16,4</w:t>
            </w:r>
          </w:p>
        </w:tc>
        <w:tc>
          <w:tcPr>
            <w:tcW w:w="1171" w:type="dxa"/>
            <w:gridSpan w:val="2"/>
            <w:tcBorders>
              <w:top w:val="nil"/>
              <w:left w:val="nil"/>
              <w:bottom w:val="single" w:sz="4" w:space="0" w:color="auto"/>
              <w:right w:val="nil"/>
            </w:tcBorders>
            <w:vAlign w:val="center"/>
            <w:hideMark/>
          </w:tcPr>
          <w:p w14:paraId="196966B6"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16,3</w:t>
            </w:r>
          </w:p>
        </w:tc>
        <w:tc>
          <w:tcPr>
            <w:tcW w:w="1169" w:type="dxa"/>
            <w:gridSpan w:val="2"/>
            <w:tcBorders>
              <w:top w:val="nil"/>
              <w:left w:val="nil"/>
              <w:bottom w:val="single" w:sz="4" w:space="0" w:color="auto"/>
              <w:right w:val="nil"/>
            </w:tcBorders>
          </w:tcPr>
          <w:p w14:paraId="7B960BEF"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16,2</w:t>
            </w:r>
          </w:p>
        </w:tc>
        <w:tc>
          <w:tcPr>
            <w:tcW w:w="1171" w:type="dxa"/>
            <w:tcBorders>
              <w:top w:val="nil"/>
              <w:left w:val="nil"/>
              <w:bottom w:val="single" w:sz="4" w:space="0" w:color="auto"/>
              <w:right w:val="nil"/>
            </w:tcBorders>
          </w:tcPr>
          <w:p w14:paraId="4654DC64" w14:textId="77777777" w:rsidR="003E0F58" w:rsidRPr="00FC13F5" w:rsidRDefault="003E0F58" w:rsidP="004D2249">
            <w:pPr>
              <w:jc w:val="right"/>
              <w:rPr>
                <w:rFonts w:cs="Times New Roman"/>
                <w:color w:val="000000"/>
                <w:sz w:val="20"/>
                <w:szCs w:val="20"/>
                <w:lang w:val="cs-CZ"/>
              </w:rPr>
            </w:pPr>
            <w:r w:rsidRPr="00FC13F5">
              <w:rPr>
                <w:rFonts w:cs="Times New Roman"/>
                <w:sz w:val="20"/>
                <w:szCs w:val="20"/>
                <w:lang w:val="cs-CZ"/>
              </w:rPr>
              <w:t>16,1</w:t>
            </w:r>
          </w:p>
        </w:tc>
      </w:tr>
      <w:tr w:rsidR="003E0F58" w:rsidRPr="00FC13F5" w14:paraId="7525F2EA" w14:textId="77777777" w:rsidTr="005F68F2">
        <w:trPr>
          <w:trHeight w:val="280"/>
        </w:trPr>
        <w:tc>
          <w:tcPr>
            <w:tcW w:w="1015" w:type="dxa"/>
            <w:gridSpan w:val="2"/>
            <w:vMerge w:val="restart"/>
            <w:tcBorders>
              <w:top w:val="nil"/>
              <w:left w:val="nil"/>
              <w:bottom w:val="single" w:sz="4" w:space="0" w:color="000000"/>
              <w:right w:val="nil"/>
            </w:tcBorders>
            <w:hideMark/>
          </w:tcPr>
          <w:p w14:paraId="179C4D55" w14:textId="77777777" w:rsidR="003E0F58" w:rsidRPr="00FC13F5" w:rsidRDefault="003E0F58" w:rsidP="004D2249">
            <w:pPr>
              <w:jc w:val="left"/>
              <w:rPr>
                <w:rFonts w:cs="Times New Roman"/>
                <w:color w:val="000000"/>
                <w:sz w:val="20"/>
                <w:szCs w:val="20"/>
                <w:lang w:val="cs-CZ"/>
              </w:rPr>
            </w:pPr>
            <w:r w:rsidRPr="00FC13F5">
              <w:rPr>
                <w:rFonts w:cs="Times New Roman"/>
                <w:bCs/>
                <w:color w:val="000000"/>
                <w:sz w:val="20"/>
                <w:szCs w:val="20"/>
                <w:lang w:val="cs-CZ"/>
              </w:rPr>
              <w:t>modřín</w:t>
            </w:r>
          </w:p>
        </w:tc>
        <w:tc>
          <w:tcPr>
            <w:tcW w:w="1018" w:type="dxa"/>
            <w:gridSpan w:val="2"/>
            <w:vAlign w:val="center"/>
            <w:hideMark/>
          </w:tcPr>
          <w:p w14:paraId="624F7531"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97 170</w:t>
            </w:r>
          </w:p>
        </w:tc>
        <w:tc>
          <w:tcPr>
            <w:tcW w:w="1169" w:type="dxa"/>
            <w:gridSpan w:val="2"/>
            <w:vAlign w:val="center"/>
            <w:hideMark/>
          </w:tcPr>
          <w:p w14:paraId="1D4FC54D"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100 761</w:t>
            </w:r>
          </w:p>
        </w:tc>
        <w:tc>
          <w:tcPr>
            <w:tcW w:w="1169" w:type="dxa"/>
            <w:gridSpan w:val="2"/>
            <w:vAlign w:val="center"/>
            <w:hideMark/>
          </w:tcPr>
          <w:p w14:paraId="1850CF0D"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100 749</w:t>
            </w:r>
          </w:p>
        </w:tc>
        <w:tc>
          <w:tcPr>
            <w:tcW w:w="1169" w:type="dxa"/>
            <w:gridSpan w:val="2"/>
            <w:vAlign w:val="center"/>
            <w:hideMark/>
          </w:tcPr>
          <w:p w14:paraId="6F23E269"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100 283</w:t>
            </w:r>
          </w:p>
        </w:tc>
        <w:tc>
          <w:tcPr>
            <w:tcW w:w="1169" w:type="dxa"/>
            <w:gridSpan w:val="2"/>
            <w:vAlign w:val="center"/>
            <w:hideMark/>
          </w:tcPr>
          <w:p w14:paraId="4EB1DB4B"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99 917</w:t>
            </w:r>
          </w:p>
        </w:tc>
        <w:tc>
          <w:tcPr>
            <w:tcW w:w="1171" w:type="dxa"/>
            <w:gridSpan w:val="2"/>
            <w:vAlign w:val="center"/>
            <w:hideMark/>
          </w:tcPr>
          <w:p w14:paraId="18369D8C"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99 773</w:t>
            </w:r>
          </w:p>
        </w:tc>
        <w:tc>
          <w:tcPr>
            <w:tcW w:w="1169" w:type="dxa"/>
            <w:gridSpan w:val="2"/>
          </w:tcPr>
          <w:p w14:paraId="0246BA69"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99 798</w:t>
            </w:r>
          </w:p>
        </w:tc>
        <w:tc>
          <w:tcPr>
            <w:tcW w:w="1171" w:type="dxa"/>
          </w:tcPr>
          <w:p w14:paraId="6E6A0A9C" w14:textId="77777777" w:rsidR="003E0F58" w:rsidRPr="00FC13F5" w:rsidRDefault="003E0F58" w:rsidP="004D2249">
            <w:pPr>
              <w:jc w:val="right"/>
              <w:rPr>
                <w:rFonts w:cs="Times New Roman"/>
                <w:color w:val="000000"/>
                <w:sz w:val="20"/>
                <w:szCs w:val="20"/>
                <w:lang w:val="cs-CZ"/>
              </w:rPr>
            </w:pPr>
            <w:r w:rsidRPr="00FC13F5">
              <w:rPr>
                <w:rFonts w:cs="Times New Roman"/>
                <w:sz w:val="20"/>
                <w:szCs w:val="20"/>
                <w:lang w:val="cs-CZ"/>
              </w:rPr>
              <w:t>100 264</w:t>
            </w:r>
          </w:p>
        </w:tc>
      </w:tr>
      <w:tr w:rsidR="003E0F58" w:rsidRPr="00FC13F5" w14:paraId="720AF2A0" w14:textId="77777777" w:rsidTr="005F68F2">
        <w:trPr>
          <w:trHeight w:val="280"/>
        </w:trPr>
        <w:tc>
          <w:tcPr>
            <w:tcW w:w="1015" w:type="dxa"/>
            <w:gridSpan w:val="2"/>
            <w:vMerge/>
            <w:tcBorders>
              <w:top w:val="nil"/>
              <w:left w:val="nil"/>
              <w:bottom w:val="single" w:sz="4" w:space="0" w:color="000000"/>
              <w:right w:val="nil"/>
            </w:tcBorders>
            <w:vAlign w:val="center"/>
            <w:hideMark/>
          </w:tcPr>
          <w:p w14:paraId="4BE4EFAC" w14:textId="77777777" w:rsidR="003E0F58" w:rsidRPr="00FC13F5" w:rsidRDefault="003E0F58" w:rsidP="004D2249">
            <w:pPr>
              <w:jc w:val="left"/>
              <w:rPr>
                <w:rFonts w:cs="Times New Roman"/>
                <w:color w:val="000000"/>
                <w:sz w:val="20"/>
                <w:szCs w:val="20"/>
                <w:lang w:val="cs-CZ"/>
              </w:rPr>
            </w:pPr>
          </w:p>
        </w:tc>
        <w:tc>
          <w:tcPr>
            <w:tcW w:w="1018" w:type="dxa"/>
            <w:gridSpan w:val="2"/>
            <w:tcBorders>
              <w:top w:val="nil"/>
              <w:left w:val="nil"/>
              <w:bottom w:val="single" w:sz="4" w:space="0" w:color="auto"/>
              <w:right w:val="nil"/>
            </w:tcBorders>
            <w:vAlign w:val="center"/>
            <w:hideMark/>
          </w:tcPr>
          <w:p w14:paraId="28CB6C48"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3,8</w:t>
            </w:r>
          </w:p>
        </w:tc>
        <w:tc>
          <w:tcPr>
            <w:tcW w:w="1169" w:type="dxa"/>
            <w:gridSpan w:val="2"/>
            <w:tcBorders>
              <w:top w:val="nil"/>
              <w:left w:val="nil"/>
              <w:bottom w:val="single" w:sz="4" w:space="0" w:color="auto"/>
              <w:right w:val="nil"/>
            </w:tcBorders>
            <w:vAlign w:val="center"/>
            <w:hideMark/>
          </w:tcPr>
          <w:p w14:paraId="1F05D4FC"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3,9</w:t>
            </w:r>
          </w:p>
        </w:tc>
        <w:tc>
          <w:tcPr>
            <w:tcW w:w="1169" w:type="dxa"/>
            <w:gridSpan w:val="2"/>
            <w:tcBorders>
              <w:top w:val="nil"/>
              <w:left w:val="nil"/>
              <w:bottom w:val="single" w:sz="4" w:space="0" w:color="auto"/>
              <w:right w:val="nil"/>
            </w:tcBorders>
            <w:vAlign w:val="center"/>
            <w:hideMark/>
          </w:tcPr>
          <w:p w14:paraId="3DC87E52"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3,9</w:t>
            </w:r>
          </w:p>
        </w:tc>
        <w:tc>
          <w:tcPr>
            <w:tcW w:w="1169" w:type="dxa"/>
            <w:gridSpan w:val="2"/>
            <w:tcBorders>
              <w:top w:val="nil"/>
              <w:left w:val="nil"/>
              <w:bottom w:val="single" w:sz="4" w:space="0" w:color="auto"/>
              <w:right w:val="nil"/>
            </w:tcBorders>
            <w:vAlign w:val="center"/>
            <w:hideMark/>
          </w:tcPr>
          <w:p w14:paraId="4FA2E129"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3,9</w:t>
            </w:r>
          </w:p>
        </w:tc>
        <w:tc>
          <w:tcPr>
            <w:tcW w:w="1169" w:type="dxa"/>
            <w:gridSpan w:val="2"/>
            <w:tcBorders>
              <w:top w:val="nil"/>
              <w:left w:val="nil"/>
              <w:bottom w:val="single" w:sz="4" w:space="0" w:color="auto"/>
              <w:right w:val="nil"/>
            </w:tcBorders>
            <w:vAlign w:val="center"/>
            <w:hideMark/>
          </w:tcPr>
          <w:p w14:paraId="36A4C5C6"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3,8</w:t>
            </w:r>
          </w:p>
        </w:tc>
        <w:tc>
          <w:tcPr>
            <w:tcW w:w="1171" w:type="dxa"/>
            <w:gridSpan w:val="2"/>
            <w:tcBorders>
              <w:top w:val="nil"/>
              <w:left w:val="nil"/>
              <w:bottom w:val="single" w:sz="4" w:space="0" w:color="auto"/>
              <w:right w:val="nil"/>
            </w:tcBorders>
            <w:vAlign w:val="center"/>
            <w:hideMark/>
          </w:tcPr>
          <w:p w14:paraId="6A441BA3"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3,8</w:t>
            </w:r>
          </w:p>
        </w:tc>
        <w:tc>
          <w:tcPr>
            <w:tcW w:w="1169" w:type="dxa"/>
            <w:gridSpan w:val="2"/>
            <w:tcBorders>
              <w:top w:val="nil"/>
              <w:left w:val="nil"/>
              <w:bottom w:val="single" w:sz="4" w:space="0" w:color="auto"/>
              <w:right w:val="nil"/>
            </w:tcBorders>
          </w:tcPr>
          <w:p w14:paraId="51E52CD5"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3,8</w:t>
            </w:r>
          </w:p>
        </w:tc>
        <w:tc>
          <w:tcPr>
            <w:tcW w:w="1171" w:type="dxa"/>
            <w:tcBorders>
              <w:top w:val="nil"/>
              <w:left w:val="nil"/>
              <w:bottom w:val="single" w:sz="4" w:space="0" w:color="auto"/>
              <w:right w:val="nil"/>
            </w:tcBorders>
          </w:tcPr>
          <w:p w14:paraId="5FF5C171" w14:textId="77777777" w:rsidR="003E0F58" w:rsidRPr="00FC13F5" w:rsidRDefault="003E0F58" w:rsidP="004D2249">
            <w:pPr>
              <w:jc w:val="right"/>
              <w:rPr>
                <w:rFonts w:cs="Times New Roman"/>
                <w:color w:val="000000"/>
                <w:sz w:val="20"/>
                <w:szCs w:val="20"/>
                <w:lang w:val="cs-CZ"/>
              </w:rPr>
            </w:pPr>
            <w:r w:rsidRPr="00FC13F5">
              <w:rPr>
                <w:rFonts w:cs="Times New Roman"/>
                <w:sz w:val="20"/>
                <w:szCs w:val="20"/>
                <w:lang w:val="cs-CZ"/>
              </w:rPr>
              <w:t>3,8</w:t>
            </w:r>
          </w:p>
        </w:tc>
      </w:tr>
      <w:tr w:rsidR="003E0F58" w:rsidRPr="00FC13F5" w14:paraId="47325F4D" w14:textId="77777777" w:rsidTr="005F68F2">
        <w:trPr>
          <w:trHeight w:val="280"/>
        </w:trPr>
        <w:tc>
          <w:tcPr>
            <w:tcW w:w="1015" w:type="dxa"/>
            <w:gridSpan w:val="2"/>
            <w:vMerge w:val="restart"/>
            <w:tcBorders>
              <w:top w:val="nil"/>
              <w:left w:val="nil"/>
              <w:bottom w:val="single" w:sz="4" w:space="0" w:color="000000"/>
              <w:right w:val="nil"/>
            </w:tcBorders>
            <w:hideMark/>
          </w:tcPr>
          <w:p w14:paraId="290AD784" w14:textId="77777777" w:rsidR="003E0F58" w:rsidRPr="00FC13F5" w:rsidRDefault="003E0F58" w:rsidP="004D2249">
            <w:pPr>
              <w:jc w:val="left"/>
              <w:rPr>
                <w:rFonts w:cs="Times New Roman"/>
                <w:color w:val="000000"/>
                <w:sz w:val="20"/>
                <w:szCs w:val="20"/>
                <w:lang w:val="cs-CZ"/>
              </w:rPr>
            </w:pPr>
            <w:r w:rsidRPr="00FC13F5">
              <w:rPr>
                <w:rFonts w:cs="Times New Roman"/>
                <w:bCs/>
                <w:color w:val="000000"/>
                <w:sz w:val="20"/>
                <w:szCs w:val="20"/>
                <w:lang w:val="cs-CZ"/>
              </w:rPr>
              <w:t>ostatní jehličnaté</w:t>
            </w:r>
          </w:p>
        </w:tc>
        <w:tc>
          <w:tcPr>
            <w:tcW w:w="1018" w:type="dxa"/>
            <w:gridSpan w:val="2"/>
            <w:vAlign w:val="center"/>
            <w:hideMark/>
          </w:tcPr>
          <w:p w14:paraId="1FFAB24E"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4 586</w:t>
            </w:r>
          </w:p>
        </w:tc>
        <w:tc>
          <w:tcPr>
            <w:tcW w:w="1169" w:type="dxa"/>
            <w:gridSpan w:val="2"/>
            <w:vAlign w:val="center"/>
            <w:hideMark/>
          </w:tcPr>
          <w:p w14:paraId="6F971B85"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6 352</w:t>
            </w:r>
          </w:p>
        </w:tc>
        <w:tc>
          <w:tcPr>
            <w:tcW w:w="1169" w:type="dxa"/>
            <w:gridSpan w:val="2"/>
            <w:vAlign w:val="center"/>
            <w:hideMark/>
          </w:tcPr>
          <w:p w14:paraId="1307BE92"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7 755</w:t>
            </w:r>
          </w:p>
        </w:tc>
        <w:tc>
          <w:tcPr>
            <w:tcW w:w="1169" w:type="dxa"/>
            <w:gridSpan w:val="2"/>
            <w:vAlign w:val="center"/>
            <w:hideMark/>
          </w:tcPr>
          <w:p w14:paraId="2B26A741"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7 846</w:t>
            </w:r>
          </w:p>
        </w:tc>
        <w:tc>
          <w:tcPr>
            <w:tcW w:w="1169" w:type="dxa"/>
            <w:gridSpan w:val="2"/>
            <w:vAlign w:val="center"/>
            <w:hideMark/>
          </w:tcPr>
          <w:p w14:paraId="04EB35A5"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8 068</w:t>
            </w:r>
          </w:p>
        </w:tc>
        <w:tc>
          <w:tcPr>
            <w:tcW w:w="1171" w:type="dxa"/>
            <w:gridSpan w:val="2"/>
            <w:vAlign w:val="center"/>
            <w:hideMark/>
          </w:tcPr>
          <w:p w14:paraId="4E75A3ED"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8 150</w:t>
            </w:r>
          </w:p>
        </w:tc>
        <w:tc>
          <w:tcPr>
            <w:tcW w:w="1169" w:type="dxa"/>
            <w:gridSpan w:val="2"/>
          </w:tcPr>
          <w:p w14:paraId="121EA2A7"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8 375</w:t>
            </w:r>
          </w:p>
        </w:tc>
        <w:tc>
          <w:tcPr>
            <w:tcW w:w="1171" w:type="dxa"/>
          </w:tcPr>
          <w:p w14:paraId="3C529531" w14:textId="77777777" w:rsidR="003E0F58" w:rsidRPr="00FC13F5" w:rsidRDefault="003E0F58" w:rsidP="004D2249">
            <w:pPr>
              <w:jc w:val="right"/>
              <w:rPr>
                <w:rFonts w:cs="Times New Roman"/>
                <w:color w:val="000000"/>
                <w:sz w:val="20"/>
                <w:szCs w:val="20"/>
                <w:lang w:val="cs-CZ"/>
              </w:rPr>
            </w:pPr>
            <w:r w:rsidRPr="00FC13F5">
              <w:rPr>
                <w:rFonts w:cs="Times New Roman"/>
                <w:sz w:val="20"/>
                <w:szCs w:val="20"/>
                <w:lang w:val="cs-CZ"/>
              </w:rPr>
              <w:t>8 694</w:t>
            </w:r>
          </w:p>
        </w:tc>
      </w:tr>
      <w:tr w:rsidR="003E0F58" w:rsidRPr="00FC13F5" w14:paraId="191DF7FD" w14:textId="77777777" w:rsidTr="005F68F2">
        <w:trPr>
          <w:trHeight w:val="280"/>
        </w:trPr>
        <w:tc>
          <w:tcPr>
            <w:tcW w:w="1015" w:type="dxa"/>
            <w:gridSpan w:val="2"/>
            <w:vMerge/>
            <w:tcBorders>
              <w:top w:val="nil"/>
              <w:left w:val="nil"/>
              <w:bottom w:val="single" w:sz="4" w:space="0" w:color="000000"/>
              <w:right w:val="nil"/>
            </w:tcBorders>
            <w:vAlign w:val="center"/>
            <w:hideMark/>
          </w:tcPr>
          <w:p w14:paraId="727EF964" w14:textId="77777777" w:rsidR="003E0F58" w:rsidRPr="00FC13F5" w:rsidRDefault="003E0F58" w:rsidP="004D2249">
            <w:pPr>
              <w:jc w:val="left"/>
              <w:rPr>
                <w:rFonts w:cs="Times New Roman"/>
                <w:color w:val="000000"/>
                <w:sz w:val="20"/>
                <w:szCs w:val="20"/>
                <w:lang w:val="cs-CZ"/>
              </w:rPr>
            </w:pPr>
          </w:p>
        </w:tc>
        <w:tc>
          <w:tcPr>
            <w:tcW w:w="1018" w:type="dxa"/>
            <w:gridSpan w:val="2"/>
            <w:tcBorders>
              <w:top w:val="nil"/>
              <w:left w:val="nil"/>
              <w:bottom w:val="single" w:sz="4" w:space="0" w:color="auto"/>
              <w:right w:val="nil"/>
            </w:tcBorders>
            <w:vAlign w:val="center"/>
            <w:hideMark/>
          </w:tcPr>
          <w:p w14:paraId="0C326B2A"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0,2</w:t>
            </w:r>
          </w:p>
        </w:tc>
        <w:tc>
          <w:tcPr>
            <w:tcW w:w="1169" w:type="dxa"/>
            <w:gridSpan w:val="2"/>
            <w:tcBorders>
              <w:top w:val="nil"/>
              <w:left w:val="nil"/>
              <w:bottom w:val="single" w:sz="4" w:space="0" w:color="auto"/>
              <w:right w:val="nil"/>
            </w:tcBorders>
            <w:vAlign w:val="center"/>
            <w:hideMark/>
          </w:tcPr>
          <w:p w14:paraId="0545EB39"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0,2</w:t>
            </w:r>
          </w:p>
        </w:tc>
        <w:tc>
          <w:tcPr>
            <w:tcW w:w="1169" w:type="dxa"/>
            <w:gridSpan w:val="2"/>
            <w:tcBorders>
              <w:top w:val="nil"/>
              <w:left w:val="nil"/>
              <w:bottom w:val="single" w:sz="4" w:space="0" w:color="auto"/>
              <w:right w:val="nil"/>
            </w:tcBorders>
            <w:vAlign w:val="center"/>
            <w:hideMark/>
          </w:tcPr>
          <w:p w14:paraId="665DAFB0"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0,3</w:t>
            </w:r>
          </w:p>
        </w:tc>
        <w:tc>
          <w:tcPr>
            <w:tcW w:w="1169" w:type="dxa"/>
            <w:gridSpan w:val="2"/>
            <w:tcBorders>
              <w:top w:val="nil"/>
              <w:left w:val="nil"/>
              <w:bottom w:val="single" w:sz="4" w:space="0" w:color="auto"/>
              <w:right w:val="nil"/>
            </w:tcBorders>
            <w:vAlign w:val="center"/>
            <w:hideMark/>
          </w:tcPr>
          <w:p w14:paraId="3329E5CE"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0,3</w:t>
            </w:r>
          </w:p>
        </w:tc>
        <w:tc>
          <w:tcPr>
            <w:tcW w:w="1169" w:type="dxa"/>
            <w:gridSpan w:val="2"/>
            <w:tcBorders>
              <w:top w:val="nil"/>
              <w:left w:val="nil"/>
              <w:bottom w:val="single" w:sz="4" w:space="0" w:color="auto"/>
              <w:right w:val="nil"/>
            </w:tcBorders>
            <w:vAlign w:val="center"/>
            <w:hideMark/>
          </w:tcPr>
          <w:p w14:paraId="6961D4C5"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0,3</w:t>
            </w:r>
          </w:p>
        </w:tc>
        <w:tc>
          <w:tcPr>
            <w:tcW w:w="1171" w:type="dxa"/>
            <w:gridSpan w:val="2"/>
            <w:tcBorders>
              <w:top w:val="nil"/>
              <w:left w:val="nil"/>
              <w:bottom w:val="single" w:sz="4" w:space="0" w:color="auto"/>
              <w:right w:val="nil"/>
            </w:tcBorders>
            <w:vAlign w:val="center"/>
            <w:hideMark/>
          </w:tcPr>
          <w:p w14:paraId="692C6799"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0,3</w:t>
            </w:r>
          </w:p>
        </w:tc>
        <w:tc>
          <w:tcPr>
            <w:tcW w:w="1169" w:type="dxa"/>
            <w:gridSpan w:val="2"/>
            <w:tcBorders>
              <w:top w:val="nil"/>
              <w:left w:val="nil"/>
              <w:bottom w:val="single" w:sz="4" w:space="0" w:color="auto"/>
              <w:right w:val="nil"/>
            </w:tcBorders>
          </w:tcPr>
          <w:p w14:paraId="678F5735"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0,3</w:t>
            </w:r>
          </w:p>
        </w:tc>
        <w:tc>
          <w:tcPr>
            <w:tcW w:w="1171" w:type="dxa"/>
            <w:tcBorders>
              <w:top w:val="nil"/>
              <w:left w:val="nil"/>
              <w:bottom w:val="single" w:sz="4" w:space="0" w:color="auto"/>
              <w:right w:val="nil"/>
            </w:tcBorders>
          </w:tcPr>
          <w:p w14:paraId="01118B69" w14:textId="77777777" w:rsidR="003E0F58" w:rsidRPr="00FC13F5" w:rsidRDefault="003E0F58" w:rsidP="004D2249">
            <w:pPr>
              <w:jc w:val="right"/>
              <w:rPr>
                <w:rFonts w:cs="Times New Roman"/>
                <w:color w:val="000000"/>
                <w:sz w:val="20"/>
                <w:szCs w:val="20"/>
                <w:lang w:val="cs-CZ"/>
              </w:rPr>
            </w:pPr>
            <w:r w:rsidRPr="00FC13F5">
              <w:rPr>
                <w:rFonts w:cs="Times New Roman"/>
                <w:sz w:val="20"/>
                <w:szCs w:val="20"/>
                <w:lang w:val="cs-CZ"/>
              </w:rPr>
              <w:t>0,3</w:t>
            </w:r>
          </w:p>
        </w:tc>
      </w:tr>
      <w:tr w:rsidR="003E0F58" w:rsidRPr="00FC13F5" w14:paraId="4ECC783D" w14:textId="77777777" w:rsidTr="005F68F2">
        <w:trPr>
          <w:trHeight w:val="280"/>
        </w:trPr>
        <w:tc>
          <w:tcPr>
            <w:tcW w:w="1015" w:type="dxa"/>
            <w:gridSpan w:val="2"/>
            <w:vMerge w:val="restart"/>
            <w:tcBorders>
              <w:top w:val="nil"/>
              <w:left w:val="nil"/>
              <w:bottom w:val="single" w:sz="4" w:space="0" w:color="000000"/>
              <w:right w:val="nil"/>
            </w:tcBorders>
            <w:hideMark/>
          </w:tcPr>
          <w:p w14:paraId="2DBF6B45" w14:textId="77777777" w:rsidR="003E0F58" w:rsidRPr="00FC13F5" w:rsidRDefault="003E0F58" w:rsidP="004D2249">
            <w:pPr>
              <w:jc w:val="left"/>
              <w:rPr>
                <w:rFonts w:cs="Times New Roman"/>
                <w:color w:val="000000"/>
                <w:sz w:val="20"/>
                <w:szCs w:val="20"/>
                <w:lang w:val="cs-CZ"/>
              </w:rPr>
            </w:pPr>
            <w:r w:rsidRPr="00FC13F5">
              <w:rPr>
                <w:rFonts w:cs="Times New Roman"/>
                <w:bCs/>
                <w:color w:val="000000"/>
                <w:sz w:val="20"/>
                <w:szCs w:val="20"/>
                <w:lang w:val="cs-CZ"/>
              </w:rPr>
              <w:t>jehličnaté</w:t>
            </w:r>
          </w:p>
        </w:tc>
        <w:tc>
          <w:tcPr>
            <w:tcW w:w="1018" w:type="dxa"/>
            <w:gridSpan w:val="2"/>
            <w:vAlign w:val="center"/>
            <w:hideMark/>
          </w:tcPr>
          <w:p w14:paraId="23830A8D" w14:textId="77777777" w:rsidR="003E0F58" w:rsidRPr="00FC13F5" w:rsidRDefault="003E0F58" w:rsidP="004D2249">
            <w:pPr>
              <w:jc w:val="right"/>
              <w:rPr>
                <w:rFonts w:cs="Times New Roman"/>
                <w:color w:val="000000"/>
                <w:sz w:val="20"/>
                <w:szCs w:val="20"/>
                <w:lang w:val="cs-CZ"/>
              </w:rPr>
            </w:pPr>
            <w:r w:rsidRPr="00FC13F5">
              <w:rPr>
                <w:rFonts w:cs="Times New Roman"/>
                <w:bCs/>
                <w:color w:val="000000"/>
                <w:sz w:val="20"/>
                <w:szCs w:val="20"/>
                <w:lang w:val="cs-CZ"/>
              </w:rPr>
              <w:t>1 975 065</w:t>
            </w:r>
          </w:p>
        </w:tc>
        <w:tc>
          <w:tcPr>
            <w:tcW w:w="1169" w:type="dxa"/>
            <w:gridSpan w:val="2"/>
            <w:vAlign w:val="center"/>
            <w:hideMark/>
          </w:tcPr>
          <w:p w14:paraId="75388232" w14:textId="77777777" w:rsidR="003E0F58" w:rsidRPr="00FC13F5" w:rsidRDefault="003E0F58" w:rsidP="004D2249">
            <w:pPr>
              <w:jc w:val="right"/>
              <w:rPr>
                <w:rFonts w:cs="Times New Roman"/>
                <w:color w:val="000000"/>
                <w:sz w:val="20"/>
                <w:szCs w:val="20"/>
                <w:lang w:val="cs-CZ"/>
              </w:rPr>
            </w:pPr>
            <w:r w:rsidRPr="00FC13F5">
              <w:rPr>
                <w:rFonts w:cs="Times New Roman"/>
                <w:bCs/>
                <w:color w:val="000000"/>
                <w:sz w:val="20"/>
                <w:szCs w:val="20"/>
                <w:lang w:val="cs-CZ"/>
              </w:rPr>
              <w:t>1 916 529</w:t>
            </w:r>
          </w:p>
        </w:tc>
        <w:tc>
          <w:tcPr>
            <w:tcW w:w="1169" w:type="dxa"/>
            <w:gridSpan w:val="2"/>
            <w:vAlign w:val="center"/>
            <w:hideMark/>
          </w:tcPr>
          <w:p w14:paraId="13E7BEDA"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1 886 124</w:t>
            </w:r>
          </w:p>
        </w:tc>
        <w:tc>
          <w:tcPr>
            <w:tcW w:w="1169" w:type="dxa"/>
            <w:gridSpan w:val="2"/>
            <w:vAlign w:val="center"/>
            <w:hideMark/>
          </w:tcPr>
          <w:p w14:paraId="3C9164AC" w14:textId="77777777" w:rsidR="003E0F58" w:rsidRPr="00FC13F5" w:rsidRDefault="003E0F58" w:rsidP="004D2249">
            <w:pPr>
              <w:jc w:val="right"/>
              <w:rPr>
                <w:rFonts w:cs="Times New Roman"/>
                <w:color w:val="000000"/>
                <w:sz w:val="20"/>
                <w:szCs w:val="20"/>
                <w:lang w:val="cs-CZ"/>
              </w:rPr>
            </w:pPr>
            <w:r w:rsidRPr="00FC13F5">
              <w:rPr>
                <w:rFonts w:cs="Times New Roman"/>
                <w:bCs/>
                <w:color w:val="000000"/>
                <w:sz w:val="20"/>
                <w:szCs w:val="20"/>
                <w:lang w:val="cs-CZ"/>
              </w:rPr>
              <w:t>1 880 344</w:t>
            </w:r>
          </w:p>
        </w:tc>
        <w:tc>
          <w:tcPr>
            <w:tcW w:w="1169" w:type="dxa"/>
            <w:gridSpan w:val="2"/>
            <w:vAlign w:val="center"/>
            <w:hideMark/>
          </w:tcPr>
          <w:p w14:paraId="30CFEC28" w14:textId="77777777" w:rsidR="003E0F58" w:rsidRPr="00FC13F5" w:rsidRDefault="003E0F58" w:rsidP="004D2249">
            <w:pPr>
              <w:jc w:val="right"/>
              <w:rPr>
                <w:rFonts w:cs="Times New Roman"/>
                <w:color w:val="000000"/>
                <w:sz w:val="20"/>
                <w:szCs w:val="20"/>
                <w:lang w:val="cs-CZ"/>
              </w:rPr>
            </w:pPr>
            <w:r w:rsidRPr="00FC13F5">
              <w:rPr>
                <w:rFonts w:cs="Times New Roman"/>
                <w:bCs/>
                <w:color w:val="000000"/>
                <w:sz w:val="20"/>
                <w:szCs w:val="20"/>
                <w:lang w:val="cs-CZ"/>
              </w:rPr>
              <w:t>1 874 961</w:t>
            </w:r>
          </w:p>
        </w:tc>
        <w:tc>
          <w:tcPr>
            <w:tcW w:w="1171" w:type="dxa"/>
            <w:gridSpan w:val="2"/>
            <w:vAlign w:val="center"/>
            <w:hideMark/>
          </w:tcPr>
          <w:p w14:paraId="33A393EC" w14:textId="77777777" w:rsidR="003E0F58" w:rsidRPr="00FC13F5" w:rsidRDefault="003E0F58" w:rsidP="004D2249">
            <w:pPr>
              <w:jc w:val="right"/>
              <w:rPr>
                <w:rFonts w:cs="Times New Roman"/>
                <w:color w:val="000000"/>
                <w:sz w:val="20"/>
                <w:szCs w:val="20"/>
                <w:lang w:val="cs-CZ"/>
              </w:rPr>
            </w:pPr>
            <w:r w:rsidRPr="00FC13F5">
              <w:rPr>
                <w:rFonts w:cs="Times New Roman"/>
                <w:bCs/>
                <w:color w:val="000000"/>
                <w:sz w:val="20"/>
                <w:szCs w:val="20"/>
                <w:lang w:val="cs-CZ"/>
              </w:rPr>
              <w:t>1 870 015</w:t>
            </w:r>
          </w:p>
        </w:tc>
        <w:tc>
          <w:tcPr>
            <w:tcW w:w="1169" w:type="dxa"/>
            <w:gridSpan w:val="2"/>
          </w:tcPr>
          <w:p w14:paraId="256E92F6" w14:textId="77777777" w:rsidR="003E0F58" w:rsidRPr="00FC13F5" w:rsidRDefault="003E0F58" w:rsidP="004D2249">
            <w:pPr>
              <w:jc w:val="right"/>
              <w:rPr>
                <w:rFonts w:cs="Times New Roman"/>
                <w:bCs/>
                <w:color w:val="000000"/>
                <w:sz w:val="20"/>
                <w:szCs w:val="20"/>
                <w:lang w:val="cs-CZ"/>
              </w:rPr>
            </w:pPr>
            <w:r w:rsidRPr="00FC13F5">
              <w:rPr>
                <w:rFonts w:cs="Times New Roman"/>
                <w:bCs/>
                <w:color w:val="000000"/>
                <w:sz w:val="20"/>
                <w:szCs w:val="20"/>
                <w:lang w:val="cs-CZ"/>
              </w:rPr>
              <w:t>1 862 445</w:t>
            </w:r>
          </w:p>
        </w:tc>
        <w:tc>
          <w:tcPr>
            <w:tcW w:w="1171" w:type="dxa"/>
          </w:tcPr>
          <w:p w14:paraId="1E08B31F" w14:textId="77777777" w:rsidR="003E0F58" w:rsidRPr="00FC13F5" w:rsidRDefault="003E0F58" w:rsidP="004D2249">
            <w:pPr>
              <w:jc w:val="right"/>
              <w:rPr>
                <w:rFonts w:cs="Times New Roman"/>
                <w:bCs/>
                <w:color w:val="000000"/>
                <w:sz w:val="20"/>
                <w:szCs w:val="20"/>
                <w:lang w:val="cs-CZ"/>
              </w:rPr>
            </w:pPr>
            <w:r w:rsidRPr="00FC13F5">
              <w:rPr>
                <w:rFonts w:cs="Times New Roman"/>
                <w:sz w:val="20"/>
                <w:szCs w:val="20"/>
                <w:lang w:val="cs-CZ"/>
              </w:rPr>
              <w:t>1 852 922</w:t>
            </w:r>
          </w:p>
        </w:tc>
      </w:tr>
      <w:tr w:rsidR="003E0F58" w:rsidRPr="00FC13F5" w14:paraId="216C1142" w14:textId="77777777" w:rsidTr="005F68F2">
        <w:trPr>
          <w:trHeight w:val="280"/>
        </w:trPr>
        <w:tc>
          <w:tcPr>
            <w:tcW w:w="1015" w:type="dxa"/>
            <w:gridSpan w:val="2"/>
            <w:vMerge/>
            <w:tcBorders>
              <w:top w:val="nil"/>
              <w:left w:val="nil"/>
              <w:bottom w:val="single" w:sz="4" w:space="0" w:color="000000"/>
              <w:right w:val="nil"/>
            </w:tcBorders>
            <w:vAlign w:val="center"/>
            <w:hideMark/>
          </w:tcPr>
          <w:p w14:paraId="152D9D0C" w14:textId="77777777" w:rsidR="003E0F58" w:rsidRPr="00FC13F5" w:rsidRDefault="003E0F58" w:rsidP="004D2249">
            <w:pPr>
              <w:jc w:val="left"/>
              <w:rPr>
                <w:rFonts w:cs="Times New Roman"/>
                <w:color w:val="000000"/>
                <w:sz w:val="20"/>
                <w:szCs w:val="20"/>
                <w:lang w:val="cs-CZ"/>
              </w:rPr>
            </w:pPr>
          </w:p>
        </w:tc>
        <w:tc>
          <w:tcPr>
            <w:tcW w:w="1018" w:type="dxa"/>
            <w:gridSpan w:val="2"/>
            <w:tcBorders>
              <w:top w:val="nil"/>
              <w:left w:val="nil"/>
              <w:bottom w:val="single" w:sz="4" w:space="0" w:color="auto"/>
              <w:right w:val="nil"/>
            </w:tcBorders>
            <w:vAlign w:val="center"/>
            <w:hideMark/>
          </w:tcPr>
          <w:p w14:paraId="11EE8385" w14:textId="77777777" w:rsidR="003E0F58" w:rsidRPr="00FC13F5" w:rsidRDefault="003E0F58" w:rsidP="004D2249">
            <w:pPr>
              <w:jc w:val="right"/>
              <w:rPr>
                <w:rFonts w:cs="Times New Roman"/>
                <w:color w:val="000000"/>
                <w:sz w:val="20"/>
                <w:szCs w:val="20"/>
                <w:lang w:val="cs-CZ"/>
              </w:rPr>
            </w:pPr>
            <w:r w:rsidRPr="00FC13F5">
              <w:rPr>
                <w:rFonts w:cs="Times New Roman"/>
                <w:bCs/>
                <w:color w:val="000000"/>
                <w:sz w:val="20"/>
                <w:szCs w:val="20"/>
                <w:lang w:val="cs-CZ"/>
              </w:rPr>
              <w:t>76,5</w:t>
            </w:r>
          </w:p>
        </w:tc>
        <w:tc>
          <w:tcPr>
            <w:tcW w:w="1169" w:type="dxa"/>
            <w:gridSpan w:val="2"/>
            <w:tcBorders>
              <w:top w:val="nil"/>
              <w:left w:val="nil"/>
              <w:bottom w:val="single" w:sz="4" w:space="0" w:color="auto"/>
              <w:right w:val="nil"/>
            </w:tcBorders>
            <w:vAlign w:val="center"/>
            <w:hideMark/>
          </w:tcPr>
          <w:p w14:paraId="0638349A" w14:textId="77777777" w:rsidR="003E0F58" w:rsidRPr="00FC13F5" w:rsidRDefault="003E0F58" w:rsidP="004D2249">
            <w:pPr>
              <w:jc w:val="right"/>
              <w:rPr>
                <w:rFonts w:cs="Times New Roman"/>
                <w:color w:val="000000"/>
                <w:sz w:val="20"/>
                <w:szCs w:val="20"/>
                <w:lang w:val="cs-CZ"/>
              </w:rPr>
            </w:pPr>
            <w:r w:rsidRPr="00FC13F5">
              <w:rPr>
                <w:rFonts w:cs="Times New Roman"/>
                <w:bCs/>
                <w:color w:val="000000"/>
                <w:sz w:val="20"/>
                <w:szCs w:val="20"/>
                <w:lang w:val="cs-CZ"/>
              </w:rPr>
              <w:t>73,9</w:t>
            </w:r>
          </w:p>
        </w:tc>
        <w:tc>
          <w:tcPr>
            <w:tcW w:w="1169" w:type="dxa"/>
            <w:gridSpan w:val="2"/>
            <w:tcBorders>
              <w:top w:val="nil"/>
              <w:left w:val="nil"/>
              <w:bottom w:val="single" w:sz="4" w:space="0" w:color="auto"/>
              <w:right w:val="nil"/>
            </w:tcBorders>
            <w:vAlign w:val="center"/>
            <w:hideMark/>
          </w:tcPr>
          <w:p w14:paraId="35469CA9"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72,5</w:t>
            </w:r>
          </w:p>
        </w:tc>
        <w:tc>
          <w:tcPr>
            <w:tcW w:w="1169" w:type="dxa"/>
            <w:gridSpan w:val="2"/>
            <w:tcBorders>
              <w:top w:val="nil"/>
              <w:left w:val="nil"/>
              <w:bottom w:val="single" w:sz="4" w:space="0" w:color="auto"/>
              <w:right w:val="nil"/>
            </w:tcBorders>
            <w:vAlign w:val="center"/>
            <w:hideMark/>
          </w:tcPr>
          <w:p w14:paraId="70F4D961"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72,3</w:t>
            </w:r>
          </w:p>
        </w:tc>
        <w:tc>
          <w:tcPr>
            <w:tcW w:w="1169" w:type="dxa"/>
            <w:gridSpan w:val="2"/>
            <w:tcBorders>
              <w:top w:val="nil"/>
              <w:left w:val="nil"/>
              <w:bottom w:val="single" w:sz="4" w:space="0" w:color="auto"/>
              <w:right w:val="nil"/>
            </w:tcBorders>
            <w:vAlign w:val="center"/>
            <w:hideMark/>
          </w:tcPr>
          <w:p w14:paraId="7C446435"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72,1</w:t>
            </w:r>
          </w:p>
        </w:tc>
        <w:tc>
          <w:tcPr>
            <w:tcW w:w="1171" w:type="dxa"/>
            <w:gridSpan w:val="2"/>
            <w:tcBorders>
              <w:top w:val="nil"/>
              <w:left w:val="nil"/>
              <w:bottom w:val="single" w:sz="4" w:space="0" w:color="auto"/>
              <w:right w:val="nil"/>
            </w:tcBorders>
            <w:vAlign w:val="center"/>
            <w:hideMark/>
          </w:tcPr>
          <w:p w14:paraId="66C53CC3"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71,9</w:t>
            </w:r>
          </w:p>
        </w:tc>
        <w:tc>
          <w:tcPr>
            <w:tcW w:w="1169" w:type="dxa"/>
            <w:gridSpan w:val="2"/>
            <w:tcBorders>
              <w:top w:val="nil"/>
              <w:left w:val="nil"/>
              <w:bottom w:val="single" w:sz="4" w:space="0" w:color="auto"/>
              <w:right w:val="nil"/>
            </w:tcBorders>
          </w:tcPr>
          <w:p w14:paraId="37B8FA41"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71,5</w:t>
            </w:r>
          </w:p>
        </w:tc>
        <w:tc>
          <w:tcPr>
            <w:tcW w:w="1171" w:type="dxa"/>
            <w:tcBorders>
              <w:top w:val="nil"/>
              <w:left w:val="nil"/>
              <w:bottom w:val="single" w:sz="4" w:space="0" w:color="auto"/>
              <w:right w:val="nil"/>
            </w:tcBorders>
          </w:tcPr>
          <w:p w14:paraId="4E655B4A" w14:textId="77777777" w:rsidR="003E0F58" w:rsidRPr="00FC13F5" w:rsidRDefault="003E0F58" w:rsidP="004D2249">
            <w:pPr>
              <w:jc w:val="right"/>
              <w:rPr>
                <w:rFonts w:cs="Times New Roman"/>
                <w:color w:val="000000"/>
                <w:sz w:val="20"/>
                <w:szCs w:val="20"/>
                <w:lang w:val="cs-CZ"/>
              </w:rPr>
            </w:pPr>
            <w:r w:rsidRPr="00FC13F5">
              <w:rPr>
                <w:rFonts w:cs="Times New Roman"/>
                <w:sz w:val="20"/>
                <w:szCs w:val="20"/>
                <w:lang w:val="cs-CZ"/>
              </w:rPr>
              <w:t>71,0</w:t>
            </w:r>
          </w:p>
        </w:tc>
      </w:tr>
      <w:tr w:rsidR="003E0F58" w:rsidRPr="00FC13F5" w14:paraId="5BFFF7EF" w14:textId="77777777" w:rsidTr="005F68F2">
        <w:trPr>
          <w:trHeight w:val="280"/>
        </w:trPr>
        <w:tc>
          <w:tcPr>
            <w:tcW w:w="1015" w:type="dxa"/>
            <w:gridSpan w:val="2"/>
            <w:vMerge w:val="restart"/>
            <w:tcBorders>
              <w:top w:val="nil"/>
              <w:left w:val="nil"/>
              <w:bottom w:val="single" w:sz="4" w:space="0" w:color="000000"/>
              <w:right w:val="nil"/>
            </w:tcBorders>
            <w:hideMark/>
          </w:tcPr>
          <w:p w14:paraId="49DECF9E" w14:textId="77777777" w:rsidR="003E0F58" w:rsidRPr="00FC13F5" w:rsidRDefault="003E0F58" w:rsidP="004D2249">
            <w:pPr>
              <w:jc w:val="left"/>
              <w:rPr>
                <w:rFonts w:cs="Times New Roman"/>
                <w:color w:val="000000"/>
                <w:sz w:val="20"/>
                <w:szCs w:val="20"/>
                <w:lang w:val="cs-CZ"/>
              </w:rPr>
            </w:pPr>
            <w:r w:rsidRPr="00FC13F5">
              <w:rPr>
                <w:rFonts w:cs="Times New Roman"/>
                <w:bCs/>
                <w:color w:val="000000"/>
                <w:sz w:val="20"/>
                <w:szCs w:val="20"/>
                <w:lang w:val="cs-CZ"/>
              </w:rPr>
              <w:t>dub</w:t>
            </w:r>
          </w:p>
        </w:tc>
        <w:tc>
          <w:tcPr>
            <w:tcW w:w="1018" w:type="dxa"/>
            <w:gridSpan w:val="2"/>
            <w:vAlign w:val="center"/>
            <w:hideMark/>
          </w:tcPr>
          <w:p w14:paraId="03CFB48C"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163 761</w:t>
            </w:r>
          </w:p>
        </w:tc>
        <w:tc>
          <w:tcPr>
            <w:tcW w:w="1169" w:type="dxa"/>
            <w:gridSpan w:val="2"/>
            <w:vAlign w:val="center"/>
            <w:hideMark/>
          </w:tcPr>
          <w:p w14:paraId="524E11A9"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178 466</w:t>
            </w:r>
          </w:p>
        </w:tc>
        <w:tc>
          <w:tcPr>
            <w:tcW w:w="1169" w:type="dxa"/>
            <w:gridSpan w:val="2"/>
            <w:vAlign w:val="center"/>
            <w:hideMark/>
          </w:tcPr>
          <w:p w14:paraId="18086015"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184 441</w:t>
            </w:r>
          </w:p>
        </w:tc>
        <w:tc>
          <w:tcPr>
            <w:tcW w:w="1169" w:type="dxa"/>
            <w:gridSpan w:val="2"/>
            <w:vAlign w:val="center"/>
            <w:hideMark/>
          </w:tcPr>
          <w:p w14:paraId="145AB762"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185 044</w:t>
            </w:r>
          </w:p>
        </w:tc>
        <w:tc>
          <w:tcPr>
            <w:tcW w:w="1169" w:type="dxa"/>
            <w:gridSpan w:val="2"/>
            <w:vAlign w:val="center"/>
            <w:hideMark/>
          </w:tcPr>
          <w:p w14:paraId="7739F574"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186 718</w:t>
            </w:r>
          </w:p>
        </w:tc>
        <w:tc>
          <w:tcPr>
            <w:tcW w:w="1171" w:type="dxa"/>
            <w:gridSpan w:val="2"/>
            <w:vAlign w:val="center"/>
            <w:hideMark/>
          </w:tcPr>
          <w:p w14:paraId="058A4E97"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188 068</w:t>
            </w:r>
          </w:p>
        </w:tc>
        <w:tc>
          <w:tcPr>
            <w:tcW w:w="1169" w:type="dxa"/>
            <w:gridSpan w:val="2"/>
          </w:tcPr>
          <w:p w14:paraId="25F5BC9E"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189 842</w:t>
            </w:r>
          </w:p>
        </w:tc>
        <w:tc>
          <w:tcPr>
            <w:tcW w:w="1171" w:type="dxa"/>
          </w:tcPr>
          <w:p w14:paraId="5F51B0FE" w14:textId="77777777" w:rsidR="003E0F58" w:rsidRPr="00FC13F5" w:rsidRDefault="003E0F58" w:rsidP="004D2249">
            <w:pPr>
              <w:jc w:val="right"/>
              <w:rPr>
                <w:rFonts w:cs="Times New Roman"/>
                <w:color w:val="000000"/>
                <w:sz w:val="20"/>
                <w:szCs w:val="20"/>
                <w:lang w:val="cs-CZ"/>
              </w:rPr>
            </w:pPr>
            <w:r w:rsidRPr="00FC13F5">
              <w:rPr>
                <w:rFonts w:cs="Times New Roman"/>
                <w:sz w:val="20"/>
                <w:szCs w:val="20"/>
                <w:lang w:val="cs-CZ"/>
              </w:rPr>
              <w:t>192 038</w:t>
            </w:r>
          </w:p>
        </w:tc>
      </w:tr>
      <w:tr w:rsidR="003E0F58" w:rsidRPr="00FC13F5" w14:paraId="22A9A82D" w14:textId="77777777" w:rsidTr="005F68F2">
        <w:trPr>
          <w:trHeight w:val="280"/>
        </w:trPr>
        <w:tc>
          <w:tcPr>
            <w:tcW w:w="1015" w:type="dxa"/>
            <w:gridSpan w:val="2"/>
            <w:vMerge/>
            <w:tcBorders>
              <w:top w:val="nil"/>
              <w:left w:val="nil"/>
              <w:bottom w:val="single" w:sz="4" w:space="0" w:color="000000"/>
              <w:right w:val="nil"/>
            </w:tcBorders>
            <w:vAlign w:val="center"/>
            <w:hideMark/>
          </w:tcPr>
          <w:p w14:paraId="05D768BD" w14:textId="77777777" w:rsidR="003E0F58" w:rsidRPr="00FC13F5" w:rsidRDefault="003E0F58" w:rsidP="004D2249">
            <w:pPr>
              <w:jc w:val="left"/>
              <w:rPr>
                <w:rFonts w:cs="Times New Roman"/>
                <w:color w:val="000000"/>
                <w:sz w:val="20"/>
                <w:szCs w:val="20"/>
                <w:lang w:val="cs-CZ"/>
              </w:rPr>
            </w:pPr>
          </w:p>
        </w:tc>
        <w:tc>
          <w:tcPr>
            <w:tcW w:w="1018" w:type="dxa"/>
            <w:gridSpan w:val="2"/>
            <w:tcBorders>
              <w:top w:val="nil"/>
              <w:left w:val="nil"/>
              <w:bottom w:val="single" w:sz="4" w:space="0" w:color="auto"/>
              <w:right w:val="nil"/>
            </w:tcBorders>
            <w:vAlign w:val="center"/>
            <w:hideMark/>
          </w:tcPr>
          <w:p w14:paraId="33D9D721"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6,3</w:t>
            </w:r>
          </w:p>
        </w:tc>
        <w:tc>
          <w:tcPr>
            <w:tcW w:w="1169" w:type="dxa"/>
            <w:gridSpan w:val="2"/>
            <w:tcBorders>
              <w:top w:val="nil"/>
              <w:left w:val="nil"/>
              <w:bottom w:val="single" w:sz="4" w:space="0" w:color="auto"/>
              <w:right w:val="nil"/>
            </w:tcBorders>
            <w:vAlign w:val="center"/>
            <w:hideMark/>
          </w:tcPr>
          <w:p w14:paraId="471ED6DE"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6,9</w:t>
            </w:r>
          </w:p>
        </w:tc>
        <w:tc>
          <w:tcPr>
            <w:tcW w:w="1169" w:type="dxa"/>
            <w:gridSpan w:val="2"/>
            <w:tcBorders>
              <w:top w:val="nil"/>
              <w:left w:val="nil"/>
              <w:bottom w:val="single" w:sz="4" w:space="0" w:color="auto"/>
              <w:right w:val="nil"/>
            </w:tcBorders>
            <w:vAlign w:val="center"/>
            <w:hideMark/>
          </w:tcPr>
          <w:p w14:paraId="0525E03D"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7,1</w:t>
            </w:r>
          </w:p>
        </w:tc>
        <w:tc>
          <w:tcPr>
            <w:tcW w:w="1169" w:type="dxa"/>
            <w:gridSpan w:val="2"/>
            <w:tcBorders>
              <w:top w:val="nil"/>
              <w:left w:val="nil"/>
              <w:bottom w:val="single" w:sz="4" w:space="0" w:color="auto"/>
              <w:right w:val="nil"/>
            </w:tcBorders>
            <w:vAlign w:val="center"/>
            <w:hideMark/>
          </w:tcPr>
          <w:p w14:paraId="1918329E"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7,1</w:t>
            </w:r>
          </w:p>
        </w:tc>
        <w:tc>
          <w:tcPr>
            <w:tcW w:w="1169" w:type="dxa"/>
            <w:gridSpan w:val="2"/>
            <w:tcBorders>
              <w:top w:val="nil"/>
              <w:left w:val="nil"/>
              <w:bottom w:val="single" w:sz="4" w:space="0" w:color="auto"/>
              <w:right w:val="nil"/>
            </w:tcBorders>
            <w:vAlign w:val="center"/>
            <w:hideMark/>
          </w:tcPr>
          <w:p w14:paraId="505AA28D"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7,2</w:t>
            </w:r>
          </w:p>
        </w:tc>
        <w:tc>
          <w:tcPr>
            <w:tcW w:w="1171" w:type="dxa"/>
            <w:gridSpan w:val="2"/>
            <w:tcBorders>
              <w:top w:val="nil"/>
              <w:left w:val="nil"/>
              <w:bottom w:val="single" w:sz="4" w:space="0" w:color="auto"/>
              <w:right w:val="nil"/>
            </w:tcBorders>
            <w:vAlign w:val="center"/>
            <w:hideMark/>
          </w:tcPr>
          <w:p w14:paraId="401ADC2E"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7,2</w:t>
            </w:r>
          </w:p>
        </w:tc>
        <w:tc>
          <w:tcPr>
            <w:tcW w:w="1169" w:type="dxa"/>
            <w:gridSpan w:val="2"/>
            <w:tcBorders>
              <w:top w:val="nil"/>
              <w:left w:val="nil"/>
              <w:bottom w:val="single" w:sz="4" w:space="0" w:color="auto"/>
              <w:right w:val="nil"/>
            </w:tcBorders>
          </w:tcPr>
          <w:p w14:paraId="617DAC32"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7,3</w:t>
            </w:r>
          </w:p>
        </w:tc>
        <w:tc>
          <w:tcPr>
            <w:tcW w:w="1171" w:type="dxa"/>
            <w:tcBorders>
              <w:top w:val="nil"/>
              <w:left w:val="nil"/>
              <w:bottom w:val="single" w:sz="4" w:space="0" w:color="auto"/>
              <w:right w:val="nil"/>
            </w:tcBorders>
          </w:tcPr>
          <w:p w14:paraId="2D43F20D" w14:textId="77777777" w:rsidR="003E0F58" w:rsidRPr="00FC13F5" w:rsidRDefault="003E0F58" w:rsidP="004D2249">
            <w:pPr>
              <w:jc w:val="right"/>
              <w:rPr>
                <w:rFonts w:cs="Times New Roman"/>
                <w:color w:val="000000"/>
                <w:sz w:val="20"/>
                <w:szCs w:val="20"/>
                <w:lang w:val="cs-CZ"/>
              </w:rPr>
            </w:pPr>
            <w:r w:rsidRPr="00FC13F5">
              <w:rPr>
                <w:rFonts w:cs="Times New Roman"/>
                <w:sz w:val="20"/>
                <w:szCs w:val="20"/>
                <w:lang w:val="cs-CZ"/>
              </w:rPr>
              <w:t>7,4</w:t>
            </w:r>
          </w:p>
        </w:tc>
      </w:tr>
      <w:tr w:rsidR="003E0F58" w:rsidRPr="00FC13F5" w14:paraId="1ED36AED" w14:textId="77777777" w:rsidTr="005F68F2">
        <w:trPr>
          <w:trHeight w:val="280"/>
        </w:trPr>
        <w:tc>
          <w:tcPr>
            <w:tcW w:w="1015" w:type="dxa"/>
            <w:gridSpan w:val="2"/>
            <w:vMerge w:val="restart"/>
            <w:tcBorders>
              <w:top w:val="nil"/>
              <w:left w:val="nil"/>
              <w:bottom w:val="single" w:sz="4" w:space="0" w:color="000000"/>
              <w:right w:val="nil"/>
            </w:tcBorders>
            <w:hideMark/>
          </w:tcPr>
          <w:p w14:paraId="61A59CD0" w14:textId="77777777" w:rsidR="003E0F58" w:rsidRPr="00FC13F5" w:rsidRDefault="003E0F58" w:rsidP="004D2249">
            <w:pPr>
              <w:jc w:val="left"/>
              <w:rPr>
                <w:rFonts w:cs="Times New Roman"/>
                <w:color w:val="000000"/>
                <w:sz w:val="20"/>
                <w:szCs w:val="20"/>
                <w:lang w:val="cs-CZ"/>
              </w:rPr>
            </w:pPr>
            <w:r w:rsidRPr="00FC13F5">
              <w:rPr>
                <w:rFonts w:cs="Times New Roman"/>
                <w:bCs/>
                <w:color w:val="000000"/>
                <w:sz w:val="20"/>
                <w:szCs w:val="20"/>
                <w:lang w:val="cs-CZ"/>
              </w:rPr>
              <w:t>buk</w:t>
            </w:r>
          </w:p>
        </w:tc>
        <w:tc>
          <w:tcPr>
            <w:tcW w:w="1018" w:type="dxa"/>
            <w:gridSpan w:val="2"/>
            <w:vAlign w:val="center"/>
            <w:hideMark/>
          </w:tcPr>
          <w:p w14:paraId="297DC8EE"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154 791</w:t>
            </w:r>
          </w:p>
        </w:tc>
        <w:tc>
          <w:tcPr>
            <w:tcW w:w="1169" w:type="dxa"/>
            <w:gridSpan w:val="2"/>
            <w:vAlign w:val="center"/>
            <w:hideMark/>
          </w:tcPr>
          <w:p w14:paraId="5992257B"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189 998</w:t>
            </w:r>
          </w:p>
        </w:tc>
        <w:tc>
          <w:tcPr>
            <w:tcW w:w="1169" w:type="dxa"/>
            <w:gridSpan w:val="2"/>
            <w:vAlign w:val="center"/>
            <w:hideMark/>
          </w:tcPr>
          <w:p w14:paraId="56B4C369"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207 595</w:t>
            </w:r>
          </w:p>
        </w:tc>
        <w:tc>
          <w:tcPr>
            <w:tcW w:w="1169" w:type="dxa"/>
            <w:gridSpan w:val="2"/>
            <w:vAlign w:val="center"/>
            <w:hideMark/>
          </w:tcPr>
          <w:p w14:paraId="6FB98A47"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211 835</w:t>
            </w:r>
          </w:p>
        </w:tc>
        <w:tc>
          <w:tcPr>
            <w:tcW w:w="1169" w:type="dxa"/>
            <w:gridSpan w:val="2"/>
            <w:vAlign w:val="center"/>
            <w:hideMark/>
          </w:tcPr>
          <w:p w14:paraId="3BFABEA7"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215 535</w:t>
            </w:r>
          </w:p>
        </w:tc>
        <w:tc>
          <w:tcPr>
            <w:tcW w:w="1171" w:type="dxa"/>
            <w:gridSpan w:val="2"/>
            <w:vAlign w:val="center"/>
            <w:hideMark/>
          </w:tcPr>
          <w:p w14:paraId="1D70E60F"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218 781</w:t>
            </w:r>
          </w:p>
        </w:tc>
        <w:tc>
          <w:tcPr>
            <w:tcW w:w="1169" w:type="dxa"/>
            <w:gridSpan w:val="2"/>
          </w:tcPr>
          <w:p w14:paraId="0F369BAD"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223 611</w:t>
            </w:r>
          </w:p>
        </w:tc>
        <w:tc>
          <w:tcPr>
            <w:tcW w:w="1171" w:type="dxa"/>
          </w:tcPr>
          <w:p w14:paraId="3CFF079A" w14:textId="77777777" w:rsidR="003E0F58" w:rsidRPr="00FC13F5" w:rsidRDefault="003E0F58" w:rsidP="004D2249">
            <w:pPr>
              <w:jc w:val="right"/>
              <w:rPr>
                <w:rFonts w:cs="Times New Roman"/>
                <w:color w:val="000000"/>
                <w:sz w:val="20"/>
                <w:szCs w:val="20"/>
                <w:lang w:val="cs-CZ"/>
              </w:rPr>
            </w:pPr>
            <w:r w:rsidRPr="00FC13F5">
              <w:rPr>
                <w:rFonts w:cs="Times New Roman"/>
                <w:sz w:val="20"/>
                <w:szCs w:val="20"/>
                <w:lang w:val="cs-CZ"/>
              </w:rPr>
              <w:t>230 305</w:t>
            </w:r>
          </w:p>
        </w:tc>
      </w:tr>
      <w:tr w:rsidR="003E0F58" w:rsidRPr="00FC13F5" w14:paraId="55E70561" w14:textId="77777777" w:rsidTr="005F68F2">
        <w:trPr>
          <w:trHeight w:val="280"/>
        </w:trPr>
        <w:tc>
          <w:tcPr>
            <w:tcW w:w="1015" w:type="dxa"/>
            <w:gridSpan w:val="2"/>
            <w:vMerge/>
            <w:tcBorders>
              <w:top w:val="nil"/>
              <w:left w:val="nil"/>
              <w:bottom w:val="single" w:sz="4" w:space="0" w:color="000000"/>
              <w:right w:val="nil"/>
            </w:tcBorders>
            <w:vAlign w:val="center"/>
            <w:hideMark/>
          </w:tcPr>
          <w:p w14:paraId="2FB9C09E" w14:textId="77777777" w:rsidR="003E0F58" w:rsidRPr="00FC13F5" w:rsidRDefault="003E0F58" w:rsidP="004D2249">
            <w:pPr>
              <w:jc w:val="left"/>
              <w:rPr>
                <w:rFonts w:cs="Times New Roman"/>
                <w:color w:val="000000"/>
                <w:sz w:val="20"/>
                <w:szCs w:val="20"/>
                <w:lang w:val="cs-CZ"/>
              </w:rPr>
            </w:pPr>
          </w:p>
        </w:tc>
        <w:tc>
          <w:tcPr>
            <w:tcW w:w="1018" w:type="dxa"/>
            <w:gridSpan w:val="2"/>
            <w:tcBorders>
              <w:top w:val="nil"/>
              <w:left w:val="nil"/>
              <w:bottom w:val="single" w:sz="4" w:space="0" w:color="auto"/>
              <w:right w:val="nil"/>
            </w:tcBorders>
            <w:vAlign w:val="center"/>
            <w:hideMark/>
          </w:tcPr>
          <w:p w14:paraId="041F41EC"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6</w:t>
            </w:r>
          </w:p>
        </w:tc>
        <w:tc>
          <w:tcPr>
            <w:tcW w:w="1169" w:type="dxa"/>
            <w:gridSpan w:val="2"/>
            <w:tcBorders>
              <w:top w:val="nil"/>
              <w:left w:val="nil"/>
              <w:bottom w:val="single" w:sz="4" w:space="0" w:color="auto"/>
              <w:right w:val="nil"/>
            </w:tcBorders>
            <w:vAlign w:val="center"/>
            <w:hideMark/>
          </w:tcPr>
          <w:p w14:paraId="3E30AA04"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7,3</w:t>
            </w:r>
          </w:p>
        </w:tc>
        <w:tc>
          <w:tcPr>
            <w:tcW w:w="1169" w:type="dxa"/>
            <w:gridSpan w:val="2"/>
            <w:tcBorders>
              <w:top w:val="nil"/>
              <w:left w:val="nil"/>
              <w:bottom w:val="single" w:sz="4" w:space="0" w:color="auto"/>
              <w:right w:val="nil"/>
            </w:tcBorders>
            <w:vAlign w:val="center"/>
            <w:hideMark/>
          </w:tcPr>
          <w:p w14:paraId="6BF72687"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8</w:t>
            </w:r>
          </w:p>
        </w:tc>
        <w:tc>
          <w:tcPr>
            <w:tcW w:w="1169" w:type="dxa"/>
            <w:gridSpan w:val="2"/>
            <w:tcBorders>
              <w:top w:val="nil"/>
              <w:left w:val="nil"/>
              <w:bottom w:val="single" w:sz="4" w:space="0" w:color="auto"/>
              <w:right w:val="nil"/>
            </w:tcBorders>
            <w:vAlign w:val="center"/>
            <w:hideMark/>
          </w:tcPr>
          <w:p w14:paraId="038E0966"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8,2</w:t>
            </w:r>
          </w:p>
        </w:tc>
        <w:tc>
          <w:tcPr>
            <w:tcW w:w="1169" w:type="dxa"/>
            <w:gridSpan w:val="2"/>
            <w:tcBorders>
              <w:top w:val="nil"/>
              <w:left w:val="nil"/>
              <w:bottom w:val="single" w:sz="4" w:space="0" w:color="auto"/>
              <w:right w:val="nil"/>
            </w:tcBorders>
            <w:vAlign w:val="center"/>
            <w:hideMark/>
          </w:tcPr>
          <w:p w14:paraId="7B0B475F"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8,3</w:t>
            </w:r>
          </w:p>
        </w:tc>
        <w:tc>
          <w:tcPr>
            <w:tcW w:w="1171" w:type="dxa"/>
            <w:gridSpan w:val="2"/>
            <w:tcBorders>
              <w:top w:val="nil"/>
              <w:left w:val="nil"/>
              <w:bottom w:val="single" w:sz="4" w:space="0" w:color="auto"/>
              <w:right w:val="nil"/>
            </w:tcBorders>
            <w:vAlign w:val="center"/>
            <w:hideMark/>
          </w:tcPr>
          <w:p w14:paraId="7ABE05FD"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8,4</w:t>
            </w:r>
          </w:p>
        </w:tc>
        <w:tc>
          <w:tcPr>
            <w:tcW w:w="1169" w:type="dxa"/>
            <w:gridSpan w:val="2"/>
            <w:tcBorders>
              <w:top w:val="nil"/>
              <w:left w:val="nil"/>
              <w:bottom w:val="single" w:sz="4" w:space="0" w:color="auto"/>
              <w:right w:val="nil"/>
            </w:tcBorders>
          </w:tcPr>
          <w:p w14:paraId="66F8AC20"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8,6</w:t>
            </w:r>
          </w:p>
        </w:tc>
        <w:tc>
          <w:tcPr>
            <w:tcW w:w="1171" w:type="dxa"/>
            <w:tcBorders>
              <w:top w:val="nil"/>
              <w:left w:val="nil"/>
              <w:bottom w:val="single" w:sz="4" w:space="0" w:color="auto"/>
              <w:right w:val="nil"/>
            </w:tcBorders>
          </w:tcPr>
          <w:p w14:paraId="6CF03325" w14:textId="77777777" w:rsidR="003E0F58" w:rsidRPr="00FC13F5" w:rsidRDefault="003E0F58" w:rsidP="004D2249">
            <w:pPr>
              <w:jc w:val="right"/>
              <w:rPr>
                <w:rFonts w:cs="Times New Roman"/>
                <w:color w:val="000000"/>
                <w:sz w:val="20"/>
                <w:szCs w:val="20"/>
                <w:lang w:val="cs-CZ"/>
              </w:rPr>
            </w:pPr>
            <w:r w:rsidRPr="00FC13F5">
              <w:rPr>
                <w:rFonts w:cs="Times New Roman"/>
                <w:sz w:val="20"/>
                <w:szCs w:val="20"/>
                <w:lang w:val="cs-CZ"/>
              </w:rPr>
              <w:t>8,8</w:t>
            </w:r>
          </w:p>
        </w:tc>
      </w:tr>
      <w:tr w:rsidR="003E0F58" w:rsidRPr="00FC13F5" w14:paraId="0F920845" w14:textId="77777777" w:rsidTr="005F68F2">
        <w:trPr>
          <w:trHeight w:val="280"/>
        </w:trPr>
        <w:tc>
          <w:tcPr>
            <w:tcW w:w="1015" w:type="dxa"/>
            <w:gridSpan w:val="2"/>
            <w:vMerge w:val="restart"/>
            <w:tcBorders>
              <w:top w:val="nil"/>
              <w:left w:val="nil"/>
              <w:bottom w:val="single" w:sz="4" w:space="0" w:color="000000"/>
              <w:right w:val="nil"/>
            </w:tcBorders>
            <w:hideMark/>
          </w:tcPr>
          <w:p w14:paraId="1AC64CA8" w14:textId="77777777" w:rsidR="003E0F58" w:rsidRPr="00FC13F5" w:rsidRDefault="003E0F58" w:rsidP="004D2249">
            <w:pPr>
              <w:jc w:val="left"/>
              <w:rPr>
                <w:rFonts w:cs="Times New Roman"/>
                <w:color w:val="000000"/>
                <w:sz w:val="20"/>
                <w:szCs w:val="20"/>
                <w:lang w:val="cs-CZ"/>
              </w:rPr>
            </w:pPr>
            <w:r w:rsidRPr="00FC13F5">
              <w:rPr>
                <w:rFonts w:cs="Times New Roman"/>
                <w:bCs/>
                <w:color w:val="000000"/>
                <w:sz w:val="20"/>
                <w:szCs w:val="20"/>
                <w:lang w:val="cs-CZ"/>
              </w:rPr>
              <w:t>bříza</w:t>
            </w:r>
          </w:p>
        </w:tc>
        <w:tc>
          <w:tcPr>
            <w:tcW w:w="1018" w:type="dxa"/>
            <w:gridSpan w:val="2"/>
            <w:vAlign w:val="center"/>
            <w:hideMark/>
          </w:tcPr>
          <w:p w14:paraId="44778A85"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74 560</w:t>
            </w:r>
          </w:p>
        </w:tc>
        <w:tc>
          <w:tcPr>
            <w:tcW w:w="1169" w:type="dxa"/>
            <w:gridSpan w:val="2"/>
            <w:vAlign w:val="center"/>
            <w:hideMark/>
          </w:tcPr>
          <w:p w14:paraId="3909E0B7"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72 264</w:t>
            </w:r>
          </w:p>
        </w:tc>
        <w:tc>
          <w:tcPr>
            <w:tcW w:w="1169" w:type="dxa"/>
            <w:gridSpan w:val="2"/>
            <w:vAlign w:val="center"/>
            <w:hideMark/>
          </w:tcPr>
          <w:p w14:paraId="4AFEA27F"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71 779</w:t>
            </w:r>
          </w:p>
        </w:tc>
        <w:tc>
          <w:tcPr>
            <w:tcW w:w="1169" w:type="dxa"/>
            <w:gridSpan w:val="2"/>
            <w:vAlign w:val="center"/>
            <w:hideMark/>
          </w:tcPr>
          <w:p w14:paraId="25ACD00F"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71 796</w:t>
            </w:r>
          </w:p>
        </w:tc>
        <w:tc>
          <w:tcPr>
            <w:tcW w:w="1169" w:type="dxa"/>
            <w:gridSpan w:val="2"/>
            <w:vAlign w:val="center"/>
            <w:hideMark/>
          </w:tcPr>
          <w:p w14:paraId="71B694D5"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71 579</w:t>
            </w:r>
          </w:p>
        </w:tc>
        <w:tc>
          <w:tcPr>
            <w:tcW w:w="1171" w:type="dxa"/>
            <w:gridSpan w:val="2"/>
            <w:vAlign w:val="center"/>
            <w:hideMark/>
          </w:tcPr>
          <w:p w14:paraId="047890DD"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71 783</w:t>
            </w:r>
          </w:p>
        </w:tc>
        <w:tc>
          <w:tcPr>
            <w:tcW w:w="1169" w:type="dxa"/>
            <w:gridSpan w:val="2"/>
          </w:tcPr>
          <w:p w14:paraId="205A2DE7"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72 330</w:t>
            </w:r>
          </w:p>
        </w:tc>
        <w:tc>
          <w:tcPr>
            <w:tcW w:w="1171" w:type="dxa"/>
          </w:tcPr>
          <w:p w14:paraId="3E9FB290" w14:textId="77777777" w:rsidR="003E0F58" w:rsidRPr="00FC13F5" w:rsidRDefault="003E0F58" w:rsidP="004D2249">
            <w:pPr>
              <w:jc w:val="right"/>
              <w:rPr>
                <w:rFonts w:cs="Times New Roman"/>
                <w:color w:val="000000"/>
                <w:sz w:val="20"/>
                <w:szCs w:val="20"/>
                <w:lang w:val="cs-CZ"/>
              </w:rPr>
            </w:pPr>
            <w:r w:rsidRPr="00FC13F5">
              <w:rPr>
                <w:rFonts w:cs="Times New Roman"/>
                <w:sz w:val="20"/>
                <w:szCs w:val="20"/>
                <w:lang w:val="cs-CZ"/>
              </w:rPr>
              <w:t>72 403</w:t>
            </w:r>
          </w:p>
        </w:tc>
      </w:tr>
      <w:tr w:rsidR="003E0F58" w:rsidRPr="00FC13F5" w14:paraId="792E2F73" w14:textId="77777777" w:rsidTr="005F68F2">
        <w:trPr>
          <w:trHeight w:val="280"/>
        </w:trPr>
        <w:tc>
          <w:tcPr>
            <w:tcW w:w="1015" w:type="dxa"/>
            <w:gridSpan w:val="2"/>
            <w:vMerge/>
            <w:tcBorders>
              <w:top w:val="nil"/>
              <w:left w:val="nil"/>
              <w:bottom w:val="single" w:sz="4" w:space="0" w:color="000000"/>
              <w:right w:val="nil"/>
            </w:tcBorders>
            <w:vAlign w:val="center"/>
            <w:hideMark/>
          </w:tcPr>
          <w:p w14:paraId="7053FD41" w14:textId="77777777" w:rsidR="003E0F58" w:rsidRPr="00FC13F5" w:rsidRDefault="003E0F58" w:rsidP="004D2249">
            <w:pPr>
              <w:jc w:val="left"/>
              <w:rPr>
                <w:rFonts w:cs="Times New Roman"/>
                <w:color w:val="000000"/>
                <w:sz w:val="20"/>
                <w:szCs w:val="20"/>
                <w:lang w:val="cs-CZ"/>
              </w:rPr>
            </w:pPr>
          </w:p>
        </w:tc>
        <w:tc>
          <w:tcPr>
            <w:tcW w:w="1018" w:type="dxa"/>
            <w:gridSpan w:val="2"/>
            <w:tcBorders>
              <w:top w:val="nil"/>
              <w:left w:val="nil"/>
              <w:bottom w:val="single" w:sz="4" w:space="0" w:color="auto"/>
              <w:right w:val="nil"/>
            </w:tcBorders>
            <w:vAlign w:val="center"/>
            <w:hideMark/>
          </w:tcPr>
          <w:p w14:paraId="61279DAC"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2,9</w:t>
            </w:r>
          </w:p>
        </w:tc>
        <w:tc>
          <w:tcPr>
            <w:tcW w:w="1169" w:type="dxa"/>
            <w:gridSpan w:val="2"/>
            <w:tcBorders>
              <w:top w:val="nil"/>
              <w:left w:val="nil"/>
              <w:bottom w:val="single" w:sz="4" w:space="0" w:color="auto"/>
              <w:right w:val="nil"/>
            </w:tcBorders>
            <w:vAlign w:val="center"/>
            <w:hideMark/>
          </w:tcPr>
          <w:p w14:paraId="47D8C173"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2,8</w:t>
            </w:r>
          </w:p>
        </w:tc>
        <w:tc>
          <w:tcPr>
            <w:tcW w:w="1169" w:type="dxa"/>
            <w:gridSpan w:val="2"/>
            <w:tcBorders>
              <w:top w:val="nil"/>
              <w:left w:val="nil"/>
              <w:bottom w:val="single" w:sz="4" w:space="0" w:color="auto"/>
              <w:right w:val="nil"/>
            </w:tcBorders>
            <w:vAlign w:val="center"/>
            <w:hideMark/>
          </w:tcPr>
          <w:p w14:paraId="61823D2E"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2,8</w:t>
            </w:r>
          </w:p>
        </w:tc>
        <w:tc>
          <w:tcPr>
            <w:tcW w:w="1169" w:type="dxa"/>
            <w:gridSpan w:val="2"/>
            <w:tcBorders>
              <w:top w:val="nil"/>
              <w:left w:val="nil"/>
              <w:bottom w:val="single" w:sz="4" w:space="0" w:color="auto"/>
              <w:right w:val="nil"/>
            </w:tcBorders>
            <w:vAlign w:val="center"/>
            <w:hideMark/>
          </w:tcPr>
          <w:p w14:paraId="5C71F6D5"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2,8</w:t>
            </w:r>
          </w:p>
        </w:tc>
        <w:tc>
          <w:tcPr>
            <w:tcW w:w="1169" w:type="dxa"/>
            <w:gridSpan w:val="2"/>
            <w:tcBorders>
              <w:top w:val="nil"/>
              <w:left w:val="nil"/>
              <w:bottom w:val="single" w:sz="4" w:space="0" w:color="auto"/>
              <w:right w:val="nil"/>
            </w:tcBorders>
            <w:vAlign w:val="center"/>
            <w:hideMark/>
          </w:tcPr>
          <w:p w14:paraId="1B174384"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2,8</w:t>
            </w:r>
          </w:p>
        </w:tc>
        <w:tc>
          <w:tcPr>
            <w:tcW w:w="1171" w:type="dxa"/>
            <w:gridSpan w:val="2"/>
            <w:tcBorders>
              <w:top w:val="nil"/>
              <w:left w:val="nil"/>
              <w:bottom w:val="single" w:sz="4" w:space="0" w:color="auto"/>
              <w:right w:val="nil"/>
            </w:tcBorders>
            <w:vAlign w:val="center"/>
            <w:hideMark/>
          </w:tcPr>
          <w:p w14:paraId="6685D546"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2,8</w:t>
            </w:r>
          </w:p>
        </w:tc>
        <w:tc>
          <w:tcPr>
            <w:tcW w:w="1169" w:type="dxa"/>
            <w:gridSpan w:val="2"/>
            <w:tcBorders>
              <w:top w:val="nil"/>
              <w:left w:val="nil"/>
              <w:bottom w:val="single" w:sz="4" w:space="0" w:color="auto"/>
              <w:right w:val="nil"/>
            </w:tcBorders>
          </w:tcPr>
          <w:p w14:paraId="3753D2B8"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2,8</w:t>
            </w:r>
          </w:p>
        </w:tc>
        <w:tc>
          <w:tcPr>
            <w:tcW w:w="1171" w:type="dxa"/>
            <w:tcBorders>
              <w:top w:val="nil"/>
              <w:left w:val="nil"/>
              <w:bottom w:val="single" w:sz="4" w:space="0" w:color="auto"/>
              <w:right w:val="nil"/>
            </w:tcBorders>
          </w:tcPr>
          <w:p w14:paraId="25C7B317" w14:textId="77777777" w:rsidR="003E0F58" w:rsidRPr="00FC13F5" w:rsidRDefault="003E0F58" w:rsidP="004D2249">
            <w:pPr>
              <w:jc w:val="right"/>
              <w:rPr>
                <w:rFonts w:cs="Times New Roman"/>
                <w:color w:val="000000"/>
                <w:sz w:val="20"/>
                <w:szCs w:val="20"/>
                <w:lang w:val="cs-CZ"/>
              </w:rPr>
            </w:pPr>
            <w:r w:rsidRPr="00FC13F5">
              <w:rPr>
                <w:rFonts w:cs="Times New Roman"/>
                <w:sz w:val="20"/>
                <w:szCs w:val="20"/>
                <w:lang w:val="cs-CZ"/>
              </w:rPr>
              <w:t>2,8</w:t>
            </w:r>
          </w:p>
        </w:tc>
      </w:tr>
      <w:tr w:rsidR="003E0F58" w:rsidRPr="00FC13F5" w14:paraId="0CAC7282" w14:textId="77777777" w:rsidTr="005F68F2">
        <w:trPr>
          <w:trHeight w:val="280"/>
        </w:trPr>
        <w:tc>
          <w:tcPr>
            <w:tcW w:w="1015" w:type="dxa"/>
            <w:gridSpan w:val="2"/>
            <w:vMerge w:val="restart"/>
            <w:tcBorders>
              <w:top w:val="nil"/>
              <w:left w:val="nil"/>
              <w:bottom w:val="single" w:sz="4" w:space="0" w:color="000000"/>
              <w:right w:val="nil"/>
            </w:tcBorders>
            <w:hideMark/>
          </w:tcPr>
          <w:p w14:paraId="7BDF5485" w14:textId="77777777" w:rsidR="003E0F58" w:rsidRPr="00FC13F5" w:rsidRDefault="003E0F58" w:rsidP="004D2249">
            <w:pPr>
              <w:jc w:val="left"/>
              <w:rPr>
                <w:rFonts w:cs="Times New Roman"/>
                <w:color w:val="000000"/>
                <w:sz w:val="20"/>
                <w:szCs w:val="20"/>
                <w:lang w:val="cs-CZ"/>
              </w:rPr>
            </w:pPr>
            <w:r w:rsidRPr="00FC13F5">
              <w:rPr>
                <w:rFonts w:cs="Times New Roman"/>
                <w:bCs/>
                <w:color w:val="000000"/>
                <w:sz w:val="20"/>
                <w:szCs w:val="20"/>
                <w:lang w:val="cs-CZ"/>
              </w:rPr>
              <w:t>ostatní listnaté</w:t>
            </w:r>
          </w:p>
        </w:tc>
        <w:tc>
          <w:tcPr>
            <w:tcW w:w="1018" w:type="dxa"/>
            <w:gridSpan w:val="2"/>
            <w:vAlign w:val="center"/>
            <w:hideMark/>
          </w:tcPr>
          <w:p w14:paraId="41BA7B5C"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183 696</w:t>
            </w:r>
          </w:p>
        </w:tc>
        <w:tc>
          <w:tcPr>
            <w:tcW w:w="1169" w:type="dxa"/>
            <w:gridSpan w:val="2"/>
            <w:vAlign w:val="center"/>
            <w:hideMark/>
          </w:tcPr>
          <w:p w14:paraId="2A1B5ACE"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209 559</w:t>
            </w:r>
          </w:p>
        </w:tc>
        <w:tc>
          <w:tcPr>
            <w:tcW w:w="1169" w:type="dxa"/>
            <w:gridSpan w:val="2"/>
            <w:vAlign w:val="center"/>
            <w:hideMark/>
          </w:tcPr>
          <w:p w14:paraId="76775744"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219 363</w:t>
            </w:r>
          </w:p>
        </w:tc>
        <w:tc>
          <w:tcPr>
            <w:tcW w:w="1169" w:type="dxa"/>
            <w:gridSpan w:val="2"/>
            <w:vAlign w:val="center"/>
            <w:hideMark/>
          </w:tcPr>
          <w:p w14:paraId="5B5BC203"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219 207</w:t>
            </w:r>
          </w:p>
        </w:tc>
        <w:tc>
          <w:tcPr>
            <w:tcW w:w="1169" w:type="dxa"/>
            <w:gridSpan w:val="2"/>
            <w:vAlign w:val="center"/>
            <w:hideMark/>
          </w:tcPr>
          <w:p w14:paraId="6A2EE619"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221 243</w:t>
            </w:r>
          </w:p>
        </w:tc>
        <w:tc>
          <w:tcPr>
            <w:tcW w:w="1171" w:type="dxa"/>
            <w:gridSpan w:val="2"/>
            <w:vAlign w:val="center"/>
            <w:hideMark/>
          </w:tcPr>
          <w:p w14:paraId="243E3456"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223 103</w:t>
            </w:r>
          </w:p>
        </w:tc>
        <w:tc>
          <w:tcPr>
            <w:tcW w:w="1169" w:type="dxa"/>
            <w:gridSpan w:val="2"/>
          </w:tcPr>
          <w:p w14:paraId="016A8643"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225 923</w:t>
            </w:r>
          </w:p>
        </w:tc>
        <w:tc>
          <w:tcPr>
            <w:tcW w:w="1171" w:type="dxa"/>
          </w:tcPr>
          <w:p w14:paraId="6EAD6299" w14:textId="77777777" w:rsidR="003E0F58" w:rsidRPr="00FC13F5" w:rsidRDefault="003E0F58" w:rsidP="004D2249">
            <w:pPr>
              <w:jc w:val="right"/>
              <w:rPr>
                <w:rFonts w:cs="Times New Roman"/>
                <w:color w:val="000000"/>
                <w:sz w:val="20"/>
                <w:szCs w:val="20"/>
                <w:lang w:val="cs-CZ"/>
              </w:rPr>
            </w:pPr>
            <w:r w:rsidRPr="00FC13F5">
              <w:rPr>
                <w:rFonts w:cs="Times New Roman"/>
                <w:sz w:val="20"/>
                <w:szCs w:val="20"/>
                <w:lang w:val="cs-CZ"/>
              </w:rPr>
              <w:t>228 401</w:t>
            </w:r>
          </w:p>
        </w:tc>
      </w:tr>
      <w:tr w:rsidR="003E0F58" w:rsidRPr="00FC13F5" w14:paraId="5BC6970A" w14:textId="77777777" w:rsidTr="005F68F2">
        <w:trPr>
          <w:trHeight w:val="280"/>
        </w:trPr>
        <w:tc>
          <w:tcPr>
            <w:tcW w:w="1015" w:type="dxa"/>
            <w:gridSpan w:val="2"/>
            <w:vMerge/>
            <w:tcBorders>
              <w:top w:val="nil"/>
              <w:left w:val="nil"/>
              <w:bottom w:val="single" w:sz="4" w:space="0" w:color="000000"/>
              <w:right w:val="nil"/>
            </w:tcBorders>
            <w:vAlign w:val="center"/>
            <w:hideMark/>
          </w:tcPr>
          <w:p w14:paraId="4EB1AC09" w14:textId="77777777" w:rsidR="003E0F58" w:rsidRPr="00FC13F5" w:rsidRDefault="003E0F58" w:rsidP="004D2249">
            <w:pPr>
              <w:jc w:val="left"/>
              <w:rPr>
                <w:rFonts w:cs="Times New Roman"/>
                <w:color w:val="000000"/>
                <w:sz w:val="20"/>
                <w:szCs w:val="20"/>
                <w:lang w:val="cs-CZ"/>
              </w:rPr>
            </w:pPr>
          </w:p>
        </w:tc>
        <w:tc>
          <w:tcPr>
            <w:tcW w:w="1018" w:type="dxa"/>
            <w:gridSpan w:val="2"/>
            <w:tcBorders>
              <w:top w:val="nil"/>
              <w:left w:val="nil"/>
              <w:bottom w:val="single" w:sz="4" w:space="0" w:color="auto"/>
              <w:right w:val="nil"/>
            </w:tcBorders>
            <w:vAlign w:val="center"/>
            <w:hideMark/>
          </w:tcPr>
          <w:p w14:paraId="1121A1B3"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7,1</w:t>
            </w:r>
          </w:p>
        </w:tc>
        <w:tc>
          <w:tcPr>
            <w:tcW w:w="1169" w:type="dxa"/>
            <w:gridSpan w:val="2"/>
            <w:tcBorders>
              <w:top w:val="nil"/>
              <w:left w:val="nil"/>
              <w:bottom w:val="single" w:sz="4" w:space="0" w:color="auto"/>
              <w:right w:val="nil"/>
            </w:tcBorders>
            <w:vAlign w:val="center"/>
            <w:hideMark/>
          </w:tcPr>
          <w:p w14:paraId="52450DFE"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8,1</w:t>
            </w:r>
          </w:p>
        </w:tc>
        <w:tc>
          <w:tcPr>
            <w:tcW w:w="1169" w:type="dxa"/>
            <w:gridSpan w:val="2"/>
            <w:tcBorders>
              <w:top w:val="nil"/>
              <w:left w:val="nil"/>
              <w:bottom w:val="single" w:sz="4" w:space="0" w:color="auto"/>
              <w:right w:val="nil"/>
            </w:tcBorders>
            <w:vAlign w:val="center"/>
            <w:hideMark/>
          </w:tcPr>
          <w:p w14:paraId="3E36AB6E"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8,4</w:t>
            </w:r>
          </w:p>
        </w:tc>
        <w:tc>
          <w:tcPr>
            <w:tcW w:w="1169" w:type="dxa"/>
            <w:gridSpan w:val="2"/>
            <w:tcBorders>
              <w:top w:val="nil"/>
              <w:left w:val="nil"/>
              <w:bottom w:val="single" w:sz="4" w:space="0" w:color="auto"/>
              <w:right w:val="nil"/>
            </w:tcBorders>
            <w:vAlign w:val="center"/>
            <w:hideMark/>
          </w:tcPr>
          <w:p w14:paraId="525B72DA"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8,4</w:t>
            </w:r>
          </w:p>
        </w:tc>
        <w:tc>
          <w:tcPr>
            <w:tcW w:w="1169" w:type="dxa"/>
            <w:gridSpan w:val="2"/>
            <w:tcBorders>
              <w:top w:val="nil"/>
              <w:left w:val="nil"/>
              <w:bottom w:val="single" w:sz="4" w:space="0" w:color="auto"/>
              <w:right w:val="nil"/>
            </w:tcBorders>
            <w:vAlign w:val="center"/>
            <w:hideMark/>
          </w:tcPr>
          <w:p w14:paraId="1951F182"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8,5</w:t>
            </w:r>
          </w:p>
        </w:tc>
        <w:tc>
          <w:tcPr>
            <w:tcW w:w="1171" w:type="dxa"/>
            <w:gridSpan w:val="2"/>
            <w:tcBorders>
              <w:top w:val="nil"/>
              <w:left w:val="nil"/>
              <w:bottom w:val="single" w:sz="4" w:space="0" w:color="auto"/>
              <w:right w:val="nil"/>
            </w:tcBorders>
            <w:vAlign w:val="center"/>
            <w:hideMark/>
          </w:tcPr>
          <w:p w14:paraId="77AAD9AC"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8,6</w:t>
            </w:r>
          </w:p>
        </w:tc>
        <w:tc>
          <w:tcPr>
            <w:tcW w:w="1169" w:type="dxa"/>
            <w:gridSpan w:val="2"/>
            <w:tcBorders>
              <w:top w:val="nil"/>
              <w:left w:val="nil"/>
              <w:bottom w:val="single" w:sz="4" w:space="0" w:color="auto"/>
              <w:right w:val="nil"/>
            </w:tcBorders>
          </w:tcPr>
          <w:p w14:paraId="706D8654"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8,7</w:t>
            </w:r>
          </w:p>
        </w:tc>
        <w:tc>
          <w:tcPr>
            <w:tcW w:w="1171" w:type="dxa"/>
            <w:tcBorders>
              <w:top w:val="nil"/>
              <w:left w:val="nil"/>
              <w:bottom w:val="single" w:sz="4" w:space="0" w:color="auto"/>
              <w:right w:val="nil"/>
            </w:tcBorders>
          </w:tcPr>
          <w:p w14:paraId="34C7459E" w14:textId="77777777" w:rsidR="003E0F58" w:rsidRPr="00FC13F5" w:rsidRDefault="003E0F58" w:rsidP="004D2249">
            <w:pPr>
              <w:jc w:val="right"/>
              <w:rPr>
                <w:rFonts w:cs="Times New Roman"/>
                <w:color w:val="000000"/>
                <w:sz w:val="20"/>
                <w:szCs w:val="20"/>
                <w:lang w:val="cs-CZ"/>
              </w:rPr>
            </w:pPr>
            <w:r w:rsidRPr="00FC13F5">
              <w:rPr>
                <w:rFonts w:cs="Times New Roman"/>
                <w:sz w:val="20"/>
                <w:szCs w:val="20"/>
                <w:lang w:val="cs-CZ"/>
              </w:rPr>
              <w:t>8,8</w:t>
            </w:r>
          </w:p>
        </w:tc>
      </w:tr>
      <w:tr w:rsidR="003E0F58" w:rsidRPr="00FC13F5" w14:paraId="5AABBFAE" w14:textId="77777777" w:rsidTr="005F68F2">
        <w:trPr>
          <w:trHeight w:val="280"/>
        </w:trPr>
        <w:tc>
          <w:tcPr>
            <w:tcW w:w="1015" w:type="dxa"/>
            <w:gridSpan w:val="2"/>
            <w:vMerge w:val="restart"/>
            <w:tcBorders>
              <w:top w:val="nil"/>
              <w:left w:val="nil"/>
              <w:bottom w:val="single" w:sz="4" w:space="0" w:color="000000"/>
              <w:right w:val="nil"/>
            </w:tcBorders>
            <w:hideMark/>
          </w:tcPr>
          <w:p w14:paraId="6C9D2FE6" w14:textId="77777777" w:rsidR="003E0F58" w:rsidRPr="00FC13F5" w:rsidRDefault="003E0F58" w:rsidP="004D2249">
            <w:pPr>
              <w:jc w:val="left"/>
              <w:rPr>
                <w:rFonts w:cs="Times New Roman"/>
                <w:color w:val="000000"/>
                <w:sz w:val="20"/>
                <w:szCs w:val="20"/>
                <w:lang w:val="cs-CZ"/>
              </w:rPr>
            </w:pPr>
            <w:r w:rsidRPr="00FC13F5">
              <w:rPr>
                <w:rFonts w:cs="Times New Roman"/>
                <w:bCs/>
                <w:color w:val="000000"/>
                <w:sz w:val="20"/>
                <w:szCs w:val="20"/>
                <w:lang w:val="cs-CZ"/>
              </w:rPr>
              <w:t>listnaté</w:t>
            </w:r>
          </w:p>
        </w:tc>
        <w:tc>
          <w:tcPr>
            <w:tcW w:w="1018" w:type="dxa"/>
            <w:gridSpan w:val="2"/>
            <w:vAlign w:val="center"/>
            <w:hideMark/>
          </w:tcPr>
          <w:p w14:paraId="65437F84" w14:textId="77777777" w:rsidR="003E0F58" w:rsidRPr="00FC13F5" w:rsidRDefault="003E0F58" w:rsidP="004D2249">
            <w:pPr>
              <w:jc w:val="right"/>
              <w:rPr>
                <w:rFonts w:cs="Times New Roman"/>
                <w:color w:val="000000"/>
                <w:sz w:val="20"/>
                <w:szCs w:val="20"/>
                <w:lang w:val="cs-CZ"/>
              </w:rPr>
            </w:pPr>
            <w:r w:rsidRPr="00FC13F5">
              <w:rPr>
                <w:rFonts w:cs="Times New Roman"/>
                <w:bCs/>
                <w:color w:val="000000"/>
                <w:sz w:val="20"/>
                <w:szCs w:val="20"/>
                <w:lang w:val="cs-CZ"/>
              </w:rPr>
              <w:t>576 808</w:t>
            </w:r>
          </w:p>
        </w:tc>
        <w:tc>
          <w:tcPr>
            <w:tcW w:w="1169" w:type="dxa"/>
            <w:gridSpan w:val="2"/>
            <w:vAlign w:val="center"/>
            <w:hideMark/>
          </w:tcPr>
          <w:p w14:paraId="697FD99F" w14:textId="77777777" w:rsidR="003E0F58" w:rsidRPr="00FC13F5" w:rsidRDefault="003E0F58" w:rsidP="004D2249">
            <w:pPr>
              <w:jc w:val="right"/>
              <w:rPr>
                <w:rFonts w:cs="Times New Roman"/>
                <w:color w:val="000000"/>
                <w:sz w:val="20"/>
                <w:szCs w:val="20"/>
                <w:lang w:val="cs-CZ"/>
              </w:rPr>
            </w:pPr>
            <w:r w:rsidRPr="00FC13F5">
              <w:rPr>
                <w:rFonts w:cs="Times New Roman"/>
                <w:bCs/>
                <w:color w:val="000000"/>
                <w:sz w:val="20"/>
                <w:szCs w:val="20"/>
                <w:lang w:val="cs-CZ"/>
              </w:rPr>
              <w:t>650 287</w:t>
            </w:r>
          </w:p>
        </w:tc>
        <w:tc>
          <w:tcPr>
            <w:tcW w:w="1169" w:type="dxa"/>
            <w:gridSpan w:val="2"/>
            <w:vAlign w:val="center"/>
            <w:hideMark/>
          </w:tcPr>
          <w:p w14:paraId="68CC8D77"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683 178</w:t>
            </w:r>
          </w:p>
        </w:tc>
        <w:tc>
          <w:tcPr>
            <w:tcW w:w="1169" w:type="dxa"/>
            <w:gridSpan w:val="2"/>
            <w:vAlign w:val="center"/>
            <w:hideMark/>
          </w:tcPr>
          <w:p w14:paraId="0A5BECDE" w14:textId="77777777" w:rsidR="003E0F58" w:rsidRPr="00FC13F5" w:rsidRDefault="003E0F58" w:rsidP="004D2249">
            <w:pPr>
              <w:jc w:val="right"/>
              <w:rPr>
                <w:rFonts w:cs="Times New Roman"/>
                <w:color w:val="000000"/>
                <w:sz w:val="20"/>
                <w:szCs w:val="20"/>
                <w:lang w:val="cs-CZ"/>
              </w:rPr>
            </w:pPr>
            <w:r w:rsidRPr="00FC13F5">
              <w:rPr>
                <w:rFonts w:cs="Times New Roman"/>
                <w:bCs/>
                <w:color w:val="000000"/>
                <w:sz w:val="20"/>
                <w:szCs w:val="20"/>
                <w:lang w:val="cs-CZ"/>
              </w:rPr>
              <w:t>687 882</w:t>
            </w:r>
          </w:p>
        </w:tc>
        <w:tc>
          <w:tcPr>
            <w:tcW w:w="1169" w:type="dxa"/>
            <w:gridSpan w:val="2"/>
            <w:vAlign w:val="center"/>
            <w:hideMark/>
          </w:tcPr>
          <w:p w14:paraId="039AC3F0" w14:textId="77777777" w:rsidR="003E0F58" w:rsidRPr="00FC13F5" w:rsidRDefault="003E0F58" w:rsidP="004D2249">
            <w:pPr>
              <w:jc w:val="right"/>
              <w:rPr>
                <w:rFonts w:cs="Times New Roman"/>
                <w:color w:val="000000"/>
                <w:sz w:val="20"/>
                <w:szCs w:val="20"/>
                <w:lang w:val="cs-CZ"/>
              </w:rPr>
            </w:pPr>
            <w:r w:rsidRPr="00FC13F5">
              <w:rPr>
                <w:rFonts w:cs="Times New Roman"/>
                <w:bCs/>
                <w:color w:val="000000"/>
                <w:sz w:val="20"/>
                <w:szCs w:val="20"/>
                <w:lang w:val="cs-CZ"/>
              </w:rPr>
              <w:t>695 075</w:t>
            </w:r>
          </w:p>
        </w:tc>
        <w:tc>
          <w:tcPr>
            <w:tcW w:w="1171" w:type="dxa"/>
            <w:gridSpan w:val="2"/>
            <w:vAlign w:val="center"/>
            <w:hideMark/>
          </w:tcPr>
          <w:p w14:paraId="635B8602" w14:textId="77777777" w:rsidR="003E0F58" w:rsidRPr="00FC13F5" w:rsidRDefault="003E0F58" w:rsidP="004D2249">
            <w:pPr>
              <w:jc w:val="right"/>
              <w:rPr>
                <w:rFonts w:cs="Times New Roman"/>
                <w:color w:val="000000"/>
                <w:sz w:val="20"/>
                <w:szCs w:val="20"/>
                <w:lang w:val="cs-CZ"/>
              </w:rPr>
            </w:pPr>
            <w:r w:rsidRPr="00FC13F5">
              <w:rPr>
                <w:rFonts w:cs="Times New Roman"/>
                <w:bCs/>
                <w:color w:val="000000"/>
                <w:sz w:val="20"/>
                <w:szCs w:val="20"/>
                <w:lang w:val="cs-CZ"/>
              </w:rPr>
              <w:t>701 734</w:t>
            </w:r>
          </w:p>
        </w:tc>
        <w:tc>
          <w:tcPr>
            <w:tcW w:w="1169" w:type="dxa"/>
            <w:gridSpan w:val="2"/>
          </w:tcPr>
          <w:p w14:paraId="4930E0EE" w14:textId="77777777" w:rsidR="003E0F58" w:rsidRPr="00FC13F5" w:rsidRDefault="003E0F58" w:rsidP="004D2249">
            <w:pPr>
              <w:jc w:val="right"/>
              <w:rPr>
                <w:rFonts w:cs="Times New Roman"/>
                <w:bCs/>
                <w:color w:val="000000"/>
                <w:sz w:val="20"/>
                <w:szCs w:val="20"/>
                <w:lang w:val="cs-CZ"/>
              </w:rPr>
            </w:pPr>
            <w:r w:rsidRPr="00FC13F5">
              <w:rPr>
                <w:rFonts w:cs="Times New Roman"/>
                <w:bCs/>
                <w:color w:val="000000"/>
                <w:sz w:val="20"/>
                <w:szCs w:val="20"/>
                <w:lang w:val="cs-CZ"/>
              </w:rPr>
              <w:t>711 706</w:t>
            </w:r>
          </w:p>
        </w:tc>
        <w:tc>
          <w:tcPr>
            <w:tcW w:w="1171" w:type="dxa"/>
          </w:tcPr>
          <w:p w14:paraId="7331DB02" w14:textId="77777777" w:rsidR="003E0F58" w:rsidRPr="00FC13F5" w:rsidRDefault="003E0F58" w:rsidP="004D2249">
            <w:pPr>
              <w:jc w:val="right"/>
              <w:rPr>
                <w:rFonts w:cs="Times New Roman"/>
                <w:bCs/>
                <w:color w:val="000000"/>
                <w:sz w:val="20"/>
                <w:szCs w:val="20"/>
                <w:lang w:val="cs-CZ"/>
              </w:rPr>
            </w:pPr>
            <w:r w:rsidRPr="00FC13F5">
              <w:rPr>
                <w:rFonts w:cs="Times New Roman"/>
                <w:sz w:val="20"/>
                <w:szCs w:val="20"/>
                <w:lang w:val="cs-CZ"/>
              </w:rPr>
              <w:t>723 146</w:t>
            </w:r>
          </w:p>
        </w:tc>
      </w:tr>
      <w:tr w:rsidR="003E0F58" w:rsidRPr="00FC13F5" w14:paraId="734CEF29" w14:textId="77777777" w:rsidTr="005F68F2">
        <w:trPr>
          <w:trHeight w:val="280"/>
        </w:trPr>
        <w:tc>
          <w:tcPr>
            <w:tcW w:w="1015" w:type="dxa"/>
            <w:gridSpan w:val="2"/>
            <w:vMerge/>
            <w:tcBorders>
              <w:top w:val="nil"/>
              <w:left w:val="nil"/>
              <w:bottom w:val="single" w:sz="4" w:space="0" w:color="000000"/>
              <w:right w:val="nil"/>
            </w:tcBorders>
            <w:vAlign w:val="center"/>
            <w:hideMark/>
          </w:tcPr>
          <w:p w14:paraId="09E55C0B" w14:textId="77777777" w:rsidR="003E0F58" w:rsidRPr="00FC13F5" w:rsidRDefault="003E0F58" w:rsidP="004D2249">
            <w:pPr>
              <w:jc w:val="left"/>
              <w:rPr>
                <w:rFonts w:cs="Times New Roman"/>
                <w:color w:val="000000"/>
                <w:sz w:val="20"/>
                <w:szCs w:val="20"/>
                <w:lang w:val="cs-CZ"/>
              </w:rPr>
            </w:pPr>
          </w:p>
        </w:tc>
        <w:tc>
          <w:tcPr>
            <w:tcW w:w="1018" w:type="dxa"/>
            <w:gridSpan w:val="2"/>
            <w:tcBorders>
              <w:top w:val="nil"/>
              <w:left w:val="nil"/>
              <w:bottom w:val="single" w:sz="4" w:space="0" w:color="auto"/>
              <w:right w:val="nil"/>
            </w:tcBorders>
            <w:vAlign w:val="center"/>
            <w:hideMark/>
          </w:tcPr>
          <w:p w14:paraId="3F08BFB4" w14:textId="77777777" w:rsidR="003E0F58" w:rsidRPr="00FC13F5" w:rsidRDefault="003E0F58" w:rsidP="004D2249">
            <w:pPr>
              <w:jc w:val="right"/>
              <w:rPr>
                <w:rFonts w:cs="Times New Roman"/>
                <w:color w:val="000000"/>
                <w:sz w:val="20"/>
                <w:szCs w:val="20"/>
                <w:lang w:val="cs-CZ"/>
              </w:rPr>
            </w:pPr>
            <w:r w:rsidRPr="00FC13F5">
              <w:rPr>
                <w:rFonts w:cs="Times New Roman"/>
                <w:bCs/>
                <w:color w:val="000000"/>
                <w:sz w:val="20"/>
                <w:szCs w:val="20"/>
                <w:lang w:val="cs-CZ"/>
              </w:rPr>
              <w:t>22,3</w:t>
            </w:r>
          </w:p>
        </w:tc>
        <w:tc>
          <w:tcPr>
            <w:tcW w:w="1169" w:type="dxa"/>
            <w:gridSpan w:val="2"/>
            <w:tcBorders>
              <w:top w:val="nil"/>
              <w:left w:val="nil"/>
              <w:bottom w:val="single" w:sz="4" w:space="0" w:color="auto"/>
              <w:right w:val="nil"/>
            </w:tcBorders>
            <w:vAlign w:val="center"/>
            <w:hideMark/>
          </w:tcPr>
          <w:p w14:paraId="4DAF2E96" w14:textId="77777777" w:rsidR="003E0F58" w:rsidRPr="00FC13F5" w:rsidRDefault="003E0F58" w:rsidP="004D2249">
            <w:pPr>
              <w:jc w:val="right"/>
              <w:rPr>
                <w:rFonts w:cs="Times New Roman"/>
                <w:color w:val="000000"/>
                <w:sz w:val="20"/>
                <w:szCs w:val="20"/>
                <w:lang w:val="cs-CZ"/>
              </w:rPr>
            </w:pPr>
            <w:r w:rsidRPr="00FC13F5">
              <w:rPr>
                <w:rFonts w:cs="Times New Roman"/>
                <w:bCs/>
                <w:color w:val="000000"/>
                <w:sz w:val="20"/>
                <w:szCs w:val="20"/>
                <w:lang w:val="cs-CZ"/>
              </w:rPr>
              <w:t>25,1</w:t>
            </w:r>
          </w:p>
        </w:tc>
        <w:tc>
          <w:tcPr>
            <w:tcW w:w="1169" w:type="dxa"/>
            <w:gridSpan w:val="2"/>
            <w:tcBorders>
              <w:top w:val="nil"/>
              <w:left w:val="nil"/>
              <w:bottom w:val="single" w:sz="4" w:space="0" w:color="auto"/>
              <w:right w:val="nil"/>
            </w:tcBorders>
            <w:vAlign w:val="center"/>
            <w:hideMark/>
          </w:tcPr>
          <w:p w14:paraId="549B144C"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26,3</w:t>
            </w:r>
          </w:p>
        </w:tc>
        <w:tc>
          <w:tcPr>
            <w:tcW w:w="1169" w:type="dxa"/>
            <w:gridSpan w:val="2"/>
            <w:tcBorders>
              <w:top w:val="nil"/>
              <w:left w:val="nil"/>
              <w:bottom w:val="single" w:sz="4" w:space="0" w:color="auto"/>
              <w:right w:val="nil"/>
            </w:tcBorders>
            <w:vAlign w:val="center"/>
            <w:hideMark/>
          </w:tcPr>
          <w:p w14:paraId="5C667F59"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26,5</w:t>
            </w:r>
          </w:p>
        </w:tc>
        <w:tc>
          <w:tcPr>
            <w:tcW w:w="1169" w:type="dxa"/>
            <w:gridSpan w:val="2"/>
            <w:tcBorders>
              <w:top w:val="nil"/>
              <w:left w:val="nil"/>
              <w:bottom w:val="single" w:sz="4" w:space="0" w:color="auto"/>
              <w:right w:val="nil"/>
            </w:tcBorders>
            <w:vAlign w:val="center"/>
            <w:hideMark/>
          </w:tcPr>
          <w:p w14:paraId="63306E12"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26,7</w:t>
            </w:r>
          </w:p>
        </w:tc>
        <w:tc>
          <w:tcPr>
            <w:tcW w:w="1171" w:type="dxa"/>
            <w:gridSpan w:val="2"/>
            <w:tcBorders>
              <w:top w:val="nil"/>
              <w:left w:val="nil"/>
              <w:bottom w:val="single" w:sz="4" w:space="0" w:color="auto"/>
              <w:right w:val="nil"/>
            </w:tcBorders>
            <w:vAlign w:val="center"/>
            <w:hideMark/>
          </w:tcPr>
          <w:p w14:paraId="53FB823A"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27</w:t>
            </w:r>
          </w:p>
        </w:tc>
        <w:tc>
          <w:tcPr>
            <w:tcW w:w="1169" w:type="dxa"/>
            <w:gridSpan w:val="2"/>
            <w:tcBorders>
              <w:top w:val="nil"/>
              <w:left w:val="nil"/>
              <w:bottom w:val="single" w:sz="4" w:space="0" w:color="auto"/>
              <w:right w:val="nil"/>
            </w:tcBorders>
          </w:tcPr>
          <w:p w14:paraId="72BFD52A"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27,3</w:t>
            </w:r>
          </w:p>
        </w:tc>
        <w:tc>
          <w:tcPr>
            <w:tcW w:w="1171" w:type="dxa"/>
            <w:tcBorders>
              <w:top w:val="nil"/>
              <w:left w:val="nil"/>
              <w:bottom w:val="single" w:sz="4" w:space="0" w:color="auto"/>
              <w:right w:val="nil"/>
            </w:tcBorders>
          </w:tcPr>
          <w:p w14:paraId="4461B441" w14:textId="77777777" w:rsidR="003E0F58" w:rsidRPr="00FC13F5" w:rsidRDefault="003E0F58" w:rsidP="004D2249">
            <w:pPr>
              <w:jc w:val="right"/>
              <w:rPr>
                <w:rFonts w:cs="Times New Roman"/>
                <w:color w:val="000000"/>
                <w:sz w:val="20"/>
                <w:szCs w:val="20"/>
                <w:lang w:val="cs-CZ"/>
              </w:rPr>
            </w:pPr>
            <w:r w:rsidRPr="00FC13F5">
              <w:rPr>
                <w:rFonts w:cs="Times New Roman"/>
                <w:sz w:val="20"/>
                <w:szCs w:val="20"/>
                <w:lang w:val="cs-CZ"/>
              </w:rPr>
              <w:t>27,7</w:t>
            </w:r>
          </w:p>
        </w:tc>
      </w:tr>
      <w:tr w:rsidR="003E0F58" w:rsidRPr="00FC13F5" w14:paraId="7CC3D04F" w14:textId="77777777" w:rsidTr="005F68F2">
        <w:trPr>
          <w:trHeight w:val="280"/>
        </w:trPr>
        <w:tc>
          <w:tcPr>
            <w:tcW w:w="1015" w:type="dxa"/>
            <w:gridSpan w:val="2"/>
            <w:vMerge w:val="restart"/>
            <w:tcBorders>
              <w:top w:val="nil"/>
              <w:left w:val="nil"/>
              <w:bottom w:val="single" w:sz="4" w:space="0" w:color="000000"/>
              <w:right w:val="nil"/>
            </w:tcBorders>
            <w:hideMark/>
          </w:tcPr>
          <w:p w14:paraId="697FF805" w14:textId="77777777" w:rsidR="003E0F58" w:rsidRPr="00FC13F5" w:rsidRDefault="003E0F58" w:rsidP="004D2249">
            <w:pPr>
              <w:jc w:val="left"/>
              <w:rPr>
                <w:rFonts w:cs="Times New Roman"/>
                <w:color w:val="000000"/>
                <w:sz w:val="20"/>
                <w:szCs w:val="20"/>
                <w:lang w:val="cs-CZ"/>
              </w:rPr>
            </w:pPr>
            <w:r w:rsidRPr="00FC13F5">
              <w:rPr>
                <w:rFonts w:cs="Times New Roman"/>
                <w:bCs/>
                <w:color w:val="000000"/>
                <w:sz w:val="20"/>
                <w:szCs w:val="20"/>
                <w:lang w:val="cs-CZ"/>
              </w:rPr>
              <w:t>Celkem bez holiny</w:t>
            </w:r>
          </w:p>
        </w:tc>
        <w:tc>
          <w:tcPr>
            <w:tcW w:w="1018" w:type="dxa"/>
            <w:gridSpan w:val="2"/>
            <w:vAlign w:val="center"/>
            <w:hideMark/>
          </w:tcPr>
          <w:p w14:paraId="6D5AC908" w14:textId="77777777" w:rsidR="003E0F58" w:rsidRPr="00FC13F5" w:rsidRDefault="003E0F58" w:rsidP="004D2249">
            <w:pPr>
              <w:jc w:val="right"/>
              <w:rPr>
                <w:rFonts w:cs="Times New Roman"/>
                <w:color w:val="000000"/>
                <w:sz w:val="20"/>
                <w:szCs w:val="20"/>
                <w:lang w:val="cs-CZ"/>
              </w:rPr>
            </w:pPr>
            <w:r w:rsidRPr="00FC13F5">
              <w:rPr>
                <w:rFonts w:cs="Times New Roman"/>
                <w:bCs/>
                <w:color w:val="000000"/>
                <w:sz w:val="20"/>
                <w:szCs w:val="20"/>
                <w:lang w:val="cs-CZ"/>
              </w:rPr>
              <w:t>2 551 873</w:t>
            </w:r>
          </w:p>
        </w:tc>
        <w:tc>
          <w:tcPr>
            <w:tcW w:w="1169" w:type="dxa"/>
            <w:gridSpan w:val="2"/>
            <w:vAlign w:val="center"/>
            <w:hideMark/>
          </w:tcPr>
          <w:p w14:paraId="4EDF235A" w14:textId="77777777" w:rsidR="003E0F58" w:rsidRPr="00FC13F5" w:rsidRDefault="003E0F58" w:rsidP="004D2249">
            <w:pPr>
              <w:jc w:val="right"/>
              <w:rPr>
                <w:rFonts w:cs="Times New Roman"/>
                <w:color w:val="000000"/>
                <w:sz w:val="20"/>
                <w:szCs w:val="20"/>
                <w:lang w:val="cs-CZ"/>
              </w:rPr>
            </w:pPr>
            <w:r w:rsidRPr="00FC13F5">
              <w:rPr>
                <w:rFonts w:cs="Times New Roman"/>
                <w:bCs/>
                <w:color w:val="000000"/>
                <w:sz w:val="20"/>
                <w:szCs w:val="20"/>
                <w:lang w:val="cs-CZ"/>
              </w:rPr>
              <w:t>2 566 816</w:t>
            </w:r>
          </w:p>
        </w:tc>
        <w:tc>
          <w:tcPr>
            <w:tcW w:w="1169" w:type="dxa"/>
            <w:gridSpan w:val="2"/>
            <w:vAlign w:val="center"/>
            <w:hideMark/>
          </w:tcPr>
          <w:p w14:paraId="615C1FD1"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2 569 302</w:t>
            </w:r>
          </w:p>
        </w:tc>
        <w:tc>
          <w:tcPr>
            <w:tcW w:w="1169" w:type="dxa"/>
            <w:gridSpan w:val="2"/>
            <w:vAlign w:val="center"/>
            <w:hideMark/>
          </w:tcPr>
          <w:p w14:paraId="263D72E3" w14:textId="77777777" w:rsidR="003E0F58" w:rsidRPr="00FC13F5" w:rsidRDefault="003E0F58" w:rsidP="004D2249">
            <w:pPr>
              <w:jc w:val="right"/>
              <w:rPr>
                <w:rFonts w:cs="Times New Roman"/>
                <w:color w:val="000000"/>
                <w:sz w:val="20"/>
                <w:szCs w:val="20"/>
                <w:lang w:val="cs-CZ"/>
              </w:rPr>
            </w:pPr>
            <w:r w:rsidRPr="00FC13F5">
              <w:rPr>
                <w:rFonts w:cs="Times New Roman"/>
                <w:bCs/>
                <w:color w:val="000000"/>
                <w:sz w:val="20"/>
                <w:szCs w:val="20"/>
                <w:lang w:val="cs-CZ"/>
              </w:rPr>
              <w:t>2 568 227</w:t>
            </w:r>
          </w:p>
        </w:tc>
        <w:tc>
          <w:tcPr>
            <w:tcW w:w="1169" w:type="dxa"/>
            <w:gridSpan w:val="2"/>
            <w:vAlign w:val="center"/>
            <w:hideMark/>
          </w:tcPr>
          <w:p w14:paraId="1E6D3FC4" w14:textId="77777777" w:rsidR="003E0F58" w:rsidRPr="00FC13F5" w:rsidRDefault="003E0F58" w:rsidP="004D2249">
            <w:pPr>
              <w:jc w:val="right"/>
              <w:rPr>
                <w:rFonts w:cs="Times New Roman"/>
                <w:color w:val="000000"/>
                <w:sz w:val="20"/>
                <w:szCs w:val="20"/>
                <w:lang w:val="cs-CZ"/>
              </w:rPr>
            </w:pPr>
            <w:r w:rsidRPr="00FC13F5">
              <w:rPr>
                <w:rFonts w:cs="Times New Roman"/>
                <w:bCs/>
                <w:color w:val="000000"/>
                <w:sz w:val="20"/>
                <w:szCs w:val="20"/>
                <w:lang w:val="cs-CZ"/>
              </w:rPr>
              <w:t>2 570 036</w:t>
            </w:r>
          </w:p>
        </w:tc>
        <w:tc>
          <w:tcPr>
            <w:tcW w:w="1171" w:type="dxa"/>
            <w:gridSpan w:val="2"/>
            <w:vAlign w:val="center"/>
            <w:hideMark/>
          </w:tcPr>
          <w:p w14:paraId="6033F8C0" w14:textId="77777777" w:rsidR="003E0F58" w:rsidRPr="00FC13F5" w:rsidRDefault="003E0F58" w:rsidP="004D2249">
            <w:pPr>
              <w:jc w:val="right"/>
              <w:rPr>
                <w:rFonts w:cs="Times New Roman"/>
                <w:color w:val="000000"/>
                <w:sz w:val="20"/>
                <w:szCs w:val="20"/>
                <w:lang w:val="cs-CZ"/>
              </w:rPr>
            </w:pPr>
            <w:r w:rsidRPr="00FC13F5">
              <w:rPr>
                <w:rFonts w:cs="Times New Roman"/>
                <w:bCs/>
                <w:color w:val="000000"/>
                <w:sz w:val="20"/>
                <w:szCs w:val="20"/>
                <w:lang w:val="cs-CZ"/>
              </w:rPr>
              <w:t>2 571 749</w:t>
            </w:r>
          </w:p>
        </w:tc>
        <w:tc>
          <w:tcPr>
            <w:tcW w:w="1169" w:type="dxa"/>
            <w:gridSpan w:val="2"/>
          </w:tcPr>
          <w:p w14:paraId="44DAC095" w14:textId="77777777" w:rsidR="003E0F58" w:rsidRPr="00FC13F5" w:rsidRDefault="003E0F58" w:rsidP="004D2249">
            <w:pPr>
              <w:jc w:val="right"/>
              <w:rPr>
                <w:rFonts w:cs="Times New Roman"/>
                <w:bCs/>
                <w:color w:val="000000"/>
                <w:sz w:val="20"/>
                <w:szCs w:val="20"/>
                <w:lang w:val="cs-CZ"/>
              </w:rPr>
            </w:pPr>
            <w:r w:rsidRPr="00FC13F5">
              <w:rPr>
                <w:rFonts w:cs="Times New Roman"/>
                <w:bCs/>
                <w:color w:val="000000"/>
                <w:sz w:val="20"/>
                <w:szCs w:val="20"/>
                <w:lang w:val="cs-CZ"/>
              </w:rPr>
              <w:t>2 574 151</w:t>
            </w:r>
          </w:p>
        </w:tc>
        <w:tc>
          <w:tcPr>
            <w:tcW w:w="1171" w:type="dxa"/>
          </w:tcPr>
          <w:p w14:paraId="171ADE03" w14:textId="77777777" w:rsidR="003E0F58" w:rsidRPr="00FC13F5" w:rsidRDefault="003E0F58" w:rsidP="004D2249">
            <w:pPr>
              <w:jc w:val="right"/>
              <w:rPr>
                <w:rFonts w:cs="Times New Roman"/>
                <w:bCs/>
                <w:color w:val="000000"/>
                <w:sz w:val="20"/>
                <w:szCs w:val="20"/>
                <w:lang w:val="cs-CZ"/>
              </w:rPr>
            </w:pPr>
            <w:r w:rsidRPr="00FC13F5">
              <w:rPr>
                <w:rFonts w:cs="Times New Roman"/>
                <w:sz w:val="20"/>
                <w:szCs w:val="20"/>
                <w:lang w:val="cs-CZ"/>
              </w:rPr>
              <w:t>2 576 068</w:t>
            </w:r>
          </w:p>
        </w:tc>
      </w:tr>
      <w:tr w:rsidR="003E0F58" w:rsidRPr="00FC13F5" w14:paraId="65B4309B" w14:textId="77777777" w:rsidTr="005F68F2">
        <w:trPr>
          <w:trHeight w:val="280"/>
        </w:trPr>
        <w:tc>
          <w:tcPr>
            <w:tcW w:w="1015" w:type="dxa"/>
            <w:gridSpan w:val="2"/>
            <w:vMerge/>
            <w:tcBorders>
              <w:top w:val="nil"/>
              <w:left w:val="nil"/>
              <w:bottom w:val="single" w:sz="4" w:space="0" w:color="000000"/>
              <w:right w:val="nil"/>
            </w:tcBorders>
            <w:vAlign w:val="center"/>
            <w:hideMark/>
          </w:tcPr>
          <w:p w14:paraId="7F1B61E1" w14:textId="77777777" w:rsidR="003E0F58" w:rsidRPr="00FC13F5" w:rsidRDefault="003E0F58" w:rsidP="004D2249">
            <w:pPr>
              <w:jc w:val="left"/>
              <w:rPr>
                <w:rFonts w:cs="Times New Roman"/>
                <w:color w:val="000000"/>
                <w:sz w:val="20"/>
                <w:szCs w:val="20"/>
                <w:lang w:val="cs-CZ"/>
              </w:rPr>
            </w:pPr>
          </w:p>
        </w:tc>
        <w:tc>
          <w:tcPr>
            <w:tcW w:w="1018" w:type="dxa"/>
            <w:gridSpan w:val="2"/>
            <w:tcBorders>
              <w:top w:val="nil"/>
              <w:left w:val="nil"/>
              <w:bottom w:val="single" w:sz="4" w:space="0" w:color="auto"/>
              <w:right w:val="nil"/>
            </w:tcBorders>
            <w:vAlign w:val="center"/>
            <w:hideMark/>
          </w:tcPr>
          <w:p w14:paraId="5886E641" w14:textId="77777777" w:rsidR="003E0F58" w:rsidRPr="00FC13F5" w:rsidRDefault="003E0F58" w:rsidP="004D2249">
            <w:pPr>
              <w:jc w:val="right"/>
              <w:rPr>
                <w:rFonts w:cs="Times New Roman"/>
                <w:color w:val="000000"/>
                <w:sz w:val="20"/>
                <w:szCs w:val="20"/>
                <w:lang w:val="cs-CZ"/>
              </w:rPr>
            </w:pPr>
            <w:r w:rsidRPr="00FC13F5">
              <w:rPr>
                <w:rFonts w:cs="Times New Roman"/>
                <w:bCs/>
                <w:color w:val="000000"/>
                <w:sz w:val="20"/>
                <w:szCs w:val="20"/>
                <w:lang w:val="cs-CZ"/>
              </w:rPr>
              <w:t>98,8</w:t>
            </w:r>
          </w:p>
        </w:tc>
        <w:tc>
          <w:tcPr>
            <w:tcW w:w="1169" w:type="dxa"/>
            <w:gridSpan w:val="2"/>
            <w:tcBorders>
              <w:top w:val="nil"/>
              <w:left w:val="nil"/>
              <w:bottom w:val="single" w:sz="4" w:space="0" w:color="auto"/>
              <w:right w:val="nil"/>
            </w:tcBorders>
            <w:vAlign w:val="center"/>
            <w:hideMark/>
          </w:tcPr>
          <w:p w14:paraId="4A3C2CA5" w14:textId="77777777" w:rsidR="003E0F58" w:rsidRPr="00FC13F5" w:rsidRDefault="003E0F58" w:rsidP="004D2249">
            <w:pPr>
              <w:jc w:val="right"/>
              <w:rPr>
                <w:rFonts w:cs="Times New Roman"/>
                <w:color w:val="000000"/>
                <w:sz w:val="20"/>
                <w:szCs w:val="20"/>
                <w:lang w:val="cs-CZ"/>
              </w:rPr>
            </w:pPr>
            <w:r w:rsidRPr="00FC13F5">
              <w:rPr>
                <w:rFonts w:cs="Times New Roman"/>
                <w:bCs/>
                <w:color w:val="000000"/>
                <w:sz w:val="20"/>
                <w:szCs w:val="20"/>
                <w:lang w:val="cs-CZ"/>
              </w:rPr>
              <w:t>98,9</w:t>
            </w:r>
          </w:p>
        </w:tc>
        <w:tc>
          <w:tcPr>
            <w:tcW w:w="1169" w:type="dxa"/>
            <w:gridSpan w:val="2"/>
            <w:tcBorders>
              <w:top w:val="nil"/>
              <w:left w:val="nil"/>
              <w:bottom w:val="single" w:sz="4" w:space="0" w:color="auto"/>
              <w:right w:val="nil"/>
            </w:tcBorders>
            <w:vAlign w:val="center"/>
            <w:hideMark/>
          </w:tcPr>
          <w:p w14:paraId="01899867"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98,7</w:t>
            </w:r>
          </w:p>
        </w:tc>
        <w:tc>
          <w:tcPr>
            <w:tcW w:w="1169" w:type="dxa"/>
            <w:gridSpan w:val="2"/>
            <w:tcBorders>
              <w:top w:val="nil"/>
              <w:left w:val="nil"/>
              <w:bottom w:val="single" w:sz="4" w:space="0" w:color="auto"/>
              <w:right w:val="nil"/>
            </w:tcBorders>
            <w:vAlign w:val="center"/>
            <w:hideMark/>
          </w:tcPr>
          <w:p w14:paraId="16A84E75"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98,8</w:t>
            </w:r>
          </w:p>
        </w:tc>
        <w:tc>
          <w:tcPr>
            <w:tcW w:w="1169" w:type="dxa"/>
            <w:gridSpan w:val="2"/>
            <w:tcBorders>
              <w:top w:val="nil"/>
              <w:left w:val="nil"/>
              <w:bottom w:val="single" w:sz="4" w:space="0" w:color="auto"/>
              <w:right w:val="nil"/>
            </w:tcBorders>
            <w:vAlign w:val="center"/>
            <w:hideMark/>
          </w:tcPr>
          <w:p w14:paraId="51D6AA55"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98,8</w:t>
            </w:r>
          </w:p>
        </w:tc>
        <w:tc>
          <w:tcPr>
            <w:tcW w:w="1171" w:type="dxa"/>
            <w:gridSpan w:val="2"/>
            <w:tcBorders>
              <w:top w:val="nil"/>
              <w:left w:val="nil"/>
              <w:bottom w:val="single" w:sz="4" w:space="0" w:color="auto"/>
              <w:right w:val="nil"/>
            </w:tcBorders>
            <w:vAlign w:val="center"/>
            <w:hideMark/>
          </w:tcPr>
          <w:p w14:paraId="33515D54"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98,8</w:t>
            </w:r>
          </w:p>
        </w:tc>
        <w:tc>
          <w:tcPr>
            <w:tcW w:w="1169" w:type="dxa"/>
            <w:gridSpan w:val="2"/>
            <w:tcBorders>
              <w:top w:val="nil"/>
              <w:left w:val="nil"/>
              <w:bottom w:val="single" w:sz="4" w:space="0" w:color="auto"/>
              <w:right w:val="nil"/>
            </w:tcBorders>
          </w:tcPr>
          <w:p w14:paraId="53762499"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98,8</w:t>
            </w:r>
          </w:p>
        </w:tc>
        <w:tc>
          <w:tcPr>
            <w:tcW w:w="1171" w:type="dxa"/>
            <w:tcBorders>
              <w:top w:val="nil"/>
              <w:left w:val="nil"/>
              <w:bottom w:val="single" w:sz="4" w:space="0" w:color="auto"/>
              <w:right w:val="nil"/>
            </w:tcBorders>
          </w:tcPr>
          <w:p w14:paraId="7666ED8D" w14:textId="77777777" w:rsidR="003E0F58" w:rsidRPr="00FC13F5" w:rsidRDefault="003E0F58" w:rsidP="004D2249">
            <w:pPr>
              <w:jc w:val="right"/>
              <w:rPr>
                <w:rFonts w:cs="Times New Roman"/>
                <w:color w:val="000000"/>
                <w:sz w:val="20"/>
                <w:szCs w:val="20"/>
                <w:lang w:val="cs-CZ"/>
              </w:rPr>
            </w:pPr>
            <w:r w:rsidRPr="00FC13F5">
              <w:rPr>
                <w:rFonts w:cs="Times New Roman"/>
                <w:sz w:val="20"/>
                <w:szCs w:val="20"/>
                <w:lang w:val="cs-CZ"/>
              </w:rPr>
              <w:t>98,7</w:t>
            </w:r>
          </w:p>
        </w:tc>
      </w:tr>
      <w:tr w:rsidR="003E0F58" w:rsidRPr="00FC13F5" w14:paraId="34217D2B" w14:textId="77777777" w:rsidTr="005F68F2">
        <w:trPr>
          <w:gridBefore w:val="1"/>
          <w:gridAfter w:val="2"/>
          <w:wBefore w:w="316" w:type="dxa"/>
          <w:wAfter w:w="1765" w:type="dxa"/>
          <w:trHeight w:val="280"/>
        </w:trPr>
        <w:tc>
          <w:tcPr>
            <w:tcW w:w="1274" w:type="dxa"/>
            <w:gridSpan w:val="2"/>
            <w:vMerge w:val="restart"/>
            <w:tcBorders>
              <w:top w:val="single" w:sz="4" w:space="0" w:color="auto"/>
              <w:left w:val="nil"/>
              <w:bottom w:val="single" w:sz="4" w:space="0" w:color="000000"/>
              <w:right w:val="nil"/>
            </w:tcBorders>
            <w:noWrap/>
            <w:vAlign w:val="center"/>
            <w:hideMark/>
          </w:tcPr>
          <w:p w14:paraId="4CB9AA36" w14:textId="77777777" w:rsidR="003E0F58" w:rsidRPr="00FC13F5" w:rsidRDefault="003E0F58" w:rsidP="0006094E">
            <w:pPr>
              <w:keepNext/>
              <w:jc w:val="left"/>
              <w:rPr>
                <w:rFonts w:cs="Times New Roman"/>
                <w:color w:val="000000"/>
                <w:sz w:val="20"/>
                <w:szCs w:val="20"/>
                <w:lang w:val="cs-CZ"/>
              </w:rPr>
            </w:pPr>
            <w:r w:rsidRPr="00FC13F5">
              <w:rPr>
                <w:rFonts w:cs="Times New Roman"/>
                <w:bCs/>
                <w:color w:val="000000"/>
                <w:sz w:val="20"/>
                <w:szCs w:val="20"/>
                <w:lang w:val="cs-CZ"/>
              </w:rPr>
              <w:lastRenderedPageBreak/>
              <w:t>Dřevina</w:t>
            </w:r>
          </w:p>
        </w:tc>
        <w:tc>
          <w:tcPr>
            <w:tcW w:w="6868" w:type="dxa"/>
            <w:gridSpan w:val="12"/>
            <w:tcBorders>
              <w:top w:val="single" w:sz="4" w:space="0" w:color="auto"/>
              <w:left w:val="nil"/>
              <w:bottom w:val="nil"/>
              <w:right w:val="nil"/>
            </w:tcBorders>
            <w:noWrap/>
            <w:vAlign w:val="center"/>
            <w:hideMark/>
          </w:tcPr>
          <w:p w14:paraId="09C3B5C8" w14:textId="77777777" w:rsidR="003E0F58" w:rsidRPr="00FC13F5" w:rsidRDefault="003E0F58" w:rsidP="0006094E">
            <w:pPr>
              <w:keepNext/>
              <w:jc w:val="left"/>
              <w:rPr>
                <w:rFonts w:cs="Times New Roman"/>
                <w:color w:val="000000"/>
                <w:sz w:val="20"/>
                <w:szCs w:val="20"/>
                <w:lang w:val="cs-CZ"/>
              </w:rPr>
            </w:pPr>
            <w:r w:rsidRPr="00FC13F5">
              <w:rPr>
                <w:rFonts w:cs="Times New Roman"/>
                <w:bCs/>
                <w:color w:val="000000"/>
                <w:sz w:val="20"/>
                <w:szCs w:val="20"/>
                <w:lang w:val="cs-CZ"/>
              </w:rPr>
              <w:t>Rok</w:t>
            </w:r>
          </w:p>
        </w:tc>
      </w:tr>
      <w:tr w:rsidR="003E0F58" w:rsidRPr="00FC13F5" w14:paraId="579F3B0B" w14:textId="77777777" w:rsidTr="005F68F2">
        <w:trPr>
          <w:gridBefore w:val="1"/>
          <w:gridAfter w:val="2"/>
          <w:wBefore w:w="316" w:type="dxa"/>
          <w:wAfter w:w="1768" w:type="dxa"/>
          <w:trHeight w:val="280"/>
        </w:trPr>
        <w:tc>
          <w:tcPr>
            <w:tcW w:w="1274" w:type="dxa"/>
            <w:gridSpan w:val="2"/>
            <w:vMerge/>
            <w:tcBorders>
              <w:top w:val="single" w:sz="4" w:space="0" w:color="auto"/>
              <w:left w:val="nil"/>
              <w:bottom w:val="single" w:sz="4" w:space="0" w:color="000000"/>
              <w:right w:val="nil"/>
            </w:tcBorders>
            <w:vAlign w:val="center"/>
            <w:hideMark/>
          </w:tcPr>
          <w:p w14:paraId="03CBA75A" w14:textId="77777777" w:rsidR="003E0F58" w:rsidRPr="00FC13F5" w:rsidRDefault="003E0F58" w:rsidP="0006094E">
            <w:pPr>
              <w:keepNext/>
              <w:jc w:val="left"/>
              <w:rPr>
                <w:rFonts w:cs="Times New Roman"/>
                <w:color w:val="000000"/>
                <w:sz w:val="20"/>
                <w:szCs w:val="20"/>
                <w:lang w:val="cs-CZ"/>
              </w:rPr>
            </w:pPr>
          </w:p>
        </w:tc>
        <w:tc>
          <w:tcPr>
            <w:tcW w:w="1018" w:type="dxa"/>
            <w:gridSpan w:val="2"/>
            <w:noWrap/>
            <w:vAlign w:val="center"/>
            <w:hideMark/>
          </w:tcPr>
          <w:p w14:paraId="36DFDB2C" w14:textId="77777777" w:rsidR="003E0F58" w:rsidRPr="00FC13F5" w:rsidRDefault="003E0F58" w:rsidP="0006094E">
            <w:pPr>
              <w:keepNext/>
              <w:jc w:val="right"/>
              <w:rPr>
                <w:rFonts w:cs="Times New Roman"/>
                <w:b/>
                <w:bCs/>
                <w:color w:val="000000"/>
                <w:sz w:val="20"/>
                <w:szCs w:val="20"/>
                <w:lang w:val="cs-CZ"/>
              </w:rPr>
            </w:pPr>
            <w:r w:rsidRPr="00FC13F5">
              <w:rPr>
                <w:rFonts w:cs="Times New Roman"/>
                <w:b/>
                <w:bCs/>
                <w:color w:val="000000"/>
                <w:sz w:val="20"/>
                <w:szCs w:val="20"/>
                <w:lang w:val="cs-CZ"/>
              </w:rPr>
              <w:t>2000</w:t>
            </w:r>
          </w:p>
        </w:tc>
        <w:tc>
          <w:tcPr>
            <w:tcW w:w="1169" w:type="dxa"/>
            <w:gridSpan w:val="2"/>
            <w:noWrap/>
            <w:vAlign w:val="center"/>
            <w:hideMark/>
          </w:tcPr>
          <w:p w14:paraId="44E7F8A8" w14:textId="77777777" w:rsidR="003E0F58" w:rsidRPr="00FC13F5" w:rsidRDefault="003E0F58" w:rsidP="0006094E">
            <w:pPr>
              <w:keepNext/>
              <w:jc w:val="right"/>
              <w:rPr>
                <w:rFonts w:cs="Times New Roman"/>
                <w:b/>
                <w:bCs/>
                <w:color w:val="000000"/>
                <w:sz w:val="20"/>
                <w:szCs w:val="20"/>
                <w:lang w:val="cs-CZ"/>
              </w:rPr>
            </w:pPr>
            <w:r w:rsidRPr="00FC13F5">
              <w:rPr>
                <w:rFonts w:cs="Times New Roman"/>
                <w:b/>
                <w:bCs/>
                <w:color w:val="000000"/>
                <w:sz w:val="20"/>
                <w:szCs w:val="20"/>
                <w:lang w:val="cs-CZ"/>
              </w:rPr>
              <w:t>2010</w:t>
            </w:r>
          </w:p>
        </w:tc>
        <w:tc>
          <w:tcPr>
            <w:tcW w:w="1169" w:type="dxa"/>
            <w:gridSpan w:val="2"/>
            <w:noWrap/>
            <w:vAlign w:val="center"/>
            <w:hideMark/>
          </w:tcPr>
          <w:p w14:paraId="123B1E6C" w14:textId="77777777" w:rsidR="003E0F58" w:rsidRPr="00FC13F5" w:rsidRDefault="003E0F58" w:rsidP="0006094E">
            <w:pPr>
              <w:keepNext/>
              <w:jc w:val="right"/>
              <w:rPr>
                <w:rFonts w:cs="Times New Roman"/>
                <w:b/>
                <w:bCs/>
                <w:color w:val="000000"/>
                <w:sz w:val="20"/>
                <w:szCs w:val="20"/>
                <w:lang w:val="cs-CZ"/>
              </w:rPr>
            </w:pPr>
            <w:r w:rsidRPr="00FC13F5">
              <w:rPr>
                <w:rFonts w:cs="Times New Roman"/>
                <w:b/>
                <w:bCs/>
                <w:color w:val="000000"/>
                <w:sz w:val="20"/>
                <w:szCs w:val="20"/>
                <w:lang w:val="cs-CZ"/>
              </w:rPr>
              <w:t>2014</w:t>
            </w:r>
          </w:p>
        </w:tc>
        <w:tc>
          <w:tcPr>
            <w:tcW w:w="1169" w:type="dxa"/>
            <w:gridSpan w:val="2"/>
            <w:noWrap/>
            <w:vAlign w:val="center"/>
            <w:hideMark/>
          </w:tcPr>
          <w:p w14:paraId="010AE377" w14:textId="77777777" w:rsidR="003E0F58" w:rsidRPr="00FC13F5" w:rsidRDefault="003E0F58" w:rsidP="0006094E">
            <w:pPr>
              <w:keepNext/>
              <w:jc w:val="right"/>
              <w:rPr>
                <w:rFonts w:cs="Times New Roman"/>
                <w:b/>
                <w:bCs/>
                <w:color w:val="000000"/>
                <w:sz w:val="20"/>
                <w:szCs w:val="20"/>
                <w:lang w:val="cs-CZ"/>
              </w:rPr>
            </w:pPr>
            <w:r w:rsidRPr="00FC13F5">
              <w:rPr>
                <w:rFonts w:cs="Times New Roman"/>
                <w:b/>
                <w:bCs/>
                <w:color w:val="000000"/>
                <w:sz w:val="20"/>
                <w:szCs w:val="20"/>
                <w:lang w:val="cs-CZ"/>
              </w:rPr>
              <w:t>2015</w:t>
            </w:r>
          </w:p>
        </w:tc>
        <w:tc>
          <w:tcPr>
            <w:tcW w:w="1169" w:type="dxa"/>
            <w:gridSpan w:val="2"/>
            <w:noWrap/>
            <w:vAlign w:val="center"/>
            <w:hideMark/>
          </w:tcPr>
          <w:p w14:paraId="19C4F19F" w14:textId="77777777" w:rsidR="003E0F58" w:rsidRPr="00FC13F5" w:rsidRDefault="003E0F58" w:rsidP="0006094E">
            <w:pPr>
              <w:keepNext/>
              <w:jc w:val="right"/>
              <w:rPr>
                <w:rFonts w:cs="Times New Roman"/>
                <w:b/>
                <w:bCs/>
                <w:color w:val="000000"/>
                <w:sz w:val="20"/>
                <w:szCs w:val="20"/>
                <w:lang w:val="cs-CZ"/>
              </w:rPr>
            </w:pPr>
            <w:r w:rsidRPr="00FC13F5">
              <w:rPr>
                <w:rFonts w:cs="Times New Roman"/>
                <w:b/>
                <w:bCs/>
                <w:color w:val="000000"/>
                <w:sz w:val="20"/>
                <w:szCs w:val="20"/>
                <w:lang w:val="cs-CZ"/>
              </w:rPr>
              <w:t>2016</w:t>
            </w:r>
          </w:p>
        </w:tc>
        <w:tc>
          <w:tcPr>
            <w:tcW w:w="1171" w:type="dxa"/>
            <w:gridSpan w:val="2"/>
            <w:vAlign w:val="center"/>
            <w:hideMark/>
          </w:tcPr>
          <w:p w14:paraId="33762CBE" w14:textId="77777777" w:rsidR="003E0F58" w:rsidRPr="00FC13F5" w:rsidRDefault="003E0F58" w:rsidP="0006094E">
            <w:pPr>
              <w:keepNext/>
              <w:jc w:val="right"/>
              <w:rPr>
                <w:rFonts w:cs="Times New Roman"/>
                <w:b/>
                <w:bCs/>
                <w:color w:val="000000"/>
                <w:sz w:val="20"/>
                <w:szCs w:val="20"/>
                <w:lang w:val="cs-CZ"/>
              </w:rPr>
            </w:pPr>
            <w:r w:rsidRPr="00FC13F5">
              <w:rPr>
                <w:rFonts w:cs="Times New Roman"/>
                <w:b/>
                <w:bCs/>
                <w:color w:val="000000"/>
                <w:sz w:val="20"/>
                <w:szCs w:val="20"/>
                <w:lang w:val="cs-CZ"/>
              </w:rPr>
              <w:t>2017</w:t>
            </w:r>
          </w:p>
        </w:tc>
      </w:tr>
      <w:tr w:rsidR="003E0F58" w:rsidRPr="00FC13F5" w14:paraId="35B3205A" w14:textId="77777777" w:rsidTr="005F68F2">
        <w:trPr>
          <w:gridBefore w:val="1"/>
          <w:gridAfter w:val="2"/>
          <w:wBefore w:w="316" w:type="dxa"/>
          <w:wAfter w:w="1765" w:type="dxa"/>
          <w:trHeight w:val="280"/>
        </w:trPr>
        <w:tc>
          <w:tcPr>
            <w:tcW w:w="1274" w:type="dxa"/>
            <w:gridSpan w:val="2"/>
            <w:vMerge/>
            <w:tcBorders>
              <w:top w:val="single" w:sz="4" w:space="0" w:color="auto"/>
              <w:left w:val="nil"/>
              <w:bottom w:val="single" w:sz="4" w:space="0" w:color="000000"/>
              <w:right w:val="nil"/>
            </w:tcBorders>
            <w:vAlign w:val="center"/>
            <w:hideMark/>
          </w:tcPr>
          <w:p w14:paraId="12A8F82B" w14:textId="77777777" w:rsidR="003E0F58" w:rsidRPr="00FC13F5" w:rsidRDefault="003E0F58" w:rsidP="00B52450">
            <w:pPr>
              <w:keepNext/>
              <w:jc w:val="left"/>
              <w:rPr>
                <w:rFonts w:cs="Times New Roman"/>
                <w:color w:val="000000"/>
                <w:sz w:val="20"/>
                <w:szCs w:val="20"/>
                <w:lang w:val="cs-CZ"/>
              </w:rPr>
            </w:pPr>
          </w:p>
        </w:tc>
        <w:tc>
          <w:tcPr>
            <w:tcW w:w="6868" w:type="dxa"/>
            <w:gridSpan w:val="12"/>
            <w:tcBorders>
              <w:top w:val="nil"/>
              <w:left w:val="nil"/>
              <w:bottom w:val="single" w:sz="4" w:space="0" w:color="auto"/>
              <w:right w:val="nil"/>
            </w:tcBorders>
            <w:noWrap/>
            <w:vAlign w:val="center"/>
            <w:hideMark/>
          </w:tcPr>
          <w:p w14:paraId="77453946" w14:textId="77777777" w:rsidR="003E0F58" w:rsidRPr="00FC13F5" w:rsidRDefault="003E0F58" w:rsidP="00B52450">
            <w:pPr>
              <w:keepNext/>
              <w:jc w:val="center"/>
              <w:rPr>
                <w:rFonts w:cs="Times New Roman"/>
                <w:color w:val="000000"/>
                <w:sz w:val="20"/>
                <w:szCs w:val="20"/>
                <w:lang w:val="cs-CZ"/>
              </w:rPr>
            </w:pPr>
            <w:r w:rsidRPr="00FC13F5">
              <w:rPr>
                <w:rFonts w:cs="Times New Roman"/>
                <w:bCs/>
                <w:color w:val="000000"/>
                <w:sz w:val="20"/>
                <w:szCs w:val="20"/>
                <w:lang w:val="cs-CZ"/>
              </w:rPr>
              <w:t>plocha porostní půdy ha / %</w:t>
            </w:r>
          </w:p>
        </w:tc>
      </w:tr>
      <w:tr w:rsidR="003E0F58" w:rsidRPr="00FC13F5" w14:paraId="314CF290" w14:textId="77777777" w:rsidTr="005F68F2">
        <w:trPr>
          <w:gridBefore w:val="1"/>
          <w:gridAfter w:val="2"/>
          <w:wBefore w:w="316" w:type="dxa"/>
          <w:wAfter w:w="1768" w:type="dxa"/>
          <w:trHeight w:val="280"/>
        </w:trPr>
        <w:tc>
          <w:tcPr>
            <w:tcW w:w="1274" w:type="dxa"/>
            <w:gridSpan w:val="2"/>
            <w:vMerge w:val="restart"/>
            <w:tcBorders>
              <w:top w:val="nil"/>
              <w:left w:val="nil"/>
              <w:bottom w:val="single" w:sz="4" w:space="0" w:color="000000"/>
              <w:right w:val="nil"/>
            </w:tcBorders>
            <w:hideMark/>
          </w:tcPr>
          <w:p w14:paraId="33ECE228" w14:textId="77777777" w:rsidR="003E0F58" w:rsidRPr="00FC13F5" w:rsidRDefault="003E0F58" w:rsidP="0006094E">
            <w:pPr>
              <w:keepNext/>
              <w:jc w:val="left"/>
              <w:rPr>
                <w:rFonts w:cs="Times New Roman"/>
                <w:color w:val="000000"/>
                <w:sz w:val="20"/>
                <w:szCs w:val="20"/>
                <w:lang w:val="cs-CZ"/>
              </w:rPr>
            </w:pPr>
            <w:r w:rsidRPr="00FC13F5">
              <w:rPr>
                <w:rFonts w:cs="Times New Roman"/>
                <w:bCs/>
                <w:color w:val="000000"/>
                <w:sz w:val="20"/>
                <w:szCs w:val="20"/>
                <w:lang w:val="cs-CZ"/>
              </w:rPr>
              <w:t xml:space="preserve">smrk ztepilý </w:t>
            </w:r>
          </w:p>
        </w:tc>
        <w:tc>
          <w:tcPr>
            <w:tcW w:w="1018" w:type="dxa"/>
            <w:gridSpan w:val="2"/>
            <w:vAlign w:val="center"/>
            <w:hideMark/>
          </w:tcPr>
          <w:p w14:paraId="21ACDA9F" w14:textId="77777777" w:rsidR="003E0F58" w:rsidRPr="00FC13F5" w:rsidRDefault="003E0F58" w:rsidP="0006094E">
            <w:pPr>
              <w:keepNext/>
              <w:jc w:val="right"/>
              <w:rPr>
                <w:rFonts w:cs="Times New Roman"/>
                <w:color w:val="000000"/>
                <w:sz w:val="20"/>
                <w:szCs w:val="20"/>
                <w:lang w:val="cs-CZ"/>
              </w:rPr>
            </w:pPr>
            <w:r w:rsidRPr="00FC13F5">
              <w:rPr>
                <w:rFonts w:cs="Times New Roman"/>
                <w:color w:val="000000"/>
                <w:sz w:val="20"/>
                <w:szCs w:val="20"/>
                <w:lang w:val="cs-CZ"/>
              </w:rPr>
              <w:t>1 397 012</w:t>
            </w:r>
          </w:p>
        </w:tc>
        <w:tc>
          <w:tcPr>
            <w:tcW w:w="1169" w:type="dxa"/>
            <w:gridSpan w:val="2"/>
            <w:vAlign w:val="center"/>
            <w:hideMark/>
          </w:tcPr>
          <w:p w14:paraId="7F4BC12D" w14:textId="77777777" w:rsidR="003E0F58" w:rsidRPr="00FC13F5" w:rsidRDefault="003E0F58" w:rsidP="0006094E">
            <w:pPr>
              <w:keepNext/>
              <w:jc w:val="right"/>
              <w:rPr>
                <w:rFonts w:cs="Times New Roman"/>
                <w:color w:val="000000"/>
                <w:sz w:val="20"/>
                <w:szCs w:val="20"/>
                <w:lang w:val="cs-CZ"/>
              </w:rPr>
            </w:pPr>
            <w:r w:rsidRPr="00FC13F5">
              <w:rPr>
                <w:rFonts w:cs="Times New Roman"/>
                <w:color w:val="000000"/>
                <w:sz w:val="20"/>
                <w:szCs w:val="20"/>
                <w:lang w:val="cs-CZ"/>
              </w:rPr>
              <w:t>1 347 239</w:t>
            </w:r>
          </w:p>
        </w:tc>
        <w:tc>
          <w:tcPr>
            <w:tcW w:w="1169" w:type="dxa"/>
            <w:gridSpan w:val="2"/>
            <w:vAlign w:val="center"/>
            <w:hideMark/>
          </w:tcPr>
          <w:p w14:paraId="183EDD20" w14:textId="77777777" w:rsidR="003E0F58" w:rsidRPr="00FC13F5" w:rsidRDefault="003E0F58" w:rsidP="0006094E">
            <w:pPr>
              <w:keepNext/>
              <w:jc w:val="right"/>
              <w:rPr>
                <w:rFonts w:cs="Times New Roman"/>
                <w:color w:val="000000"/>
                <w:sz w:val="20"/>
                <w:szCs w:val="20"/>
                <w:lang w:val="cs-CZ"/>
              </w:rPr>
            </w:pPr>
            <w:r w:rsidRPr="00FC13F5">
              <w:rPr>
                <w:rFonts w:cs="Times New Roman"/>
                <w:color w:val="000000"/>
                <w:sz w:val="20"/>
                <w:szCs w:val="20"/>
                <w:lang w:val="cs-CZ"/>
              </w:rPr>
              <w:t>1 319 733</w:t>
            </w:r>
          </w:p>
        </w:tc>
        <w:tc>
          <w:tcPr>
            <w:tcW w:w="1169" w:type="dxa"/>
            <w:gridSpan w:val="2"/>
            <w:vAlign w:val="center"/>
            <w:hideMark/>
          </w:tcPr>
          <w:p w14:paraId="3EB5DF2E" w14:textId="77777777" w:rsidR="003E0F58" w:rsidRPr="00FC13F5" w:rsidRDefault="003E0F58" w:rsidP="0006094E">
            <w:pPr>
              <w:keepNext/>
              <w:jc w:val="right"/>
              <w:rPr>
                <w:rFonts w:cs="Times New Roman"/>
                <w:color w:val="000000"/>
                <w:sz w:val="20"/>
                <w:szCs w:val="20"/>
                <w:lang w:val="cs-CZ"/>
              </w:rPr>
            </w:pPr>
            <w:r w:rsidRPr="00FC13F5">
              <w:rPr>
                <w:rFonts w:cs="Times New Roman"/>
                <w:color w:val="000000"/>
                <w:sz w:val="20"/>
                <w:szCs w:val="20"/>
                <w:lang w:val="cs-CZ"/>
              </w:rPr>
              <w:t>1 315 487</w:t>
            </w:r>
          </w:p>
        </w:tc>
        <w:tc>
          <w:tcPr>
            <w:tcW w:w="1169" w:type="dxa"/>
            <w:gridSpan w:val="2"/>
            <w:vAlign w:val="center"/>
            <w:hideMark/>
          </w:tcPr>
          <w:p w14:paraId="623FB748" w14:textId="77777777" w:rsidR="003E0F58" w:rsidRPr="00FC13F5" w:rsidRDefault="003E0F58" w:rsidP="0006094E">
            <w:pPr>
              <w:keepNext/>
              <w:jc w:val="right"/>
              <w:rPr>
                <w:rFonts w:cs="Times New Roman"/>
                <w:color w:val="000000"/>
                <w:sz w:val="20"/>
                <w:szCs w:val="20"/>
                <w:lang w:val="cs-CZ"/>
              </w:rPr>
            </w:pPr>
            <w:r w:rsidRPr="00FC13F5">
              <w:rPr>
                <w:rFonts w:cs="Times New Roman"/>
                <w:color w:val="000000"/>
                <w:sz w:val="20"/>
                <w:szCs w:val="20"/>
                <w:lang w:val="cs-CZ"/>
              </w:rPr>
              <w:t>1 312 204</w:t>
            </w:r>
          </w:p>
        </w:tc>
        <w:tc>
          <w:tcPr>
            <w:tcW w:w="1171" w:type="dxa"/>
            <w:gridSpan w:val="2"/>
            <w:vAlign w:val="center"/>
            <w:hideMark/>
          </w:tcPr>
          <w:p w14:paraId="4167419D" w14:textId="77777777" w:rsidR="003E0F58" w:rsidRPr="00FC13F5" w:rsidRDefault="003E0F58" w:rsidP="0006094E">
            <w:pPr>
              <w:keepNext/>
              <w:jc w:val="right"/>
              <w:rPr>
                <w:rFonts w:cs="Times New Roman"/>
                <w:color w:val="000000"/>
                <w:sz w:val="20"/>
                <w:szCs w:val="20"/>
                <w:lang w:val="cs-CZ"/>
              </w:rPr>
            </w:pPr>
            <w:r w:rsidRPr="00FC13F5">
              <w:rPr>
                <w:rFonts w:cs="Times New Roman"/>
                <w:color w:val="000000"/>
                <w:sz w:val="20"/>
                <w:szCs w:val="20"/>
                <w:lang w:val="cs-CZ"/>
              </w:rPr>
              <w:t>1 308 432</w:t>
            </w:r>
          </w:p>
        </w:tc>
      </w:tr>
      <w:tr w:rsidR="003E0F58" w:rsidRPr="00FC13F5" w14:paraId="7A8C68A3" w14:textId="77777777" w:rsidTr="005F68F2">
        <w:trPr>
          <w:gridBefore w:val="1"/>
          <w:gridAfter w:val="2"/>
          <w:wBefore w:w="316" w:type="dxa"/>
          <w:wAfter w:w="1768" w:type="dxa"/>
          <w:trHeight w:val="280"/>
        </w:trPr>
        <w:tc>
          <w:tcPr>
            <w:tcW w:w="1274" w:type="dxa"/>
            <w:gridSpan w:val="2"/>
            <w:vMerge/>
            <w:tcBorders>
              <w:top w:val="nil"/>
              <w:left w:val="nil"/>
              <w:bottom w:val="single" w:sz="4" w:space="0" w:color="000000"/>
              <w:right w:val="nil"/>
            </w:tcBorders>
            <w:vAlign w:val="center"/>
            <w:hideMark/>
          </w:tcPr>
          <w:p w14:paraId="70023F93" w14:textId="77777777" w:rsidR="003E0F58" w:rsidRPr="00FC13F5" w:rsidRDefault="003E0F58" w:rsidP="0006094E">
            <w:pPr>
              <w:keepNext/>
              <w:jc w:val="left"/>
              <w:rPr>
                <w:rFonts w:cs="Times New Roman"/>
                <w:color w:val="000000"/>
                <w:sz w:val="20"/>
                <w:szCs w:val="20"/>
                <w:lang w:val="cs-CZ"/>
              </w:rPr>
            </w:pPr>
          </w:p>
        </w:tc>
        <w:tc>
          <w:tcPr>
            <w:tcW w:w="1018" w:type="dxa"/>
            <w:gridSpan w:val="2"/>
            <w:tcBorders>
              <w:top w:val="nil"/>
              <w:left w:val="nil"/>
              <w:bottom w:val="single" w:sz="4" w:space="0" w:color="auto"/>
              <w:right w:val="nil"/>
            </w:tcBorders>
            <w:vAlign w:val="center"/>
            <w:hideMark/>
          </w:tcPr>
          <w:p w14:paraId="214DCC43" w14:textId="77777777" w:rsidR="003E0F58" w:rsidRPr="00FC13F5" w:rsidRDefault="003E0F58" w:rsidP="0006094E">
            <w:pPr>
              <w:keepNext/>
              <w:jc w:val="right"/>
              <w:rPr>
                <w:rFonts w:cs="Times New Roman"/>
                <w:color w:val="000000"/>
                <w:sz w:val="20"/>
                <w:szCs w:val="20"/>
                <w:lang w:val="cs-CZ"/>
              </w:rPr>
            </w:pPr>
            <w:r w:rsidRPr="00FC13F5">
              <w:rPr>
                <w:rFonts w:cs="Times New Roman"/>
                <w:color w:val="000000"/>
                <w:sz w:val="20"/>
                <w:szCs w:val="20"/>
                <w:lang w:val="cs-CZ"/>
              </w:rPr>
              <w:t>54,1</w:t>
            </w:r>
          </w:p>
        </w:tc>
        <w:tc>
          <w:tcPr>
            <w:tcW w:w="1169" w:type="dxa"/>
            <w:gridSpan w:val="2"/>
            <w:tcBorders>
              <w:top w:val="nil"/>
              <w:left w:val="nil"/>
              <w:bottom w:val="single" w:sz="4" w:space="0" w:color="auto"/>
              <w:right w:val="nil"/>
            </w:tcBorders>
            <w:vAlign w:val="center"/>
            <w:hideMark/>
          </w:tcPr>
          <w:p w14:paraId="40A1E282" w14:textId="77777777" w:rsidR="003E0F58" w:rsidRPr="00FC13F5" w:rsidRDefault="003E0F58" w:rsidP="0006094E">
            <w:pPr>
              <w:keepNext/>
              <w:jc w:val="right"/>
              <w:rPr>
                <w:rFonts w:cs="Times New Roman"/>
                <w:color w:val="000000"/>
                <w:sz w:val="20"/>
                <w:szCs w:val="20"/>
                <w:lang w:val="cs-CZ"/>
              </w:rPr>
            </w:pPr>
            <w:r w:rsidRPr="00FC13F5">
              <w:rPr>
                <w:rFonts w:cs="Times New Roman"/>
                <w:color w:val="000000"/>
                <w:sz w:val="20"/>
                <w:szCs w:val="20"/>
                <w:lang w:val="cs-CZ"/>
              </w:rPr>
              <w:t>51,9</w:t>
            </w:r>
          </w:p>
        </w:tc>
        <w:tc>
          <w:tcPr>
            <w:tcW w:w="1169" w:type="dxa"/>
            <w:gridSpan w:val="2"/>
            <w:tcBorders>
              <w:top w:val="nil"/>
              <w:left w:val="nil"/>
              <w:bottom w:val="single" w:sz="4" w:space="0" w:color="auto"/>
              <w:right w:val="nil"/>
            </w:tcBorders>
            <w:vAlign w:val="center"/>
            <w:hideMark/>
          </w:tcPr>
          <w:p w14:paraId="1D7B6999" w14:textId="77777777" w:rsidR="003E0F58" w:rsidRPr="00FC13F5" w:rsidRDefault="003E0F58" w:rsidP="0006094E">
            <w:pPr>
              <w:keepNext/>
              <w:jc w:val="right"/>
              <w:rPr>
                <w:rFonts w:cs="Times New Roman"/>
                <w:color w:val="000000"/>
                <w:sz w:val="20"/>
                <w:szCs w:val="20"/>
                <w:lang w:val="cs-CZ"/>
              </w:rPr>
            </w:pPr>
            <w:r w:rsidRPr="00FC13F5">
              <w:rPr>
                <w:rFonts w:cs="Times New Roman"/>
                <w:color w:val="000000"/>
                <w:sz w:val="20"/>
                <w:szCs w:val="20"/>
                <w:lang w:val="cs-CZ"/>
              </w:rPr>
              <w:t>50,7</w:t>
            </w:r>
          </w:p>
        </w:tc>
        <w:tc>
          <w:tcPr>
            <w:tcW w:w="1169" w:type="dxa"/>
            <w:gridSpan w:val="2"/>
            <w:tcBorders>
              <w:top w:val="nil"/>
              <w:left w:val="nil"/>
              <w:bottom w:val="single" w:sz="4" w:space="0" w:color="auto"/>
              <w:right w:val="nil"/>
            </w:tcBorders>
            <w:vAlign w:val="center"/>
            <w:hideMark/>
          </w:tcPr>
          <w:p w14:paraId="228EDA4A" w14:textId="77777777" w:rsidR="003E0F58" w:rsidRPr="00FC13F5" w:rsidRDefault="003E0F58" w:rsidP="0006094E">
            <w:pPr>
              <w:keepNext/>
              <w:jc w:val="right"/>
              <w:rPr>
                <w:rFonts w:cs="Times New Roman"/>
                <w:color w:val="000000"/>
                <w:sz w:val="20"/>
                <w:szCs w:val="20"/>
                <w:lang w:val="cs-CZ"/>
              </w:rPr>
            </w:pPr>
            <w:r w:rsidRPr="00FC13F5">
              <w:rPr>
                <w:rFonts w:cs="Times New Roman"/>
                <w:color w:val="000000"/>
                <w:sz w:val="20"/>
                <w:szCs w:val="20"/>
                <w:lang w:val="cs-CZ"/>
              </w:rPr>
              <w:t>50,6</w:t>
            </w:r>
          </w:p>
        </w:tc>
        <w:tc>
          <w:tcPr>
            <w:tcW w:w="1169" w:type="dxa"/>
            <w:gridSpan w:val="2"/>
            <w:tcBorders>
              <w:top w:val="nil"/>
              <w:left w:val="nil"/>
              <w:bottom w:val="single" w:sz="4" w:space="0" w:color="auto"/>
              <w:right w:val="nil"/>
            </w:tcBorders>
            <w:vAlign w:val="center"/>
            <w:hideMark/>
          </w:tcPr>
          <w:p w14:paraId="5D591C34" w14:textId="77777777" w:rsidR="003E0F58" w:rsidRPr="00FC13F5" w:rsidRDefault="003E0F58" w:rsidP="0006094E">
            <w:pPr>
              <w:keepNext/>
              <w:jc w:val="right"/>
              <w:rPr>
                <w:rFonts w:cs="Times New Roman"/>
                <w:color w:val="000000"/>
                <w:sz w:val="20"/>
                <w:szCs w:val="20"/>
                <w:lang w:val="cs-CZ"/>
              </w:rPr>
            </w:pPr>
            <w:r w:rsidRPr="00FC13F5">
              <w:rPr>
                <w:rFonts w:cs="Times New Roman"/>
                <w:color w:val="000000"/>
                <w:sz w:val="20"/>
                <w:szCs w:val="20"/>
                <w:lang w:val="cs-CZ"/>
              </w:rPr>
              <w:t>50,5</w:t>
            </w:r>
          </w:p>
        </w:tc>
        <w:tc>
          <w:tcPr>
            <w:tcW w:w="1171" w:type="dxa"/>
            <w:gridSpan w:val="2"/>
            <w:tcBorders>
              <w:top w:val="nil"/>
              <w:left w:val="nil"/>
              <w:bottom w:val="single" w:sz="4" w:space="0" w:color="auto"/>
              <w:right w:val="nil"/>
            </w:tcBorders>
            <w:vAlign w:val="center"/>
            <w:hideMark/>
          </w:tcPr>
          <w:p w14:paraId="3E9BD021" w14:textId="77777777" w:rsidR="003E0F58" w:rsidRPr="00FC13F5" w:rsidRDefault="003E0F58" w:rsidP="0006094E">
            <w:pPr>
              <w:keepNext/>
              <w:jc w:val="right"/>
              <w:rPr>
                <w:rFonts w:cs="Times New Roman"/>
                <w:color w:val="000000"/>
                <w:sz w:val="20"/>
                <w:szCs w:val="20"/>
                <w:lang w:val="cs-CZ"/>
              </w:rPr>
            </w:pPr>
            <w:r w:rsidRPr="00FC13F5">
              <w:rPr>
                <w:rFonts w:cs="Times New Roman"/>
                <w:color w:val="000000"/>
                <w:sz w:val="20"/>
                <w:szCs w:val="20"/>
                <w:lang w:val="cs-CZ"/>
              </w:rPr>
              <w:t>50,3</w:t>
            </w:r>
          </w:p>
        </w:tc>
      </w:tr>
      <w:tr w:rsidR="003E0F58" w:rsidRPr="00FC13F5" w14:paraId="16AB9E7D" w14:textId="77777777" w:rsidTr="005F68F2">
        <w:trPr>
          <w:gridBefore w:val="1"/>
          <w:gridAfter w:val="2"/>
          <w:wBefore w:w="316" w:type="dxa"/>
          <w:wAfter w:w="1768" w:type="dxa"/>
          <w:trHeight w:val="280"/>
        </w:trPr>
        <w:tc>
          <w:tcPr>
            <w:tcW w:w="1274" w:type="dxa"/>
            <w:gridSpan w:val="2"/>
            <w:vMerge w:val="restart"/>
            <w:tcBorders>
              <w:top w:val="nil"/>
              <w:left w:val="nil"/>
              <w:bottom w:val="single" w:sz="4" w:space="0" w:color="000000"/>
              <w:right w:val="nil"/>
            </w:tcBorders>
            <w:hideMark/>
          </w:tcPr>
          <w:p w14:paraId="77972F92" w14:textId="77777777" w:rsidR="003E0F58" w:rsidRPr="00FC13F5" w:rsidRDefault="003E0F58" w:rsidP="0006094E">
            <w:pPr>
              <w:keepNext/>
              <w:jc w:val="left"/>
              <w:rPr>
                <w:rFonts w:cs="Times New Roman"/>
                <w:color w:val="000000"/>
                <w:sz w:val="20"/>
                <w:szCs w:val="20"/>
                <w:lang w:val="cs-CZ"/>
              </w:rPr>
            </w:pPr>
            <w:r w:rsidRPr="00FC13F5">
              <w:rPr>
                <w:rFonts w:cs="Times New Roman"/>
                <w:bCs/>
                <w:color w:val="000000"/>
                <w:sz w:val="20"/>
                <w:szCs w:val="20"/>
                <w:lang w:val="cs-CZ"/>
              </w:rPr>
              <w:t>jedle</w:t>
            </w:r>
          </w:p>
        </w:tc>
        <w:tc>
          <w:tcPr>
            <w:tcW w:w="1018" w:type="dxa"/>
            <w:gridSpan w:val="2"/>
            <w:vAlign w:val="center"/>
            <w:hideMark/>
          </w:tcPr>
          <w:p w14:paraId="7E08E5B4" w14:textId="77777777" w:rsidR="003E0F58" w:rsidRPr="00FC13F5" w:rsidRDefault="003E0F58" w:rsidP="0006094E">
            <w:pPr>
              <w:keepNext/>
              <w:jc w:val="right"/>
              <w:rPr>
                <w:rFonts w:cs="Times New Roman"/>
                <w:color w:val="000000"/>
                <w:sz w:val="20"/>
                <w:szCs w:val="20"/>
                <w:lang w:val="cs-CZ"/>
              </w:rPr>
            </w:pPr>
            <w:r w:rsidRPr="00FC13F5">
              <w:rPr>
                <w:rFonts w:cs="Times New Roman"/>
                <w:color w:val="000000"/>
                <w:sz w:val="20"/>
                <w:szCs w:val="20"/>
                <w:lang w:val="cs-CZ"/>
              </w:rPr>
              <w:t>23 138</w:t>
            </w:r>
          </w:p>
        </w:tc>
        <w:tc>
          <w:tcPr>
            <w:tcW w:w="1169" w:type="dxa"/>
            <w:gridSpan w:val="2"/>
            <w:vAlign w:val="center"/>
            <w:hideMark/>
          </w:tcPr>
          <w:p w14:paraId="3661195C" w14:textId="77777777" w:rsidR="003E0F58" w:rsidRPr="00FC13F5" w:rsidRDefault="003E0F58" w:rsidP="0006094E">
            <w:pPr>
              <w:keepNext/>
              <w:jc w:val="right"/>
              <w:rPr>
                <w:rFonts w:cs="Times New Roman"/>
                <w:color w:val="000000"/>
                <w:sz w:val="20"/>
                <w:szCs w:val="20"/>
                <w:lang w:val="cs-CZ"/>
              </w:rPr>
            </w:pPr>
            <w:r w:rsidRPr="00FC13F5">
              <w:rPr>
                <w:rFonts w:cs="Times New Roman"/>
                <w:color w:val="000000"/>
                <w:sz w:val="20"/>
                <w:szCs w:val="20"/>
                <w:lang w:val="cs-CZ"/>
              </w:rPr>
              <w:t>25 869</w:t>
            </w:r>
          </w:p>
        </w:tc>
        <w:tc>
          <w:tcPr>
            <w:tcW w:w="1169" w:type="dxa"/>
            <w:gridSpan w:val="2"/>
            <w:vAlign w:val="center"/>
            <w:hideMark/>
          </w:tcPr>
          <w:p w14:paraId="4616B8B6" w14:textId="77777777" w:rsidR="003E0F58" w:rsidRPr="00FC13F5" w:rsidRDefault="003E0F58" w:rsidP="0006094E">
            <w:pPr>
              <w:keepNext/>
              <w:jc w:val="right"/>
              <w:rPr>
                <w:rFonts w:cs="Times New Roman"/>
                <w:color w:val="000000"/>
                <w:sz w:val="20"/>
                <w:szCs w:val="20"/>
                <w:lang w:val="cs-CZ"/>
              </w:rPr>
            </w:pPr>
            <w:r w:rsidRPr="00FC13F5">
              <w:rPr>
                <w:rFonts w:cs="Times New Roman"/>
                <w:color w:val="000000"/>
                <w:sz w:val="20"/>
                <w:szCs w:val="20"/>
                <w:lang w:val="cs-CZ"/>
              </w:rPr>
              <w:t>28 251</w:t>
            </w:r>
          </w:p>
        </w:tc>
        <w:tc>
          <w:tcPr>
            <w:tcW w:w="1169" w:type="dxa"/>
            <w:gridSpan w:val="2"/>
            <w:vAlign w:val="center"/>
            <w:hideMark/>
          </w:tcPr>
          <w:p w14:paraId="70B8F33C" w14:textId="77777777" w:rsidR="003E0F58" w:rsidRPr="00FC13F5" w:rsidRDefault="003E0F58" w:rsidP="0006094E">
            <w:pPr>
              <w:keepNext/>
              <w:jc w:val="right"/>
              <w:rPr>
                <w:rFonts w:cs="Times New Roman"/>
                <w:color w:val="000000"/>
                <w:sz w:val="20"/>
                <w:szCs w:val="20"/>
                <w:lang w:val="cs-CZ"/>
              </w:rPr>
            </w:pPr>
            <w:r w:rsidRPr="00FC13F5">
              <w:rPr>
                <w:rFonts w:cs="Times New Roman"/>
                <w:color w:val="000000"/>
                <w:sz w:val="20"/>
                <w:szCs w:val="20"/>
                <w:lang w:val="cs-CZ"/>
              </w:rPr>
              <w:t>28 699</w:t>
            </w:r>
          </w:p>
        </w:tc>
        <w:tc>
          <w:tcPr>
            <w:tcW w:w="1169" w:type="dxa"/>
            <w:gridSpan w:val="2"/>
            <w:vAlign w:val="center"/>
            <w:hideMark/>
          </w:tcPr>
          <w:p w14:paraId="02582BD4" w14:textId="77777777" w:rsidR="003E0F58" w:rsidRPr="00FC13F5" w:rsidRDefault="003E0F58" w:rsidP="0006094E">
            <w:pPr>
              <w:keepNext/>
              <w:jc w:val="right"/>
              <w:rPr>
                <w:rFonts w:cs="Times New Roman"/>
                <w:color w:val="000000"/>
                <w:sz w:val="20"/>
                <w:szCs w:val="20"/>
                <w:lang w:val="cs-CZ"/>
              </w:rPr>
            </w:pPr>
            <w:r w:rsidRPr="00FC13F5">
              <w:rPr>
                <w:rFonts w:cs="Times New Roman"/>
                <w:color w:val="000000"/>
                <w:sz w:val="20"/>
                <w:szCs w:val="20"/>
                <w:lang w:val="cs-CZ"/>
              </w:rPr>
              <w:t>29 086</w:t>
            </w:r>
          </w:p>
        </w:tc>
        <w:tc>
          <w:tcPr>
            <w:tcW w:w="1171" w:type="dxa"/>
            <w:gridSpan w:val="2"/>
            <w:vAlign w:val="center"/>
            <w:hideMark/>
          </w:tcPr>
          <w:p w14:paraId="0B960E34" w14:textId="77777777" w:rsidR="003E0F58" w:rsidRPr="00FC13F5" w:rsidRDefault="003E0F58" w:rsidP="0006094E">
            <w:pPr>
              <w:keepNext/>
              <w:jc w:val="right"/>
              <w:rPr>
                <w:rFonts w:cs="Times New Roman"/>
                <w:color w:val="000000"/>
                <w:sz w:val="20"/>
                <w:szCs w:val="20"/>
                <w:lang w:val="cs-CZ"/>
              </w:rPr>
            </w:pPr>
            <w:r w:rsidRPr="00FC13F5">
              <w:rPr>
                <w:rFonts w:cs="Times New Roman"/>
                <w:color w:val="000000"/>
                <w:sz w:val="20"/>
                <w:szCs w:val="20"/>
                <w:lang w:val="cs-CZ"/>
              </w:rPr>
              <w:t>29 458</w:t>
            </w:r>
          </w:p>
        </w:tc>
      </w:tr>
      <w:tr w:rsidR="003E0F58" w:rsidRPr="00FC13F5" w14:paraId="6EEBA0EA" w14:textId="77777777" w:rsidTr="005F68F2">
        <w:trPr>
          <w:gridBefore w:val="1"/>
          <w:gridAfter w:val="2"/>
          <w:wBefore w:w="316" w:type="dxa"/>
          <w:wAfter w:w="1768" w:type="dxa"/>
          <w:trHeight w:val="280"/>
        </w:trPr>
        <w:tc>
          <w:tcPr>
            <w:tcW w:w="1274" w:type="dxa"/>
            <w:gridSpan w:val="2"/>
            <w:vMerge/>
            <w:tcBorders>
              <w:top w:val="nil"/>
              <w:left w:val="nil"/>
              <w:bottom w:val="single" w:sz="4" w:space="0" w:color="000000"/>
              <w:right w:val="nil"/>
            </w:tcBorders>
            <w:vAlign w:val="center"/>
            <w:hideMark/>
          </w:tcPr>
          <w:p w14:paraId="50EBD15B" w14:textId="77777777" w:rsidR="003E0F58" w:rsidRPr="00FC13F5" w:rsidRDefault="003E0F58" w:rsidP="0006094E">
            <w:pPr>
              <w:keepNext/>
              <w:jc w:val="left"/>
              <w:rPr>
                <w:rFonts w:cs="Times New Roman"/>
                <w:color w:val="000000"/>
                <w:sz w:val="20"/>
                <w:szCs w:val="20"/>
                <w:lang w:val="cs-CZ"/>
              </w:rPr>
            </w:pPr>
          </w:p>
        </w:tc>
        <w:tc>
          <w:tcPr>
            <w:tcW w:w="1018" w:type="dxa"/>
            <w:gridSpan w:val="2"/>
            <w:tcBorders>
              <w:top w:val="nil"/>
              <w:left w:val="nil"/>
              <w:bottom w:val="single" w:sz="4" w:space="0" w:color="auto"/>
              <w:right w:val="nil"/>
            </w:tcBorders>
            <w:vAlign w:val="center"/>
            <w:hideMark/>
          </w:tcPr>
          <w:p w14:paraId="01CB643F" w14:textId="77777777" w:rsidR="003E0F58" w:rsidRPr="00FC13F5" w:rsidRDefault="003E0F58" w:rsidP="0006094E">
            <w:pPr>
              <w:keepNext/>
              <w:jc w:val="right"/>
              <w:rPr>
                <w:rFonts w:cs="Times New Roman"/>
                <w:color w:val="000000"/>
                <w:sz w:val="20"/>
                <w:szCs w:val="20"/>
                <w:lang w:val="cs-CZ"/>
              </w:rPr>
            </w:pPr>
            <w:r w:rsidRPr="00FC13F5">
              <w:rPr>
                <w:rFonts w:cs="Times New Roman"/>
                <w:color w:val="000000"/>
                <w:sz w:val="20"/>
                <w:szCs w:val="20"/>
                <w:lang w:val="cs-CZ"/>
              </w:rPr>
              <w:t>0,9</w:t>
            </w:r>
          </w:p>
        </w:tc>
        <w:tc>
          <w:tcPr>
            <w:tcW w:w="1169" w:type="dxa"/>
            <w:gridSpan w:val="2"/>
            <w:tcBorders>
              <w:top w:val="nil"/>
              <w:left w:val="nil"/>
              <w:bottom w:val="single" w:sz="4" w:space="0" w:color="auto"/>
              <w:right w:val="nil"/>
            </w:tcBorders>
            <w:vAlign w:val="center"/>
            <w:hideMark/>
          </w:tcPr>
          <w:p w14:paraId="72D167F3" w14:textId="77777777" w:rsidR="003E0F58" w:rsidRPr="00FC13F5" w:rsidRDefault="003E0F58" w:rsidP="0006094E">
            <w:pPr>
              <w:keepNext/>
              <w:jc w:val="right"/>
              <w:rPr>
                <w:rFonts w:cs="Times New Roman"/>
                <w:color w:val="000000"/>
                <w:sz w:val="20"/>
                <w:szCs w:val="20"/>
                <w:lang w:val="cs-CZ"/>
              </w:rPr>
            </w:pPr>
            <w:r w:rsidRPr="00FC13F5">
              <w:rPr>
                <w:rFonts w:cs="Times New Roman"/>
                <w:color w:val="000000"/>
                <w:sz w:val="20"/>
                <w:szCs w:val="20"/>
                <w:lang w:val="cs-CZ"/>
              </w:rPr>
              <w:t>1</w:t>
            </w:r>
          </w:p>
        </w:tc>
        <w:tc>
          <w:tcPr>
            <w:tcW w:w="1169" w:type="dxa"/>
            <w:gridSpan w:val="2"/>
            <w:tcBorders>
              <w:top w:val="nil"/>
              <w:left w:val="nil"/>
              <w:bottom w:val="single" w:sz="4" w:space="0" w:color="auto"/>
              <w:right w:val="nil"/>
            </w:tcBorders>
            <w:vAlign w:val="center"/>
            <w:hideMark/>
          </w:tcPr>
          <w:p w14:paraId="668DD5C8" w14:textId="77777777" w:rsidR="003E0F58" w:rsidRPr="00FC13F5" w:rsidRDefault="003E0F58" w:rsidP="0006094E">
            <w:pPr>
              <w:keepNext/>
              <w:jc w:val="right"/>
              <w:rPr>
                <w:rFonts w:cs="Times New Roman"/>
                <w:color w:val="000000"/>
                <w:sz w:val="20"/>
                <w:szCs w:val="20"/>
                <w:lang w:val="cs-CZ"/>
              </w:rPr>
            </w:pPr>
            <w:r w:rsidRPr="00FC13F5">
              <w:rPr>
                <w:rFonts w:cs="Times New Roman"/>
                <w:color w:val="000000"/>
                <w:sz w:val="20"/>
                <w:szCs w:val="20"/>
                <w:lang w:val="cs-CZ"/>
              </w:rPr>
              <w:t>1,1</w:t>
            </w:r>
          </w:p>
        </w:tc>
        <w:tc>
          <w:tcPr>
            <w:tcW w:w="1169" w:type="dxa"/>
            <w:gridSpan w:val="2"/>
            <w:tcBorders>
              <w:top w:val="nil"/>
              <w:left w:val="nil"/>
              <w:bottom w:val="single" w:sz="4" w:space="0" w:color="auto"/>
              <w:right w:val="nil"/>
            </w:tcBorders>
            <w:vAlign w:val="center"/>
            <w:hideMark/>
          </w:tcPr>
          <w:p w14:paraId="6A4F37D7" w14:textId="77777777" w:rsidR="003E0F58" w:rsidRPr="00FC13F5" w:rsidRDefault="003E0F58" w:rsidP="0006094E">
            <w:pPr>
              <w:keepNext/>
              <w:jc w:val="right"/>
              <w:rPr>
                <w:rFonts w:cs="Times New Roman"/>
                <w:color w:val="000000"/>
                <w:sz w:val="20"/>
                <w:szCs w:val="20"/>
                <w:lang w:val="cs-CZ"/>
              </w:rPr>
            </w:pPr>
            <w:r w:rsidRPr="00FC13F5">
              <w:rPr>
                <w:rFonts w:cs="Times New Roman"/>
                <w:color w:val="000000"/>
                <w:sz w:val="20"/>
                <w:szCs w:val="20"/>
                <w:lang w:val="cs-CZ"/>
              </w:rPr>
              <w:t>1,1</w:t>
            </w:r>
          </w:p>
        </w:tc>
        <w:tc>
          <w:tcPr>
            <w:tcW w:w="1169" w:type="dxa"/>
            <w:gridSpan w:val="2"/>
            <w:tcBorders>
              <w:top w:val="nil"/>
              <w:left w:val="nil"/>
              <w:bottom w:val="single" w:sz="4" w:space="0" w:color="auto"/>
              <w:right w:val="nil"/>
            </w:tcBorders>
            <w:vAlign w:val="center"/>
            <w:hideMark/>
          </w:tcPr>
          <w:p w14:paraId="7C1E194E" w14:textId="77777777" w:rsidR="003E0F58" w:rsidRPr="00FC13F5" w:rsidRDefault="003E0F58" w:rsidP="0006094E">
            <w:pPr>
              <w:keepNext/>
              <w:jc w:val="right"/>
              <w:rPr>
                <w:rFonts w:cs="Times New Roman"/>
                <w:color w:val="000000"/>
                <w:sz w:val="20"/>
                <w:szCs w:val="20"/>
                <w:lang w:val="cs-CZ"/>
              </w:rPr>
            </w:pPr>
            <w:r w:rsidRPr="00FC13F5">
              <w:rPr>
                <w:rFonts w:cs="Times New Roman"/>
                <w:color w:val="000000"/>
                <w:sz w:val="20"/>
                <w:szCs w:val="20"/>
                <w:lang w:val="cs-CZ"/>
              </w:rPr>
              <w:t>1,1</w:t>
            </w:r>
          </w:p>
        </w:tc>
        <w:tc>
          <w:tcPr>
            <w:tcW w:w="1171" w:type="dxa"/>
            <w:gridSpan w:val="2"/>
            <w:tcBorders>
              <w:top w:val="nil"/>
              <w:left w:val="nil"/>
              <w:bottom w:val="single" w:sz="4" w:space="0" w:color="auto"/>
              <w:right w:val="nil"/>
            </w:tcBorders>
            <w:vAlign w:val="center"/>
            <w:hideMark/>
          </w:tcPr>
          <w:p w14:paraId="29BDBC40" w14:textId="77777777" w:rsidR="003E0F58" w:rsidRPr="00FC13F5" w:rsidRDefault="003E0F58" w:rsidP="0006094E">
            <w:pPr>
              <w:keepNext/>
              <w:jc w:val="right"/>
              <w:rPr>
                <w:rFonts w:cs="Times New Roman"/>
                <w:color w:val="000000"/>
                <w:sz w:val="20"/>
                <w:szCs w:val="20"/>
                <w:lang w:val="cs-CZ"/>
              </w:rPr>
            </w:pPr>
            <w:r w:rsidRPr="00FC13F5">
              <w:rPr>
                <w:rFonts w:cs="Times New Roman"/>
                <w:color w:val="000000"/>
                <w:sz w:val="20"/>
                <w:szCs w:val="20"/>
                <w:lang w:val="cs-CZ"/>
              </w:rPr>
              <w:t>1,1</w:t>
            </w:r>
          </w:p>
        </w:tc>
      </w:tr>
      <w:tr w:rsidR="003E0F58" w:rsidRPr="00FC13F5" w14:paraId="4B8F1437" w14:textId="77777777" w:rsidTr="005F68F2">
        <w:trPr>
          <w:gridBefore w:val="1"/>
          <w:gridAfter w:val="2"/>
          <w:wBefore w:w="316" w:type="dxa"/>
          <w:wAfter w:w="1768" w:type="dxa"/>
          <w:trHeight w:val="280"/>
        </w:trPr>
        <w:tc>
          <w:tcPr>
            <w:tcW w:w="1274" w:type="dxa"/>
            <w:gridSpan w:val="2"/>
            <w:vMerge w:val="restart"/>
            <w:tcBorders>
              <w:top w:val="nil"/>
              <w:left w:val="nil"/>
              <w:bottom w:val="single" w:sz="4" w:space="0" w:color="000000"/>
              <w:right w:val="nil"/>
            </w:tcBorders>
            <w:hideMark/>
          </w:tcPr>
          <w:p w14:paraId="60891DA7" w14:textId="77777777" w:rsidR="003E0F58" w:rsidRPr="00FC13F5" w:rsidRDefault="003E0F58" w:rsidP="004D2249">
            <w:pPr>
              <w:jc w:val="left"/>
              <w:rPr>
                <w:rFonts w:cs="Times New Roman"/>
                <w:color w:val="000000"/>
                <w:sz w:val="20"/>
                <w:szCs w:val="20"/>
                <w:lang w:val="cs-CZ"/>
              </w:rPr>
            </w:pPr>
            <w:r w:rsidRPr="00FC13F5">
              <w:rPr>
                <w:rFonts w:cs="Times New Roman"/>
                <w:bCs/>
                <w:color w:val="000000"/>
                <w:sz w:val="20"/>
                <w:szCs w:val="20"/>
                <w:lang w:val="cs-CZ"/>
              </w:rPr>
              <w:t>borovice</w:t>
            </w:r>
          </w:p>
        </w:tc>
        <w:tc>
          <w:tcPr>
            <w:tcW w:w="1018" w:type="dxa"/>
            <w:gridSpan w:val="2"/>
            <w:vAlign w:val="center"/>
            <w:hideMark/>
          </w:tcPr>
          <w:p w14:paraId="07437832"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453 159</w:t>
            </w:r>
          </w:p>
        </w:tc>
        <w:tc>
          <w:tcPr>
            <w:tcW w:w="1169" w:type="dxa"/>
            <w:gridSpan w:val="2"/>
            <w:vAlign w:val="center"/>
            <w:hideMark/>
          </w:tcPr>
          <w:p w14:paraId="4266D88D"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436 308</w:t>
            </w:r>
          </w:p>
        </w:tc>
        <w:tc>
          <w:tcPr>
            <w:tcW w:w="1169" w:type="dxa"/>
            <w:gridSpan w:val="2"/>
            <w:vAlign w:val="center"/>
            <w:hideMark/>
          </w:tcPr>
          <w:p w14:paraId="7E8E7083"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429 636</w:t>
            </w:r>
          </w:p>
        </w:tc>
        <w:tc>
          <w:tcPr>
            <w:tcW w:w="1169" w:type="dxa"/>
            <w:gridSpan w:val="2"/>
            <w:vAlign w:val="center"/>
            <w:hideMark/>
          </w:tcPr>
          <w:p w14:paraId="397F42E2"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428 030</w:t>
            </w:r>
          </w:p>
        </w:tc>
        <w:tc>
          <w:tcPr>
            <w:tcW w:w="1169" w:type="dxa"/>
            <w:gridSpan w:val="2"/>
            <w:vAlign w:val="center"/>
            <w:hideMark/>
          </w:tcPr>
          <w:p w14:paraId="6235A427"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425 687</w:t>
            </w:r>
          </w:p>
        </w:tc>
        <w:tc>
          <w:tcPr>
            <w:tcW w:w="1171" w:type="dxa"/>
            <w:gridSpan w:val="2"/>
            <w:vAlign w:val="center"/>
            <w:hideMark/>
          </w:tcPr>
          <w:p w14:paraId="3EE75405"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424 201</w:t>
            </w:r>
          </w:p>
        </w:tc>
      </w:tr>
      <w:tr w:rsidR="003E0F58" w:rsidRPr="00FC13F5" w14:paraId="478F9313" w14:textId="77777777" w:rsidTr="005F68F2">
        <w:trPr>
          <w:gridBefore w:val="1"/>
          <w:gridAfter w:val="2"/>
          <w:wBefore w:w="316" w:type="dxa"/>
          <w:wAfter w:w="1768" w:type="dxa"/>
          <w:trHeight w:val="280"/>
        </w:trPr>
        <w:tc>
          <w:tcPr>
            <w:tcW w:w="1274" w:type="dxa"/>
            <w:gridSpan w:val="2"/>
            <w:vMerge/>
            <w:tcBorders>
              <w:top w:val="nil"/>
              <w:left w:val="nil"/>
              <w:bottom w:val="single" w:sz="4" w:space="0" w:color="000000"/>
              <w:right w:val="nil"/>
            </w:tcBorders>
            <w:vAlign w:val="center"/>
            <w:hideMark/>
          </w:tcPr>
          <w:p w14:paraId="4B0757FF" w14:textId="77777777" w:rsidR="003E0F58" w:rsidRPr="00FC13F5" w:rsidRDefault="003E0F58" w:rsidP="004D2249">
            <w:pPr>
              <w:jc w:val="left"/>
              <w:rPr>
                <w:rFonts w:cs="Times New Roman"/>
                <w:color w:val="000000"/>
                <w:sz w:val="20"/>
                <w:szCs w:val="20"/>
                <w:lang w:val="cs-CZ"/>
              </w:rPr>
            </w:pPr>
          </w:p>
        </w:tc>
        <w:tc>
          <w:tcPr>
            <w:tcW w:w="1018" w:type="dxa"/>
            <w:gridSpan w:val="2"/>
            <w:tcBorders>
              <w:top w:val="nil"/>
              <w:left w:val="nil"/>
              <w:bottom w:val="single" w:sz="4" w:space="0" w:color="auto"/>
              <w:right w:val="nil"/>
            </w:tcBorders>
            <w:vAlign w:val="center"/>
            <w:hideMark/>
          </w:tcPr>
          <w:p w14:paraId="73C7BF8E"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17,6</w:t>
            </w:r>
          </w:p>
        </w:tc>
        <w:tc>
          <w:tcPr>
            <w:tcW w:w="1169" w:type="dxa"/>
            <w:gridSpan w:val="2"/>
            <w:tcBorders>
              <w:top w:val="nil"/>
              <w:left w:val="nil"/>
              <w:bottom w:val="single" w:sz="4" w:space="0" w:color="auto"/>
              <w:right w:val="nil"/>
            </w:tcBorders>
            <w:vAlign w:val="center"/>
            <w:hideMark/>
          </w:tcPr>
          <w:p w14:paraId="510C9655"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16,8</w:t>
            </w:r>
          </w:p>
        </w:tc>
        <w:tc>
          <w:tcPr>
            <w:tcW w:w="1169" w:type="dxa"/>
            <w:gridSpan w:val="2"/>
            <w:tcBorders>
              <w:top w:val="nil"/>
              <w:left w:val="nil"/>
              <w:bottom w:val="single" w:sz="4" w:space="0" w:color="auto"/>
              <w:right w:val="nil"/>
            </w:tcBorders>
            <w:vAlign w:val="center"/>
            <w:hideMark/>
          </w:tcPr>
          <w:p w14:paraId="6AF01C82"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16,5</w:t>
            </w:r>
          </w:p>
        </w:tc>
        <w:tc>
          <w:tcPr>
            <w:tcW w:w="1169" w:type="dxa"/>
            <w:gridSpan w:val="2"/>
            <w:tcBorders>
              <w:top w:val="nil"/>
              <w:left w:val="nil"/>
              <w:bottom w:val="single" w:sz="4" w:space="0" w:color="auto"/>
              <w:right w:val="nil"/>
            </w:tcBorders>
            <w:vAlign w:val="center"/>
            <w:hideMark/>
          </w:tcPr>
          <w:p w14:paraId="18829B12"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16,5</w:t>
            </w:r>
          </w:p>
        </w:tc>
        <w:tc>
          <w:tcPr>
            <w:tcW w:w="1169" w:type="dxa"/>
            <w:gridSpan w:val="2"/>
            <w:tcBorders>
              <w:top w:val="nil"/>
              <w:left w:val="nil"/>
              <w:bottom w:val="single" w:sz="4" w:space="0" w:color="auto"/>
              <w:right w:val="nil"/>
            </w:tcBorders>
            <w:vAlign w:val="center"/>
            <w:hideMark/>
          </w:tcPr>
          <w:p w14:paraId="6583AE1F"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16,4</w:t>
            </w:r>
          </w:p>
        </w:tc>
        <w:tc>
          <w:tcPr>
            <w:tcW w:w="1171" w:type="dxa"/>
            <w:gridSpan w:val="2"/>
            <w:tcBorders>
              <w:top w:val="nil"/>
              <w:left w:val="nil"/>
              <w:bottom w:val="single" w:sz="4" w:space="0" w:color="auto"/>
              <w:right w:val="nil"/>
            </w:tcBorders>
            <w:vAlign w:val="center"/>
            <w:hideMark/>
          </w:tcPr>
          <w:p w14:paraId="07BBB807"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16,3</w:t>
            </w:r>
          </w:p>
        </w:tc>
      </w:tr>
      <w:tr w:rsidR="003E0F58" w:rsidRPr="00FC13F5" w14:paraId="446A38C8" w14:textId="77777777" w:rsidTr="005F68F2">
        <w:trPr>
          <w:gridBefore w:val="1"/>
          <w:gridAfter w:val="2"/>
          <w:wBefore w:w="316" w:type="dxa"/>
          <w:wAfter w:w="1768" w:type="dxa"/>
          <w:trHeight w:val="280"/>
        </w:trPr>
        <w:tc>
          <w:tcPr>
            <w:tcW w:w="1274" w:type="dxa"/>
            <w:gridSpan w:val="2"/>
            <w:vMerge w:val="restart"/>
            <w:tcBorders>
              <w:top w:val="nil"/>
              <w:left w:val="nil"/>
              <w:bottom w:val="single" w:sz="4" w:space="0" w:color="000000"/>
              <w:right w:val="nil"/>
            </w:tcBorders>
            <w:hideMark/>
          </w:tcPr>
          <w:p w14:paraId="6A0A1206" w14:textId="77777777" w:rsidR="003E0F58" w:rsidRPr="00FC13F5" w:rsidRDefault="003E0F58" w:rsidP="004D2249">
            <w:pPr>
              <w:jc w:val="left"/>
              <w:rPr>
                <w:rFonts w:cs="Times New Roman"/>
                <w:color w:val="000000"/>
                <w:sz w:val="20"/>
                <w:szCs w:val="20"/>
                <w:lang w:val="cs-CZ"/>
              </w:rPr>
            </w:pPr>
            <w:r w:rsidRPr="00FC13F5">
              <w:rPr>
                <w:rFonts w:cs="Times New Roman"/>
                <w:bCs/>
                <w:color w:val="000000"/>
                <w:sz w:val="20"/>
                <w:szCs w:val="20"/>
                <w:lang w:val="cs-CZ"/>
              </w:rPr>
              <w:t>modřín</w:t>
            </w:r>
          </w:p>
        </w:tc>
        <w:tc>
          <w:tcPr>
            <w:tcW w:w="1018" w:type="dxa"/>
            <w:gridSpan w:val="2"/>
            <w:vAlign w:val="center"/>
            <w:hideMark/>
          </w:tcPr>
          <w:p w14:paraId="1F624D05"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97 170</w:t>
            </w:r>
          </w:p>
        </w:tc>
        <w:tc>
          <w:tcPr>
            <w:tcW w:w="1169" w:type="dxa"/>
            <w:gridSpan w:val="2"/>
            <w:vAlign w:val="center"/>
            <w:hideMark/>
          </w:tcPr>
          <w:p w14:paraId="19316E51"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100 761</w:t>
            </w:r>
          </w:p>
        </w:tc>
        <w:tc>
          <w:tcPr>
            <w:tcW w:w="1169" w:type="dxa"/>
            <w:gridSpan w:val="2"/>
            <w:vAlign w:val="center"/>
            <w:hideMark/>
          </w:tcPr>
          <w:p w14:paraId="1861E76E"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100 749</w:t>
            </w:r>
          </w:p>
        </w:tc>
        <w:tc>
          <w:tcPr>
            <w:tcW w:w="1169" w:type="dxa"/>
            <w:gridSpan w:val="2"/>
            <w:vAlign w:val="center"/>
            <w:hideMark/>
          </w:tcPr>
          <w:p w14:paraId="7EF81DCE"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100 283</w:t>
            </w:r>
          </w:p>
        </w:tc>
        <w:tc>
          <w:tcPr>
            <w:tcW w:w="1169" w:type="dxa"/>
            <w:gridSpan w:val="2"/>
            <w:vAlign w:val="center"/>
            <w:hideMark/>
          </w:tcPr>
          <w:p w14:paraId="0F9C668B"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99 917</w:t>
            </w:r>
          </w:p>
        </w:tc>
        <w:tc>
          <w:tcPr>
            <w:tcW w:w="1171" w:type="dxa"/>
            <w:gridSpan w:val="2"/>
            <w:vAlign w:val="center"/>
            <w:hideMark/>
          </w:tcPr>
          <w:p w14:paraId="7E169BF6"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99 773</w:t>
            </w:r>
          </w:p>
        </w:tc>
      </w:tr>
      <w:tr w:rsidR="003E0F58" w:rsidRPr="00FC13F5" w14:paraId="3EBA1107" w14:textId="77777777" w:rsidTr="005F68F2">
        <w:trPr>
          <w:gridBefore w:val="1"/>
          <w:gridAfter w:val="2"/>
          <w:wBefore w:w="316" w:type="dxa"/>
          <w:wAfter w:w="1768" w:type="dxa"/>
          <w:trHeight w:val="280"/>
        </w:trPr>
        <w:tc>
          <w:tcPr>
            <w:tcW w:w="1274" w:type="dxa"/>
            <w:gridSpan w:val="2"/>
            <w:vMerge/>
            <w:tcBorders>
              <w:top w:val="nil"/>
              <w:left w:val="nil"/>
              <w:bottom w:val="single" w:sz="4" w:space="0" w:color="000000"/>
              <w:right w:val="nil"/>
            </w:tcBorders>
            <w:vAlign w:val="center"/>
            <w:hideMark/>
          </w:tcPr>
          <w:p w14:paraId="3A1139C8" w14:textId="77777777" w:rsidR="003E0F58" w:rsidRPr="00FC13F5" w:rsidRDefault="003E0F58" w:rsidP="004D2249">
            <w:pPr>
              <w:jc w:val="left"/>
              <w:rPr>
                <w:rFonts w:cs="Times New Roman"/>
                <w:color w:val="000000"/>
                <w:sz w:val="20"/>
                <w:szCs w:val="20"/>
                <w:lang w:val="cs-CZ"/>
              </w:rPr>
            </w:pPr>
          </w:p>
        </w:tc>
        <w:tc>
          <w:tcPr>
            <w:tcW w:w="1018" w:type="dxa"/>
            <w:gridSpan w:val="2"/>
            <w:tcBorders>
              <w:top w:val="nil"/>
              <w:left w:val="nil"/>
              <w:bottom w:val="single" w:sz="4" w:space="0" w:color="auto"/>
              <w:right w:val="nil"/>
            </w:tcBorders>
            <w:vAlign w:val="center"/>
            <w:hideMark/>
          </w:tcPr>
          <w:p w14:paraId="41E2816D"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3,8</w:t>
            </w:r>
          </w:p>
        </w:tc>
        <w:tc>
          <w:tcPr>
            <w:tcW w:w="1169" w:type="dxa"/>
            <w:gridSpan w:val="2"/>
            <w:tcBorders>
              <w:top w:val="nil"/>
              <w:left w:val="nil"/>
              <w:bottom w:val="single" w:sz="4" w:space="0" w:color="auto"/>
              <w:right w:val="nil"/>
            </w:tcBorders>
            <w:vAlign w:val="center"/>
            <w:hideMark/>
          </w:tcPr>
          <w:p w14:paraId="298C0F49"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3,9</w:t>
            </w:r>
          </w:p>
        </w:tc>
        <w:tc>
          <w:tcPr>
            <w:tcW w:w="1169" w:type="dxa"/>
            <w:gridSpan w:val="2"/>
            <w:tcBorders>
              <w:top w:val="nil"/>
              <w:left w:val="nil"/>
              <w:bottom w:val="single" w:sz="4" w:space="0" w:color="auto"/>
              <w:right w:val="nil"/>
            </w:tcBorders>
            <w:vAlign w:val="center"/>
            <w:hideMark/>
          </w:tcPr>
          <w:p w14:paraId="7D333171"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3,9</w:t>
            </w:r>
          </w:p>
        </w:tc>
        <w:tc>
          <w:tcPr>
            <w:tcW w:w="1169" w:type="dxa"/>
            <w:gridSpan w:val="2"/>
            <w:tcBorders>
              <w:top w:val="nil"/>
              <w:left w:val="nil"/>
              <w:bottom w:val="single" w:sz="4" w:space="0" w:color="auto"/>
              <w:right w:val="nil"/>
            </w:tcBorders>
            <w:vAlign w:val="center"/>
            <w:hideMark/>
          </w:tcPr>
          <w:p w14:paraId="2FFCB8A8"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3,9</w:t>
            </w:r>
          </w:p>
        </w:tc>
        <w:tc>
          <w:tcPr>
            <w:tcW w:w="1169" w:type="dxa"/>
            <w:gridSpan w:val="2"/>
            <w:tcBorders>
              <w:top w:val="nil"/>
              <w:left w:val="nil"/>
              <w:bottom w:val="single" w:sz="4" w:space="0" w:color="auto"/>
              <w:right w:val="nil"/>
            </w:tcBorders>
            <w:vAlign w:val="center"/>
            <w:hideMark/>
          </w:tcPr>
          <w:p w14:paraId="0D44E192"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3,8</w:t>
            </w:r>
          </w:p>
        </w:tc>
        <w:tc>
          <w:tcPr>
            <w:tcW w:w="1171" w:type="dxa"/>
            <w:gridSpan w:val="2"/>
            <w:tcBorders>
              <w:top w:val="nil"/>
              <w:left w:val="nil"/>
              <w:bottom w:val="single" w:sz="4" w:space="0" w:color="auto"/>
              <w:right w:val="nil"/>
            </w:tcBorders>
            <w:vAlign w:val="center"/>
            <w:hideMark/>
          </w:tcPr>
          <w:p w14:paraId="268E5E08"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3,8</w:t>
            </w:r>
          </w:p>
        </w:tc>
      </w:tr>
      <w:tr w:rsidR="003E0F58" w:rsidRPr="00FC13F5" w14:paraId="1F64283D" w14:textId="77777777" w:rsidTr="005F68F2">
        <w:trPr>
          <w:gridBefore w:val="1"/>
          <w:gridAfter w:val="2"/>
          <w:wBefore w:w="316" w:type="dxa"/>
          <w:wAfter w:w="1768" w:type="dxa"/>
          <w:trHeight w:val="280"/>
        </w:trPr>
        <w:tc>
          <w:tcPr>
            <w:tcW w:w="1274" w:type="dxa"/>
            <w:gridSpan w:val="2"/>
            <w:vMerge w:val="restart"/>
            <w:tcBorders>
              <w:top w:val="nil"/>
              <w:left w:val="nil"/>
              <w:bottom w:val="single" w:sz="4" w:space="0" w:color="000000"/>
              <w:right w:val="nil"/>
            </w:tcBorders>
            <w:hideMark/>
          </w:tcPr>
          <w:p w14:paraId="032C1542" w14:textId="77777777" w:rsidR="003E0F58" w:rsidRPr="00FC13F5" w:rsidRDefault="003E0F58" w:rsidP="004D2249">
            <w:pPr>
              <w:jc w:val="left"/>
              <w:rPr>
                <w:rFonts w:cs="Times New Roman"/>
                <w:color w:val="000000"/>
                <w:sz w:val="20"/>
                <w:szCs w:val="20"/>
                <w:lang w:val="cs-CZ"/>
              </w:rPr>
            </w:pPr>
            <w:r w:rsidRPr="00FC13F5">
              <w:rPr>
                <w:rFonts w:cs="Times New Roman"/>
                <w:bCs/>
                <w:color w:val="000000"/>
                <w:sz w:val="20"/>
                <w:szCs w:val="20"/>
                <w:lang w:val="cs-CZ"/>
              </w:rPr>
              <w:t>ostatní jehličnaté</w:t>
            </w:r>
          </w:p>
        </w:tc>
        <w:tc>
          <w:tcPr>
            <w:tcW w:w="1018" w:type="dxa"/>
            <w:gridSpan w:val="2"/>
            <w:vAlign w:val="center"/>
            <w:hideMark/>
          </w:tcPr>
          <w:p w14:paraId="4D38450A"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4 586</w:t>
            </w:r>
          </w:p>
        </w:tc>
        <w:tc>
          <w:tcPr>
            <w:tcW w:w="1169" w:type="dxa"/>
            <w:gridSpan w:val="2"/>
            <w:vAlign w:val="center"/>
            <w:hideMark/>
          </w:tcPr>
          <w:p w14:paraId="02BD7618"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6 352</w:t>
            </w:r>
          </w:p>
        </w:tc>
        <w:tc>
          <w:tcPr>
            <w:tcW w:w="1169" w:type="dxa"/>
            <w:gridSpan w:val="2"/>
            <w:vAlign w:val="center"/>
            <w:hideMark/>
          </w:tcPr>
          <w:p w14:paraId="39681896"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7 755</w:t>
            </w:r>
          </w:p>
        </w:tc>
        <w:tc>
          <w:tcPr>
            <w:tcW w:w="1169" w:type="dxa"/>
            <w:gridSpan w:val="2"/>
            <w:vAlign w:val="center"/>
            <w:hideMark/>
          </w:tcPr>
          <w:p w14:paraId="6984103A"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7 846</w:t>
            </w:r>
          </w:p>
        </w:tc>
        <w:tc>
          <w:tcPr>
            <w:tcW w:w="1169" w:type="dxa"/>
            <w:gridSpan w:val="2"/>
            <w:vAlign w:val="center"/>
            <w:hideMark/>
          </w:tcPr>
          <w:p w14:paraId="0A6F7AD5"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8 068</w:t>
            </w:r>
          </w:p>
        </w:tc>
        <w:tc>
          <w:tcPr>
            <w:tcW w:w="1171" w:type="dxa"/>
            <w:gridSpan w:val="2"/>
            <w:vAlign w:val="center"/>
            <w:hideMark/>
          </w:tcPr>
          <w:p w14:paraId="71C7F739"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8 150</w:t>
            </w:r>
          </w:p>
        </w:tc>
      </w:tr>
      <w:tr w:rsidR="003E0F58" w:rsidRPr="00FC13F5" w14:paraId="677488F1" w14:textId="77777777" w:rsidTr="005F68F2">
        <w:trPr>
          <w:gridBefore w:val="1"/>
          <w:gridAfter w:val="2"/>
          <w:wBefore w:w="316" w:type="dxa"/>
          <w:wAfter w:w="1768" w:type="dxa"/>
          <w:trHeight w:val="280"/>
        </w:trPr>
        <w:tc>
          <w:tcPr>
            <w:tcW w:w="1274" w:type="dxa"/>
            <w:gridSpan w:val="2"/>
            <w:vMerge/>
            <w:tcBorders>
              <w:top w:val="nil"/>
              <w:left w:val="nil"/>
              <w:bottom w:val="single" w:sz="4" w:space="0" w:color="000000"/>
              <w:right w:val="nil"/>
            </w:tcBorders>
            <w:vAlign w:val="center"/>
            <w:hideMark/>
          </w:tcPr>
          <w:p w14:paraId="6068809A" w14:textId="77777777" w:rsidR="003E0F58" w:rsidRPr="00FC13F5" w:rsidRDefault="003E0F58" w:rsidP="004D2249">
            <w:pPr>
              <w:jc w:val="left"/>
              <w:rPr>
                <w:rFonts w:cs="Times New Roman"/>
                <w:color w:val="000000"/>
                <w:sz w:val="20"/>
                <w:szCs w:val="20"/>
                <w:lang w:val="cs-CZ"/>
              </w:rPr>
            </w:pPr>
          </w:p>
        </w:tc>
        <w:tc>
          <w:tcPr>
            <w:tcW w:w="1018" w:type="dxa"/>
            <w:gridSpan w:val="2"/>
            <w:tcBorders>
              <w:top w:val="nil"/>
              <w:left w:val="nil"/>
              <w:bottom w:val="single" w:sz="4" w:space="0" w:color="auto"/>
              <w:right w:val="nil"/>
            </w:tcBorders>
            <w:vAlign w:val="center"/>
            <w:hideMark/>
          </w:tcPr>
          <w:p w14:paraId="241A88FC"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0,2</w:t>
            </w:r>
          </w:p>
        </w:tc>
        <w:tc>
          <w:tcPr>
            <w:tcW w:w="1169" w:type="dxa"/>
            <w:gridSpan w:val="2"/>
            <w:tcBorders>
              <w:top w:val="nil"/>
              <w:left w:val="nil"/>
              <w:bottom w:val="single" w:sz="4" w:space="0" w:color="auto"/>
              <w:right w:val="nil"/>
            </w:tcBorders>
            <w:vAlign w:val="center"/>
            <w:hideMark/>
          </w:tcPr>
          <w:p w14:paraId="2905FABF"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0,2</w:t>
            </w:r>
          </w:p>
        </w:tc>
        <w:tc>
          <w:tcPr>
            <w:tcW w:w="1169" w:type="dxa"/>
            <w:gridSpan w:val="2"/>
            <w:tcBorders>
              <w:top w:val="nil"/>
              <w:left w:val="nil"/>
              <w:bottom w:val="single" w:sz="4" w:space="0" w:color="auto"/>
              <w:right w:val="nil"/>
            </w:tcBorders>
            <w:vAlign w:val="center"/>
            <w:hideMark/>
          </w:tcPr>
          <w:p w14:paraId="65714B00"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0,3</w:t>
            </w:r>
          </w:p>
        </w:tc>
        <w:tc>
          <w:tcPr>
            <w:tcW w:w="1169" w:type="dxa"/>
            <w:gridSpan w:val="2"/>
            <w:tcBorders>
              <w:top w:val="nil"/>
              <w:left w:val="nil"/>
              <w:bottom w:val="single" w:sz="4" w:space="0" w:color="auto"/>
              <w:right w:val="nil"/>
            </w:tcBorders>
            <w:vAlign w:val="center"/>
            <w:hideMark/>
          </w:tcPr>
          <w:p w14:paraId="46572221"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0,3</w:t>
            </w:r>
          </w:p>
        </w:tc>
        <w:tc>
          <w:tcPr>
            <w:tcW w:w="1169" w:type="dxa"/>
            <w:gridSpan w:val="2"/>
            <w:tcBorders>
              <w:top w:val="nil"/>
              <w:left w:val="nil"/>
              <w:bottom w:val="single" w:sz="4" w:space="0" w:color="auto"/>
              <w:right w:val="nil"/>
            </w:tcBorders>
            <w:vAlign w:val="center"/>
            <w:hideMark/>
          </w:tcPr>
          <w:p w14:paraId="17C531BE"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0,3</w:t>
            </w:r>
          </w:p>
        </w:tc>
        <w:tc>
          <w:tcPr>
            <w:tcW w:w="1171" w:type="dxa"/>
            <w:gridSpan w:val="2"/>
            <w:tcBorders>
              <w:top w:val="nil"/>
              <w:left w:val="nil"/>
              <w:bottom w:val="single" w:sz="4" w:space="0" w:color="auto"/>
              <w:right w:val="nil"/>
            </w:tcBorders>
            <w:vAlign w:val="center"/>
            <w:hideMark/>
          </w:tcPr>
          <w:p w14:paraId="03121321"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0,3</w:t>
            </w:r>
          </w:p>
        </w:tc>
      </w:tr>
      <w:tr w:rsidR="003E0F58" w:rsidRPr="00FC13F5" w14:paraId="0315F378" w14:textId="77777777" w:rsidTr="005F68F2">
        <w:trPr>
          <w:gridBefore w:val="1"/>
          <w:gridAfter w:val="2"/>
          <w:wBefore w:w="316" w:type="dxa"/>
          <w:wAfter w:w="1768" w:type="dxa"/>
          <w:trHeight w:val="280"/>
        </w:trPr>
        <w:tc>
          <w:tcPr>
            <w:tcW w:w="1274" w:type="dxa"/>
            <w:gridSpan w:val="2"/>
            <w:vMerge w:val="restart"/>
            <w:tcBorders>
              <w:top w:val="nil"/>
              <w:left w:val="nil"/>
              <w:bottom w:val="single" w:sz="4" w:space="0" w:color="000000"/>
              <w:right w:val="nil"/>
            </w:tcBorders>
            <w:hideMark/>
          </w:tcPr>
          <w:p w14:paraId="7CB668FB" w14:textId="77777777" w:rsidR="003E0F58" w:rsidRPr="00FC13F5" w:rsidRDefault="003E0F58" w:rsidP="004D2249">
            <w:pPr>
              <w:jc w:val="left"/>
              <w:rPr>
                <w:rFonts w:cs="Times New Roman"/>
                <w:color w:val="000000"/>
                <w:sz w:val="20"/>
                <w:szCs w:val="20"/>
                <w:lang w:val="cs-CZ"/>
              </w:rPr>
            </w:pPr>
            <w:r w:rsidRPr="00FC13F5">
              <w:rPr>
                <w:rFonts w:cs="Times New Roman"/>
                <w:bCs/>
                <w:color w:val="000000"/>
                <w:sz w:val="20"/>
                <w:szCs w:val="20"/>
                <w:lang w:val="cs-CZ"/>
              </w:rPr>
              <w:t>jehličnaté</w:t>
            </w:r>
          </w:p>
        </w:tc>
        <w:tc>
          <w:tcPr>
            <w:tcW w:w="1018" w:type="dxa"/>
            <w:gridSpan w:val="2"/>
            <w:vAlign w:val="center"/>
            <w:hideMark/>
          </w:tcPr>
          <w:p w14:paraId="7CE65772" w14:textId="77777777" w:rsidR="003E0F58" w:rsidRPr="00FC13F5" w:rsidRDefault="003E0F58" w:rsidP="004D2249">
            <w:pPr>
              <w:jc w:val="right"/>
              <w:rPr>
                <w:rFonts w:cs="Times New Roman"/>
                <w:color w:val="000000"/>
                <w:sz w:val="20"/>
                <w:szCs w:val="20"/>
                <w:lang w:val="cs-CZ"/>
              </w:rPr>
            </w:pPr>
            <w:r w:rsidRPr="00FC13F5">
              <w:rPr>
                <w:rFonts w:cs="Times New Roman"/>
                <w:bCs/>
                <w:color w:val="000000"/>
                <w:sz w:val="20"/>
                <w:szCs w:val="20"/>
                <w:lang w:val="cs-CZ"/>
              </w:rPr>
              <w:t>1 975 065</w:t>
            </w:r>
          </w:p>
        </w:tc>
        <w:tc>
          <w:tcPr>
            <w:tcW w:w="1169" w:type="dxa"/>
            <w:gridSpan w:val="2"/>
            <w:vAlign w:val="center"/>
            <w:hideMark/>
          </w:tcPr>
          <w:p w14:paraId="2BB5B0C5" w14:textId="77777777" w:rsidR="003E0F58" w:rsidRPr="00FC13F5" w:rsidRDefault="003E0F58" w:rsidP="004D2249">
            <w:pPr>
              <w:jc w:val="right"/>
              <w:rPr>
                <w:rFonts w:cs="Times New Roman"/>
                <w:color w:val="000000"/>
                <w:sz w:val="20"/>
                <w:szCs w:val="20"/>
                <w:lang w:val="cs-CZ"/>
              </w:rPr>
            </w:pPr>
            <w:r w:rsidRPr="00FC13F5">
              <w:rPr>
                <w:rFonts w:cs="Times New Roman"/>
                <w:bCs/>
                <w:color w:val="000000"/>
                <w:sz w:val="20"/>
                <w:szCs w:val="20"/>
                <w:lang w:val="cs-CZ"/>
              </w:rPr>
              <w:t>1 916 529</w:t>
            </w:r>
          </w:p>
        </w:tc>
        <w:tc>
          <w:tcPr>
            <w:tcW w:w="1169" w:type="dxa"/>
            <w:gridSpan w:val="2"/>
            <w:vAlign w:val="center"/>
            <w:hideMark/>
          </w:tcPr>
          <w:p w14:paraId="744B2EE2"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1 886 124</w:t>
            </w:r>
          </w:p>
        </w:tc>
        <w:tc>
          <w:tcPr>
            <w:tcW w:w="1169" w:type="dxa"/>
            <w:gridSpan w:val="2"/>
            <w:vAlign w:val="center"/>
            <w:hideMark/>
          </w:tcPr>
          <w:p w14:paraId="03529296" w14:textId="77777777" w:rsidR="003E0F58" w:rsidRPr="00FC13F5" w:rsidRDefault="003E0F58" w:rsidP="004D2249">
            <w:pPr>
              <w:jc w:val="right"/>
              <w:rPr>
                <w:rFonts w:cs="Times New Roman"/>
                <w:color w:val="000000"/>
                <w:sz w:val="20"/>
                <w:szCs w:val="20"/>
                <w:lang w:val="cs-CZ"/>
              </w:rPr>
            </w:pPr>
            <w:r w:rsidRPr="00FC13F5">
              <w:rPr>
                <w:rFonts w:cs="Times New Roman"/>
                <w:bCs/>
                <w:color w:val="000000"/>
                <w:sz w:val="20"/>
                <w:szCs w:val="20"/>
                <w:lang w:val="cs-CZ"/>
              </w:rPr>
              <w:t>1 880 344</w:t>
            </w:r>
          </w:p>
        </w:tc>
        <w:tc>
          <w:tcPr>
            <w:tcW w:w="1169" w:type="dxa"/>
            <w:gridSpan w:val="2"/>
            <w:vAlign w:val="center"/>
            <w:hideMark/>
          </w:tcPr>
          <w:p w14:paraId="11CE28FC" w14:textId="77777777" w:rsidR="003E0F58" w:rsidRPr="00FC13F5" w:rsidRDefault="003E0F58" w:rsidP="004D2249">
            <w:pPr>
              <w:jc w:val="right"/>
              <w:rPr>
                <w:rFonts w:cs="Times New Roman"/>
                <w:color w:val="000000"/>
                <w:sz w:val="20"/>
                <w:szCs w:val="20"/>
                <w:lang w:val="cs-CZ"/>
              </w:rPr>
            </w:pPr>
            <w:r w:rsidRPr="00FC13F5">
              <w:rPr>
                <w:rFonts w:cs="Times New Roman"/>
                <w:bCs/>
                <w:color w:val="000000"/>
                <w:sz w:val="20"/>
                <w:szCs w:val="20"/>
                <w:lang w:val="cs-CZ"/>
              </w:rPr>
              <w:t>1 874 961</w:t>
            </w:r>
          </w:p>
        </w:tc>
        <w:tc>
          <w:tcPr>
            <w:tcW w:w="1171" w:type="dxa"/>
            <w:gridSpan w:val="2"/>
            <w:vAlign w:val="center"/>
            <w:hideMark/>
          </w:tcPr>
          <w:p w14:paraId="2D0710A2" w14:textId="77777777" w:rsidR="003E0F58" w:rsidRPr="00FC13F5" w:rsidRDefault="003E0F58" w:rsidP="004D2249">
            <w:pPr>
              <w:jc w:val="right"/>
              <w:rPr>
                <w:rFonts w:cs="Times New Roman"/>
                <w:color w:val="000000"/>
                <w:sz w:val="20"/>
                <w:szCs w:val="20"/>
                <w:lang w:val="cs-CZ"/>
              </w:rPr>
            </w:pPr>
            <w:r w:rsidRPr="00FC13F5">
              <w:rPr>
                <w:rFonts w:cs="Times New Roman"/>
                <w:bCs/>
                <w:color w:val="000000"/>
                <w:sz w:val="20"/>
                <w:szCs w:val="20"/>
                <w:lang w:val="cs-CZ"/>
              </w:rPr>
              <w:t>1 870 015</w:t>
            </w:r>
          </w:p>
        </w:tc>
      </w:tr>
      <w:tr w:rsidR="003E0F58" w:rsidRPr="00FC13F5" w14:paraId="258C1FD1" w14:textId="77777777" w:rsidTr="005F68F2">
        <w:trPr>
          <w:gridBefore w:val="1"/>
          <w:gridAfter w:val="2"/>
          <w:wBefore w:w="316" w:type="dxa"/>
          <w:wAfter w:w="1768" w:type="dxa"/>
          <w:trHeight w:val="280"/>
        </w:trPr>
        <w:tc>
          <w:tcPr>
            <w:tcW w:w="1274" w:type="dxa"/>
            <w:gridSpan w:val="2"/>
            <w:vMerge/>
            <w:tcBorders>
              <w:top w:val="nil"/>
              <w:left w:val="nil"/>
              <w:bottom w:val="single" w:sz="4" w:space="0" w:color="000000"/>
              <w:right w:val="nil"/>
            </w:tcBorders>
            <w:vAlign w:val="center"/>
            <w:hideMark/>
          </w:tcPr>
          <w:p w14:paraId="7C29E32F" w14:textId="77777777" w:rsidR="003E0F58" w:rsidRPr="00FC13F5" w:rsidRDefault="003E0F58" w:rsidP="004D2249">
            <w:pPr>
              <w:jc w:val="left"/>
              <w:rPr>
                <w:rFonts w:cs="Times New Roman"/>
                <w:color w:val="000000"/>
                <w:sz w:val="20"/>
                <w:szCs w:val="20"/>
                <w:lang w:val="cs-CZ"/>
              </w:rPr>
            </w:pPr>
          </w:p>
        </w:tc>
        <w:tc>
          <w:tcPr>
            <w:tcW w:w="1018" w:type="dxa"/>
            <w:gridSpan w:val="2"/>
            <w:tcBorders>
              <w:top w:val="nil"/>
              <w:left w:val="nil"/>
              <w:bottom w:val="single" w:sz="4" w:space="0" w:color="auto"/>
              <w:right w:val="nil"/>
            </w:tcBorders>
            <w:vAlign w:val="center"/>
            <w:hideMark/>
          </w:tcPr>
          <w:p w14:paraId="6DFD82CD" w14:textId="77777777" w:rsidR="003E0F58" w:rsidRPr="00FC13F5" w:rsidRDefault="003E0F58" w:rsidP="004D2249">
            <w:pPr>
              <w:jc w:val="right"/>
              <w:rPr>
                <w:rFonts w:cs="Times New Roman"/>
                <w:color w:val="000000"/>
                <w:sz w:val="20"/>
                <w:szCs w:val="20"/>
                <w:lang w:val="cs-CZ"/>
              </w:rPr>
            </w:pPr>
            <w:r w:rsidRPr="00FC13F5">
              <w:rPr>
                <w:rFonts w:cs="Times New Roman"/>
                <w:bCs/>
                <w:color w:val="000000"/>
                <w:sz w:val="20"/>
                <w:szCs w:val="20"/>
                <w:lang w:val="cs-CZ"/>
              </w:rPr>
              <w:t>76,5</w:t>
            </w:r>
          </w:p>
        </w:tc>
        <w:tc>
          <w:tcPr>
            <w:tcW w:w="1169" w:type="dxa"/>
            <w:gridSpan w:val="2"/>
            <w:tcBorders>
              <w:top w:val="nil"/>
              <w:left w:val="nil"/>
              <w:bottom w:val="single" w:sz="4" w:space="0" w:color="auto"/>
              <w:right w:val="nil"/>
            </w:tcBorders>
            <w:vAlign w:val="center"/>
            <w:hideMark/>
          </w:tcPr>
          <w:p w14:paraId="318FE5A3" w14:textId="77777777" w:rsidR="003E0F58" w:rsidRPr="00FC13F5" w:rsidRDefault="003E0F58" w:rsidP="004D2249">
            <w:pPr>
              <w:jc w:val="right"/>
              <w:rPr>
                <w:rFonts w:cs="Times New Roman"/>
                <w:color w:val="000000"/>
                <w:sz w:val="20"/>
                <w:szCs w:val="20"/>
                <w:lang w:val="cs-CZ"/>
              </w:rPr>
            </w:pPr>
            <w:r w:rsidRPr="00FC13F5">
              <w:rPr>
                <w:rFonts w:cs="Times New Roman"/>
                <w:bCs/>
                <w:color w:val="000000"/>
                <w:sz w:val="20"/>
                <w:szCs w:val="20"/>
                <w:lang w:val="cs-CZ"/>
              </w:rPr>
              <w:t>73,9</w:t>
            </w:r>
          </w:p>
        </w:tc>
        <w:tc>
          <w:tcPr>
            <w:tcW w:w="1169" w:type="dxa"/>
            <w:gridSpan w:val="2"/>
            <w:tcBorders>
              <w:top w:val="nil"/>
              <w:left w:val="nil"/>
              <w:bottom w:val="single" w:sz="4" w:space="0" w:color="auto"/>
              <w:right w:val="nil"/>
            </w:tcBorders>
            <w:vAlign w:val="center"/>
            <w:hideMark/>
          </w:tcPr>
          <w:p w14:paraId="78697F18"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72,5</w:t>
            </w:r>
          </w:p>
        </w:tc>
        <w:tc>
          <w:tcPr>
            <w:tcW w:w="1169" w:type="dxa"/>
            <w:gridSpan w:val="2"/>
            <w:tcBorders>
              <w:top w:val="nil"/>
              <w:left w:val="nil"/>
              <w:bottom w:val="single" w:sz="4" w:space="0" w:color="auto"/>
              <w:right w:val="nil"/>
            </w:tcBorders>
            <w:vAlign w:val="center"/>
            <w:hideMark/>
          </w:tcPr>
          <w:p w14:paraId="023DB69B"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72,3</w:t>
            </w:r>
          </w:p>
        </w:tc>
        <w:tc>
          <w:tcPr>
            <w:tcW w:w="1169" w:type="dxa"/>
            <w:gridSpan w:val="2"/>
            <w:tcBorders>
              <w:top w:val="nil"/>
              <w:left w:val="nil"/>
              <w:bottom w:val="single" w:sz="4" w:space="0" w:color="auto"/>
              <w:right w:val="nil"/>
            </w:tcBorders>
            <w:vAlign w:val="center"/>
            <w:hideMark/>
          </w:tcPr>
          <w:p w14:paraId="14930797"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72,1</w:t>
            </w:r>
          </w:p>
        </w:tc>
        <w:tc>
          <w:tcPr>
            <w:tcW w:w="1171" w:type="dxa"/>
            <w:gridSpan w:val="2"/>
            <w:tcBorders>
              <w:top w:val="nil"/>
              <w:left w:val="nil"/>
              <w:bottom w:val="single" w:sz="4" w:space="0" w:color="auto"/>
              <w:right w:val="nil"/>
            </w:tcBorders>
            <w:vAlign w:val="center"/>
            <w:hideMark/>
          </w:tcPr>
          <w:p w14:paraId="6796F6EF"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71,9</w:t>
            </w:r>
          </w:p>
        </w:tc>
      </w:tr>
      <w:tr w:rsidR="003E0F58" w:rsidRPr="00FC13F5" w14:paraId="21ED70C3" w14:textId="77777777" w:rsidTr="005F68F2">
        <w:trPr>
          <w:gridBefore w:val="1"/>
          <w:gridAfter w:val="2"/>
          <w:wBefore w:w="316" w:type="dxa"/>
          <w:wAfter w:w="1768" w:type="dxa"/>
          <w:trHeight w:val="280"/>
        </w:trPr>
        <w:tc>
          <w:tcPr>
            <w:tcW w:w="1274" w:type="dxa"/>
            <w:gridSpan w:val="2"/>
            <w:vMerge w:val="restart"/>
            <w:tcBorders>
              <w:top w:val="nil"/>
              <w:left w:val="nil"/>
              <w:bottom w:val="single" w:sz="4" w:space="0" w:color="000000"/>
              <w:right w:val="nil"/>
            </w:tcBorders>
            <w:hideMark/>
          </w:tcPr>
          <w:p w14:paraId="0BAD6B79" w14:textId="77777777" w:rsidR="003E0F58" w:rsidRPr="00FC13F5" w:rsidRDefault="003E0F58" w:rsidP="004D2249">
            <w:pPr>
              <w:jc w:val="left"/>
              <w:rPr>
                <w:rFonts w:cs="Times New Roman"/>
                <w:color w:val="000000"/>
                <w:sz w:val="20"/>
                <w:szCs w:val="20"/>
                <w:lang w:val="cs-CZ"/>
              </w:rPr>
            </w:pPr>
            <w:r w:rsidRPr="00FC13F5">
              <w:rPr>
                <w:rFonts w:cs="Times New Roman"/>
                <w:bCs/>
                <w:color w:val="000000"/>
                <w:sz w:val="20"/>
                <w:szCs w:val="20"/>
                <w:lang w:val="cs-CZ"/>
              </w:rPr>
              <w:t>dub</w:t>
            </w:r>
          </w:p>
        </w:tc>
        <w:tc>
          <w:tcPr>
            <w:tcW w:w="1018" w:type="dxa"/>
            <w:gridSpan w:val="2"/>
            <w:vAlign w:val="center"/>
            <w:hideMark/>
          </w:tcPr>
          <w:p w14:paraId="1700AC91"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163 761</w:t>
            </w:r>
          </w:p>
        </w:tc>
        <w:tc>
          <w:tcPr>
            <w:tcW w:w="1169" w:type="dxa"/>
            <w:gridSpan w:val="2"/>
            <w:vAlign w:val="center"/>
            <w:hideMark/>
          </w:tcPr>
          <w:p w14:paraId="0FE90594"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178 466</w:t>
            </w:r>
          </w:p>
        </w:tc>
        <w:tc>
          <w:tcPr>
            <w:tcW w:w="1169" w:type="dxa"/>
            <w:gridSpan w:val="2"/>
            <w:vAlign w:val="center"/>
            <w:hideMark/>
          </w:tcPr>
          <w:p w14:paraId="7987BC81"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184 441</w:t>
            </w:r>
          </w:p>
        </w:tc>
        <w:tc>
          <w:tcPr>
            <w:tcW w:w="1169" w:type="dxa"/>
            <w:gridSpan w:val="2"/>
            <w:vAlign w:val="center"/>
            <w:hideMark/>
          </w:tcPr>
          <w:p w14:paraId="6757947A"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185 044</w:t>
            </w:r>
          </w:p>
        </w:tc>
        <w:tc>
          <w:tcPr>
            <w:tcW w:w="1169" w:type="dxa"/>
            <w:gridSpan w:val="2"/>
            <w:vAlign w:val="center"/>
            <w:hideMark/>
          </w:tcPr>
          <w:p w14:paraId="25E7F0A7"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186 718</w:t>
            </w:r>
          </w:p>
        </w:tc>
        <w:tc>
          <w:tcPr>
            <w:tcW w:w="1171" w:type="dxa"/>
            <w:gridSpan w:val="2"/>
            <w:vAlign w:val="center"/>
            <w:hideMark/>
          </w:tcPr>
          <w:p w14:paraId="4E07F276"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188 068</w:t>
            </w:r>
          </w:p>
        </w:tc>
      </w:tr>
      <w:tr w:rsidR="003E0F58" w:rsidRPr="00FC13F5" w14:paraId="6FA64983" w14:textId="77777777" w:rsidTr="005F68F2">
        <w:trPr>
          <w:gridBefore w:val="1"/>
          <w:gridAfter w:val="2"/>
          <w:wBefore w:w="316" w:type="dxa"/>
          <w:wAfter w:w="1768" w:type="dxa"/>
          <w:trHeight w:val="280"/>
        </w:trPr>
        <w:tc>
          <w:tcPr>
            <w:tcW w:w="1274" w:type="dxa"/>
            <w:gridSpan w:val="2"/>
            <w:vMerge/>
            <w:tcBorders>
              <w:top w:val="nil"/>
              <w:left w:val="nil"/>
              <w:bottom w:val="single" w:sz="4" w:space="0" w:color="000000"/>
              <w:right w:val="nil"/>
            </w:tcBorders>
            <w:vAlign w:val="center"/>
            <w:hideMark/>
          </w:tcPr>
          <w:p w14:paraId="2D0B9ECA" w14:textId="77777777" w:rsidR="003E0F58" w:rsidRPr="00FC13F5" w:rsidRDefault="003E0F58" w:rsidP="004D2249">
            <w:pPr>
              <w:jc w:val="left"/>
              <w:rPr>
                <w:rFonts w:cs="Times New Roman"/>
                <w:color w:val="000000"/>
                <w:sz w:val="20"/>
                <w:szCs w:val="20"/>
                <w:lang w:val="cs-CZ"/>
              </w:rPr>
            </w:pPr>
          </w:p>
        </w:tc>
        <w:tc>
          <w:tcPr>
            <w:tcW w:w="1018" w:type="dxa"/>
            <w:gridSpan w:val="2"/>
            <w:tcBorders>
              <w:top w:val="nil"/>
              <w:left w:val="nil"/>
              <w:bottom w:val="single" w:sz="4" w:space="0" w:color="auto"/>
              <w:right w:val="nil"/>
            </w:tcBorders>
            <w:vAlign w:val="center"/>
            <w:hideMark/>
          </w:tcPr>
          <w:p w14:paraId="31D77CD5"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6,3</w:t>
            </w:r>
          </w:p>
        </w:tc>
        <w:tc>
          <w:tcPr>
            <w:tcW w:w="1169" w:type="dxa"/>
            <w:gridSpan w:val="2"/>
            <w:tcBorders>
              <w:top w:val="nil"/>
              <w:left w:val="nil"/>
              <w:bottom w:val="single" w:sz="4" w:space="0" w:color="auto"/>
              <w:right w:val="nil"/>
            </w:tcBorders>
            <w:vAlign w:val="center"/>
            <w:hideMark/>
          </w:tcPr>
          <w:p w14:paraId="32DCBBDD"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6,9</w:t>
            </w:r>
          </w:p>
        </w:tc>
        <w:tc>
          <w:tcPr>
            <w:tcW w:w="1169" w:type="dxa"/>
            <w:gridSpan w:val="2"/>
            <w:tcBorders>
              <w:top w:val="nil"/>
              <w:left w:val="nil"/>
              <w:bottom w:val="single" w:sz="4" w:space="0" w:color="auto"/>
              <w:right w:val="nil"/>
            </w:tcBorders>
            <w:vAlign w:val="center"/>
            <w:hideMark/>
          </w:tcPr>
          <w:p w14:paraId="591FE7DF"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7,1</w:t>
            </w:r>
          </w:p>
        </w:tc>
        <w:tc>
          <w:tcPr>
            <w:tcW w:w="1169" w:type="dxa"/>
            <w:gridSpan w:val="2"/>
            <w:tcBorders>
              <w:top w:val="nil"/>
              <w:left w:val="nil"/>
              <w:bottom w:val="single" w:sz="4" w:space="0" w:color="auto"/>
              <w:right w:val="nil"/>
            </w:tcBorders>
            <w:vAlign w:val="center"/>
            <w:hideMark/>
          </w:tcPr>
          <w:p w14:paraId="380F4701"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7,1</w:t>
            </w:r>
          </w:p>
        </w:tc>
        <w:tc>
          <w:tcPr>
            <w:tcW w:w="1169" w:type="dxa"/>
            <w:gridSpan w:val="2"/>
            <w:tcBorders>
              <w:top w:val="nil"/>
              <w:left w:val="nil"/>
              <w:bottom w:val="single" w:sz="4" w:space="0" w:color="auto"/>
              <w:right w:val="nil"/>
            </w:tcBorders>
            <w:vAlign w:val="center"/>
            <w:hideMark/>
          </w:tcPr>
          <w:p w14:paraId="3D23C7E8"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7,2</w:t>
            </w:r>
          </w:p>
        </w:tc>
        <w:tc>
          <w:tcPr>
            <w:tcW w:w="1171" w:type="dxa"/>
            <w:gridSpan w:val="2"/>
            <w:tcBorders>
              <w:top w:val="nil"/>
              <w:left w:val="nil"/>
              <w:bottom w:val="single" w:sz="4" w:space="0" w:color="auto"/>
              <w:right w:val="nil"/>
            </w:tcBorders>
            <w:vAlign w:val="center"/>
            <w:hideMark/>
          </w:tcPr>
          <w:p w14:paraId="20B8E141"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7,2</w:t>
            </w:r>
          </w:p>
        </w:tc>
      </w:tr>
      <w:tr w:rsidR="003E0F58" w:rsidRPr="00FC13F5" w14:paraId="004392C5" w14:textId="77777777" w:rsidTr="005F68F2">
        <w:trPr>
          <w:gridBefore w:val="1"/>
          <w:gridAfter w:val="2"/>
          <w:wBefore w:w="316" w:type="dxa"/>
          <w:wAfter w:w="1768" w:type="dxa"/>
          <w:trHeight w:val="280"/>
        </w:trPr>
        <w:tc>
          <w:tcPr>
            <w:tcW w:w="1274" w:type="dxa"/>
            <w:gridSpan w:val="2"/>
            <w:vMerge w:val="restart"/>
            <w:tcBorders>
              <w:top w:val="nil"/>
              <w:left w:val="nil"/>
              <w:bottom w:val="single" w:sz="4" w:space="0" w:color="000000"/>
              <w:right w:val="nil"/>
            </w:tcBorders>
            <w:hideMark/>
          </w:tcPr>
          <w:p w14:paraId="595F0AB1" w14:textId="77777777" w:rsidR="003E0F58" w:rsidRPr="00FC13F5" w:rsidRDefault="003E0F58" w:rsidP="004D2249">
            <w:pPr>
              <w:jc w:val="left"/>
              <w:rPr>
                <w:rFonts w:cs="Times New Roman"/>
                <w:color w:val="000000"/>
                <w:sz w:val="20"/>
                <w:szCs w:val="20"/>
                <w:lang w:val="cs-CZ"/>
              </w:rPr>
            </w:pPr>
            <w:r w:rsidRPr="00FC13F5">
              <w:rPr>
                <w:rFonts w:cs="Times New Roman"/>
                <w:bCs/>
                <w:color w:val="000000"/>
                <w:sz w:val="20"/>
                <w:szCs w:val="20"/>
                <w:lang w:val="cs-CZ"/>
              </w:rPr>
              <w:t>buk</w:t>
            </w:r>
          </w:p>
        </w:tc>
        <w:tc>
          <w:tcPr>
            <w:tcW w:w="1018" w:type="dxa"/>
            <w:gridSpan w:val="2"/>
            <w:vAlign w:val="center"/>
            <w:hideMark/>
          </w:tcPr>
          <w:p w14:paraId="2E2A1BEB"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154 791</w:t>
            </w:r>
          </w:p>
        </w:tc>
        <w:tc>
          <w:tcPr>
            <w:tcW w:w="1169" w:type="dxa"/>
            <w:gridSpan w:val="2"/>
            <w:vAlign w:val="center"/>
            <w:hideMark/>
          </w:tcPr>
          <w:p w14:paraId="207DC444"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189 998</w:t>
            </w:r>
          </w:p>
        </w:tc>
        <w:tc>
          <w:tcPr>
            <w:tcW w:w="1169" w:type="dxa"/>
            <w:gridSpan w:val="2"/>
            <w:vAlign w:val="center"/>
            <w:hideMark/>
          </w:tcPr>
          <w:p w14:paraId="13DF1988"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207 595</w:t>
            </w:r>
          </w:p>
        </w:tc>
        <w:tc>
          <w:tcPr>
            <w:tcW w:w="1169" w:type="dxa"/>
            <w:gridSpan w:val="2"/>
            <w:vAlign w:val="center"/>
            <w:hideMark/>
          </w:tcPr>
          <w:p w14:paraId="70E32C0D"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211 835</w:t>
            </w:r>
          </w:p>
        </w:tc>
        <w:tc>
          <w:tcPr>
            <w:tcW w:w="1169" w:type="dxa"/>
            <w:gridSpan w:val="2"/>
            <w:vAlign w:val="center"/>
            <w:hideMark/>
          </w:tcPr>
          <w:p w14:paraId="561DF106"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215 535</w:t>
            </w:r>
          </w:p>
        </w:tc>
        <w:tc>
          <w:tcPr>
            <w:tcW w:w="1171" w:type="dxa"/>
            <w:gridSpan w:val="2"/>
            <w:vAlign w:val="center"/>
            <w:hideMark/>
          </w:tcPr>
          <w:p w14:paraId="55B44839"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218 781</w:t>
            </w:r>
          </w:p>
        </w:tc>
      </w:tr>
      <w:tr w:rsidR="003E0F58" w:rsidRPr="00FC13F5" w14:paraId="1A98F7BB" w14:textId="77777777" w:rsidTr="005F68F2">
        <w:trPr>
          <w:gridBefore w:val="1"/>
          <w:gridAfter w:val="2"/>
          <w:wBefore w:w="316" w:type="dxa"/>
          <w:wAfter w:w="1768" w:type="dxa"/>
          <w:trHeight w:val="280"/>
        </w:trPr>
        <w:tc>
          <w:tcPr>
            <w:tcW w:w="1274" w:type="dxa"/>
            <w:gridSpan w:val="2"/>
            <w:vMerge/>
            <w:tcBorders>
              <w:top w:val="nil"/>
              <w:left w:val="nil"/>
              <w:bottom w:val="single" w:sz="4" w:space="0" w:color="000000"/>
              <w:right w:val="nil"/>
            </w:tcBorders>
            <w:vAlign w:val="center"/>
            <w:hideMark/>
          </w:tcPr>
          <w:p w14:paraId="3B623DCC" w14:textId="77777777" w:rsidR="003E0F58" w:rsidRPr="00FC13F5" w:rsidRDefault="003E0F58" w:rsidP="004D2249">
            <w:pPr>
              <w:jc w:val="left"/>
              <w:rPr>
                <w:rFonts w:cs="Times New Roman"/>
                <w:color w:val="000000"/>
                <w:sz w:val="20"/>
                <w:szCs w:val="20"/>
                <w:lang w:val="cs-CZ"/>
              </w:rPr>
            </w:pPr>
          </w:p>
        </w:tc>
        <w:tc>
          <w:tcPr>
            <w:tcW w:w="1018" w:type="dxa"/>
            <w:gridSpan w:val="2"/>
            <w:tcBorders>
              <w:top w:val="nil"/>
              <w:left w:val="nil"/>
              <w:bottom w:val="single" w:sz="4" w:space="0" w:color="auto"/>
              <w:right w:val="nil"/>
            </w:tcBorders>
            <w:vAlign w:val="center"/>
            <w:hideMark/>
          </w:tcPr>
          <w:p w14:paraId="42E997B9"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6</w:t>
            </w:r>
          </w:p>
        </w:tc>
        <w:tc>
          <w:tcPr>
            <w:tcW w:w="1169" w:type="dxa"/>
            <w:gridSpan w:val="2"/>
            <w:tcBorders>
              <w:top w:val="nil"/>
              <w:left w:val="nil"/>
              <w:bottom w:val="single" w:sz="4" w:space="0" w:color="auto"/>
              <w:right w:val="nil"/>
            </w:tcBorders>
            <w:vAlign w:val="center"/>
            <w:hideMark/>
          </w:tcPr>
          <w:p w14:paraId="166E698E"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7,3</w:t>
            </w:r>
          </w:p>
        </w:tc>
        <w:tc>
          <w:tcPr>
            <w:tcW w:w="1169" w:type="dxa"/>
            <w:gridSpan w:val="2"/>
            <w:tcBorders>
              <w:top w:val="nil"/>
              <w:left w:val="nil"/>
              <w:bottom w:val="single" w:sz="4" w:space="0" w:color="auto"/>
              <w:right w:val="nil"/>
            </w:tcBorders>
            <w:vAlign w:val="center"/>
            <w:hideMark/>
          </w:tcPr>
          <w:p w14:paraId="24D41BCB"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8</w:t>
            </w:r>
          </w:p>
        </w:tc>
        <w:tc>
          <w:tcPr>
            <w:tcW w:w="1169" w:type="dxa"/>
            <w:gridSpan w:val="2"/>
            <w:tcBorders>
              <w:top w:val="nil"/>
              <w:left w:val="nil"/>
              <w:bottom w:val="single" w:sz="4" w:space="0" w:color="auto"/>
              <w:right w:val="nil"/>
            </w:tcBorders>
            <w:vAlign w:val="center"/>
            <w:hideMark/>
          </w:tcPr>
          <w:p w14:paraId="783AFEDA"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8,2</w:t>
            </w:r>
          </w:p>
        </w:tc>
        <w:tc>
          <w:tcPr>
            <w:tcW w:w="1169" w:type="dxa"/>
            <w:gridSpan w:val="2"/>
            <w:tcBorders>
              <w:top w:val="nil"/>
              <w:left w:val="nil"/>
              <w:bottom w:val="single" w:sz="4" w:space="0" w:color="auto"/>
              <w:right w:val="nil"/>
            </w:tcBorders>
            <w:vAlign w:val="center"/>
            <w:hideMark/>
          </w:tcPr>
          <w:p w14:paraId="0A4FF5AC"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8,3</w:t>
            </w:r>
          </w:p>
        </w:tc>
        <w:tc>
          <w:tcPr>
            <w:tcW w:w="1171" w:type="dxa"/>
            <w:gridSpan w:val="2"/>
            <w:tcBorders>
              <w:top w:val="nil"/>
              <w:left w:val="nil"/>
              <w:bottom w:val="single" w:sz="4" w:space="0" w:color="auto"/>
              <w:right w:val="nil"/>
            </w:tcBorders>
            <w:vAlign w:val="center"/>
            <w:hideMark/>
          </w:tcPr>
          <w:p w14:paraId="3890805B"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8,4</w:t>
            </w:r>
          </w:p>
        </w:tc>
      </w:tr>
      <w:tr w:rsidR="003E0F58" w:rsidRPr="00FC13F5" w14:paraId="728FF105" w14:textId="77777777" w:rsidTr="005F68F2">
        <w:trPr>
          <w:gridBefore w:val="1"/>
          <w:gridAfter w:val="2"/>
          <w:wBefore w:w="316" w:type="dxa"/>
          <w:wAfter w:w="1768" w:type="dxa"/>
          <w:trHeight w:val="280"/>
        </w:trPr>
        <w:tc>
          <w:tcPr>
            <w:tcW w:w="1274" w:type="dxa"/>
            <w:gridSpan w:val="2"/>
            <w:vMerge w:val="restart"/>
            <w:tcBorders>
              <w:top w:val="nil"/>
              <w:left w:val="nil"/>
              <w:bottom w:val="single" w:sz="4" w:space="0" w:color="000000"/>
              <w:right w:val="nil"/>
            </w:tcBorders>
            <w:hideMark/>
          </w:tcPr>
          <w:p w14:paraId="79647E26" w14:textId="77777777" w:rsidR="003E0F58" w:rsidRPr="00FC13F5" w:rsidRDefault="003E0F58" w:rsidP="004D2249">
            <w:pPr>
              <w:jc w:val="left"/>
              <w:rPr>
                <w:rFonts w:cs="Times New Roman"/>
                <w:color w:val="000000"/>
                <w:sz w:val="20"/>
                <w:szCs w:val="20"/>
                <w:lang w:val="cs-CZ"/>
              </w:rPr>
            </w:pPr>
            <w:r w:rsidRPr="00FC13F5">
              <w:rPr>
                <w:rFonts w:cs="Times New Roman"/>
                <w:bCs/>
                <w:color w:val="000000"/>
                <w:sz w:val="20"/>
                <w:szCs w:val="20"/>
                <w:lang w:val="cs-CZ"/>
              </w:rPr>
              <w:t>bříza</w:t>
            </w:r>
          </w:p>
        </w:tc>
        <w:tc>
          <w:tcPr>
            <w:tcW w:w="1018" w:type="dxa"/>
            <w:gridSpan w:val="2"/>
            <w:vAlign w:val="center"/>
            <w:hideMark/>
          </w:tcPr>
          <w:p w14:paraId="1F486102"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74 560</w:t>
            </w:r>
          </w:p>
        </w:tc>
        <w:tc>
          <w:tcPr>
            <w:tcW w:w="1169" w:type="dxa"/>
            <w:gridSpan w:val="2"/>
            <w:vAlign w:val="center"/>
            <w:hideMark/>
          </w:tcPr>
          <w:p w14:paraId="36BE3E1A"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72 264</w:t>
            </w:r>
          </w:p>
        </w:tc>
        <w:tc>
          <w:tcPr>
            <w:tcW w:w="1169" w:type="dxa"/>
            <w:gridSpan w:val="2"/>
            <w:vAlign w:val="center"/>
            <w:hideMark/>
          </w:tcPr>
          <w:p w14:paraId="3B614403"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71 779</w:t>
            </w:r>
          </w:p>
        </w:tc>
        <w:tc>
          <w:tcPr>
            <w:tcW w:w="1169" w:type="dxa"/>
            <w:gridSpan w:val="2"/>
            <w:vAlign w:val="center"/>
            <w:hideMark/>
          </w:tcPr>
          <w:p w14:paraId="1D7AF564"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71 796</w:t>
            </w:r>
          </w:p>
        </w:tc>
        <w:tc>
          <w:tcPr>
            <w:tcW w:w="1169" w:type="dxa"/>
            <w:gridSpan w:val="2"/>
            <w:vAlign w:val="center"/>
            <w:hideMark/>
          </w:tcPr>
          <w:p w14:paraId="1124D00D"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71 579</w:t>
            </w:r>
          </w:p>
        </w:tc>
        <w:tc>
          <w:tcPr>
            <w:tcW w:w="1171" w:type="dxa"/>
            <w:gridSpan w:val="2"/>
            <w:vAlign w:val="center"/>
            <w:hideMark/>
          </w:tcPr>
          <w:p w14:paraId="4C4E4A94"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71 783</w:t>
            </w:r>
          </w:p>
        </w:tc>
      </w:tr>
      <w:tr w:rsidR="003E0F58" w:rsidRPr="00FC13F5" w14:paraId="4A8C150B" w14:textId="77777777" w:rsidTr="005F68F2">
        <w:trPr>
          <w:gridBefore w:val="1"/>
          <w:gridAfter w:val="2"/>
          <w:wBefore w:w="316" w:type="dxa"/>
          <w:wAfter w:w="1768" w:type="dxa"/>
          <w:trHeight w:val="280"/>
        </w:trPr>
        <w:tc>
          <w:tcPr>
            <w:tcW w:w="1274" w:type="dxa"/>
            <w:gridSpan w:val="2"/>
            <w:vMerge/>
            <w:tcBorders>
              <w:top w:val="nil"/>
              <w:left w:val="nil"/>
              <w:bottom w:val="single" w:sz="4" w:space="0" w:color="000000"/>
              <w:right w:val="nil"/>
            </w:tcBorders>
            <w:vAlign w:val="center"/>
            <w:hideMark/>
          </w:tcPr>
          <w:p w14:paraId="171E442E" w14:textId="77777777" w:rsidR="003E0F58" w:rsidRPr="00FC13F5" w:rsidRDefault="003E0F58" w:rsidP="004D2249">
            <w:pPr>
              <w:jc w:val="left"/>
              <w:rPr>
                <w:rFonts w:cs="Times New Roman"/>
                <w:color w:val="000000"/>
                <w:sz w:val="20"/>
                <w:szCs w:val="20"/>
                <w:lang w:val="cs-CZ"/>
              </w:rPr>
            </w:pPr>
          </w:p>
        </w:tc>
        <w:tc>
          <w:tcPr>
            <w:tcW w:w="1018" w:type="dxa"/>
            <w:gridSpan w:val="2"/>
            <w:tcBorders>
              <w:top w:val="nil"/>
              <w:left w:val="nil"/>
              <w:bottom w:val="single" w:sz="4" w:space="0" w:color="auto"/>
              <w:right w:val="nil"/>
            </w:tcBorders>
            <w:vAlign w:val="center"/>
            <w:hideMark/>
          </w:tcPr>
          <w:p w14:paraId="7F2A59D2"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2,9</w:t>
            </w:r>
          </w:p>
        </w:tc>
        <w:tc>
          <w:tcPr>
            <w:tcW w:w="1169" w:type="dxa"/>
            <w:gridSpan w:val="2"/>
            <w:tcBorders>
              <w:top w:val="nil"/>
              <w:left w:val="nil"/>
              <w:bottom w:val="single" w:sz="4" w:space="0" w:color="auto"/>
              <w:right w:val="nil"/>
            </w:tcBorders>
            <w:vAlign w:val="center"/>
            <w:hideMark/>
          </w:tcPr>
          <w:p w14:paraId="16C4C793"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2,8</w:t>
            </w:r>
          </w:p>
        </w:tc>
        <w:tc>
          <w:tcPr>
            <w:tcW w:w="1169" w:type="dxa"/>
            <w:gridSpan w:val="2"/>
            <w:tcBorders>
              <w:top w:val="nil"/>
              <w:left w:val="nil"/>
              <w:bottom w:val="single" w:sz="4" w:space="0" w:color="auto"/>
              <w:right w:val="nil"/>
            </w:tcBorders>
            <w:vAlign w:val="center"/>
            <w:hideMark/>
          </w:tcPr>
          <w:p w14:paraId="162916AA"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2,8</w:t>
            </w:r>
          </w:p>
        </w:tc>
        <w:tc>
          <w:tcPr>
            <w:tcW w:w="1169" w:type="dxa"/>
            <w:gridSpan w:val="2"/>
            <w:tcBorders>
              <w:top w:val="nil"/>
              <w:left w:val="nil"/>
              <w:bottom w:val="single" w:sz="4" w:space="0" w:color="auto"/>
              <w:right w:val="nil"/>
            </w:tcBorders>
            <w:vAlign w:val="center"/>
            <w:hideMark/>
          </w:tcPr>
          <w:p w14:paraId="41573D71"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2,8</w:t>
            </w:r>
          </w:p>
        </w:tc>
        <w:tc>
          <w:tcPr>
            <w:tcW w:w="1169" w:type="dxa"/>
            <w:gridSpan w:val="2"/>
            <w:tcBorders>
              <w:top w:val="nil"/>
              <w:left w:val="nil"/>
              <w:bottom w:val="single" w:sz="4" w:space="0" w:color="auto"/>
              <w:right w:val="nil"/>
            </w:tcBorders>
            <w:vAlign w:val="center"/>
            <w:hideMark/>
          </w:tcPr>
          <w:p w14:paraId="4ADCEF0B"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2,8</w:t>
            </w:r>
          </w:p>
        </w:tc>
        <w:tc>
          <w:tcPr>
            <w:tcW w:w="1171" w:type="dxa"/>
            <w:gridSpan w:val="2"/>
            <w:tcBorders>
              <w:top w:val="nil"/>
              <w:left w:val="nil"/>
              <w:bottom w:val="single" w:sz="4" w:space="0" w:color="auto"/>
              <w:right w:val="nil"/>
            </w:tcBorders>
            <w:vAlign w:val="center"/>
            <w:hideMark/>
          </w:tcPr>
          <w:p w14:paraId="18CB4E6B"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2,8</w:t>
            </w:r>
          </w:p>
        </w:tc>
      </w:tr>
      <w:tr w:rsidR="003E0F58" w:rsidRPr="00FC13F5" w14:paraId="5D0AB9C4" w14:textId="77777777" w:rsidTr="005F68F2">
        <w:trPr>
          <w:gridBefore w:val="1"/>
          <w:gridAfter w:val="2"/>
          <w:wBefore w:w="316" w:type="dxa"/>
          <w:wAfter w:w="1768" w:type="dxa"/>
          <w:trHeight w:val="280"/>
        </w:trPr>
        <w:tc>
          <w:tcPr>
            <w:tcW w:w="1274" w:type="dxa"/>
            <w:gridSpan w:val="2"/>
            <w:vMerge w:val="restart"/>
            <w:tcBorders>
              <w:top w:val="nil"/>
              <w:left w:val="nil"/>
              <w:bottom w:val="single" w:sz="4" w:space="0" w:color="000000"/>
              <w:right w:val="nil"/>
            </w:tcBorders>
            <w:hideMark/>
          </w:tcPr>
          <w:p w14:paraId="7B102D58" w14:textId="77777777" w:rsidR="003E0F58" w:rsidRPr="00FC13F5" w:rsidRDefault="003E0F58" w:rsidP="004D2249">
            <w:pPr>
              <w:jc w:val="left"/>
              <w:rPr>
                <w:rFonts w:cs="Times New Roman"/>
                <w:color w:val="000000"/>
                <w:sz w:val="20"/>
                <w:szCs w:val="20"/>
                <w:lang w:val="cs-CZ"/>
              </w:rPr>
            </w:pPr>
            <w:r w:rsidRPr="00FC13F5">
              <w:rPr>
                <w:rFonts w:cs="Times New Roman"/>
                <w:bCs/>
                <w:color w:val="000000"/>
                <w:sz w:val="20"/>
                <w:szCs w:val="20"/>
                <w:lang w:val="cs-CZ"/>
              </w:rPr>
              <w:t>ostatní listnaté</w:t>
            </w:r>
          </w:p>
        </w:tc>
        <w:tc>
          <w:tcPr>
            <w:tcW w:w="1018" w:type="dxa"/>
            <w:gridSpan w:val="2"/>
            <w:vAlign w:val="center"/>
            <w:hideMark/>
          </w:tcPr>
          <w:p w14:paraId="36A88DD1"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183 696</w:t>
            </w:r>
          </w:p>
        </w:tc>
        <w:tc>
          <w:tcPr>
            <w:tcW w:w="1169" w:type="dxa"/>
            <w:gridSpan w:val="2"/>
            <w:vAlign w:val="center"/>
            <w:hideMark/>
          </w:tcPr>
          <w:p w14:paraId="7B5566B6"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209 559</w:t>
            </w:r>
          </w:p>
        </w:tc>
        <w:tc>
          <w:tcPr>
            <w:tcW w:w="1169" w:type="dxa"/>
            <w:gridSpan w:val="2"/>
            <w:vAlign w:val="center"/>
            <w:hideMark/>
          </w:tcPr>
          <w:p w14:paraId="16524184"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219 363</w:t>
            </w:r>
          </w:p>
        </w:tc>
        <w:tc>
          <w:tcPr>
            <w:tcW w:w="1169" w:type="dxa"/>
            <w:gridSpan w:val="2"/>
            <w:vAlign w:val="center"/>
            <w:hideMark/>
          </w:tcPr>
          <w:p w14:paraId="6CA81FEB"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219 207</w:t>
            </w:r>
          </w:p>
        </w:tc>
        <w:tc>
          <w:tcPr>
            <w:tcW w:w="1169" w:type="dxa"/>
            <w:gridSpan w:val="2"/>
            <w:vAlign w:val="center"/>
            <w:hideMark/>
          </w:tcPr>
          <w:p w14:paraId="08DD78B4"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221 243</w:t>
            </w:r>
          </w:p>
        </w:tc>
        <w:tc>
          <w:tcPr>
            <w:tcW w:w="1171" w:type="dxa"/>
            <w:gridSpan w:val="2"/>
            <w:vAlign w:val="center"/>
            <w:hideMark/>
          </w:tcPr>
          <w:p w14:paraId="336C4E75"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223 103</w:t>
            </w:r>
          </w:p>
        </w:tc>
      </w:tr>
      <w:tr w:rsidR="003E0F58" w:rsidRPr="00FC13F5" w14:paraId="0AD00201" w14:textId="77777777" w:rsidTr="005F68F2">
        <w:trPr>
          <w:gridBefore w:val="1"/>
          <w:gridAfter w:val="2"/>
          <w:wBefore w:w="316" w:type="dxa"/>
          <w:wAfter w:w="1768" w:type="dxa"/>
          <w:trHeight w:val="280"/>
        </w:trPr>
        <w:tc>
          <w:tcPr>
            <w:tcW w:w="1274" w:type="dxa"/>
            <w:gridSpan w:val="2"/>
            <w:vMerge/>
            <w:tcBorders>
              <w:top w:val="nil"/>
              <w:left w:val="nil"/>
              <w:bottom w:val="single" w:sz="4" w:space="0" w:color="000000"/>
              <w:right w:val="nil"/>
            </w:tcBorders>
            <w:vAlign w:val="center"/>
            <w:hideMark/>
          </w:tcPr>
          <w:p w14:paraId="7F85772E" w14:textId="77777777" w:rsidR="003E0F58" w:rsidRPr="00FC13F5" w:rsidRDefault="003E0F58" w:rsidP="004D2249">
            <w:pPr>
              <w:jc w:val="left"/>
              <w:rPr>
                <w:rFonts w:cs="Times New Roman"/>
                <w:color w:val="000000"/>
                <w:sz w:val="20"/>
                <w:szCs w:val="20"/>
                <w:lang w:val="cs-CZ"/>
              </w:rPr>
            </w:pPr>
          </w:p>
        </w:tc>
        <w:tc>
          <w:tcPr>
            <w:tcW w:w="1018" w:type="dxa"/>
            <w:gridSpan w:val="2"/>
            <w:tcBorders>
              <w:top w:val="nil"/>
              <w:left w:val="nil"/>
              <w:bottom w:val="single" w:sz="4" w:space="0" w:color="auto"/>
              <w:right w:val="nil"/>
            </w:tcBorders>
            <w:vAlign w:val="center"/>
            <w:hideMark/>
          </w:tcPr>
          <w:p w14:paraId="3E3A1DE4"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7,1</w:t>
            </w:r>
          </w:p>
        </w:tc>
        <w:tc>
          <w:tcPr>
            <w:tcW w:w="1169" w:type="dxa"/>
            <w:gridSpan w:val="2"/>
            <w:tcBorders>
              <w:top w:val="nil"/>
              <w:left w:val="nil"/>
              <w:bottom w:val="single" w:sz="4" w:space="0" w:color="auto"/>
              <w:right w:val="nil"/>
            </w:tcBorders>
            <w:vAlign w:val="center"/>
            <w:hideMark/>
          </w:tcPr>
          <w:p w14:paraId="5699892C"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8,1</w:t>
            </w:r>
          </w:p>
        </w:tc>
        <w:tc>
          <w:tcPr>
            <w:tcW w:w="1169" w:type="dxa"/>
            <w:gridSpan w:val="2"/>
            <w:tcBorders>
              <w:top w:val="nil"/>
              <w:left w:val="nil"/>
              <w:bottom w:val="single" w:sz="4" w:space="0" w:color="auto"/>
              <w:right w:val="nil"/>
            </w:tcBorders>
            <w:vAlign w:val="center"/>
            <w:hideMark/>
          </w:tcPr>
          <w:p w14:paraId="5B30328D"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8,4</w:t>
            </w:r>
          </w:p>
        </w:tc>
        <w:tc>
          <w:tcPr>
            <w:tcW w:w="1169" w:type="dxa"/>
            <w:gridSpan w:val="2"/>
            <w:tcBorders>
              <w:top w:val="nil"/>
              <w:left w:val="nil"/>
              <w:bottom w:val="single" w:sz="4" w:space="0" w:color="auto"/>
              <w:right w:val="nil"/>
            </w:tcBorders>
            <w:vAlign w:val="center"/>
            <w:hideMark/>
          </w:tcPr>
          <w:p w14:paraId="631035B2"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8,4</w:t>
            </w:r>
          </w:p>
        </w:tc>
        <w:tc>
          <w:tcPr>
            <w:tcW w:w="1169" w:type="dxa"/>
            <w:gridSpan w:val="2"/>
            <w:tcBorders>
              <w:top w:val="nil"/>
              <w:left w:val="nil"/>
              <w:bottom w:val="single" w:sz="4" w:space="0" w:color="auto"/>
              <w:right w:val="nil"/>
            </w:tcBorders>
            <w:vAlign w:val="center"/>
            <w:hideMark/>
          </w:tcPr>
          <w:p w14:paraId="7FE8CBC5"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8,5</w:t>
            </w:r>
          </w:p>
        </w:tc>
        <w:tc>
          <w:tcPr>
            <w:tcW w:w="1171" w:type="dxa"/>
            <w:gridSpan w:val="2"/>
            <w:tcBorders>
              <w:top w:val="nil"/>
              <w:left w:val="nil"/>
              <w:bottom w:val="single" w:sz="4" w:space="0" w:color="auto"/>
              <w:right w:val="nil"/>
            </w:tcBorders>
            <w:vAlign w:val="center"/>
            <w:hideMark/>
          </w:tcPr>
          <w:p w14:paraId="20DE4A2A"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8,6</w:t>
            </w:r>
          </w:p>
        </w:tc>
      </w:tr>
      <w:tr w:rsidR="003E0F58" w:rsidRPr="00FC13F5" w14:paraId="46E048E5" w14:textId="77777777" w:rsidTr="005F68F2">
        <w:trPr>
          <w:gridBefore w:val="1"/>
          <w:gridAfter w:val="2"/>
          <w:wBefore w:w="316" w:type="dxa"/>
          <w:wAfter w:w="1768" w:type="dxa"/>
          <w:trHeight w:val="280"/>
        </w:trPr>
        <w:tc>
          <w:tcPr>
            <w:tcW w:w="1274" w:type="dxa"/>
            <w:gridSpan w:val="2"/>
            <w:vMerge w:val="restart"/>
            <w:tcBorders>
              <w:top w:val="nil"/>
              <w:left w:val="nil"/>
              <w:bottom w:val="single" w:sz="4" w:space="0" w:color="000000"/>
              <w:right w:val="nil"/>
            </w:tcBorders>
            <w:hideMark/>
          </w:tcPr>
          <w:p w14:paraId="68E9A48C" w14:textId="77777777" w:rsidR="003E0F58" w:rsidRPr="00FC13F5" w:rsidRDefault="003E0F58" w:rsidP="004D2249">
            <w:pPr>
              <w:jc w:val="left"/>
              <w:rPr>
                <w:rFonts w:cs="Times New Roman"/>
                <w:color w:val="000000"/>
                <w:sz w:val="20"/>
                <w:szCs w:val="20"/>
                <w:lang w:val="cs-CZ"/>
              </w:rPr>
            </w:pPr>
            <w:r w:rsidRPr="00FC13F5">
              <w:rPr>
                <w:rFonts w:cs="Times New Roman"/>
                <w:bCs/>
                <w:color w:val="000000"/>
                <w:sz w:val="20"/>
                <w:szCs w:val="20"/>
                <w:lang w:val="cs-CZ"/>
              </w:rPr>
              <w:t>listnaté</w:t>
            </w:r>
          </w:p>
        </w:tc>
        <w:tc>
          <w:tcPr>
            <w:tcW w:w="1018" w:type="dxa"/>
            <w:gridSpan w:val="2"/>
            <w:vAlign w:val="center"/>
            <w:hideMark/>
          </w:tcPr>
          <w:p w14:paraId="665A73F0" w14:textId="77777777" w:rsidR="003E0F58" w:rsidRPr="00FC13F5" w:rsidRDefault="003E0F58" w:rsidP="004D2249">
            <w:pPr>
              <w:jc w:val="right"/>
              <w:rPr>
                <w:rFonts w:cs="Times New Roman"/>
                <w:color w:val="000000"/>
                <w:sz w:val="20"/>
                <w:szCs w:val="20"/>
                <w:lang w:val="cs-CZ"/>
              </w:rPr>
            </w:pPr>
            <w:r w:rsidRPr="00FC13F5">
              <w:rPr>
                <w:rFonts w:cs="Times New Roman"/>
                <w:bCs/>
                <w:color w:val="000000"/>
                <w:sz w:val="20"/>
                <w:szCs w:val="20"/>
                <w:lang w:val="cs-CZ"/>
              </w:rPr>
              <w:t>576 808</w:t>
            </w:r>
          </w:p>
        </w:tc>
        <w:tc>
          <w:tcPr>
            <w:tcW w:w="1169" w:type="dxa"/>
            <w:gridSpan w:val="2"/>
            <w:vAlign w:val="center"/>
            <w:hideMark/>
          </w:tcPr>
          <w:p w14:paraId="371E994D" w14:textId="77777777" w:rsidR="003E0F58" w:rsidRPr="00FC13F5" w:rsidRDefault="003E0F58" w:rsidP="004D2249">
            <w:pPr>
              <w:jc w:val="right"/>
              <w:rPr>
                <w:rFonts w:cs="Times New Roman"/>
                <w:color w:val="000000"/>
                <w:sz w:val="20"/>
                <w:szCs w:val="20"/>
                <w:lang w:val="cs-CZ"/>
              </w:rPr>
            </w:pPr>
            <w:r w:rsidRPr="00FC13F5">
              <w:rPr>
                <w:rFonts w:cs="Times New Roman"/>
                <w:bCs/>
                <w:color w:val="000000"/>
                <w:sz w:val="20"/>
                <w:szCs w:val="20"/>
                <w:lang w:val="cs-CZ"/>
              </w:rPr>
              <w:t>650 287</w:t>
            </w:r>
          </w:p>
        </w:tc>
        <w:tc>
          <w:tcPr>
            <w:tcW w:w="1169" w:type="dxa"/>
            <w:gridSpan w:val="2"/>
            <w:vAlign w:val="center"/>
            <w:hideMark/>
          </w:tcPr>
          <w:p w14:paraId="2BEBF405"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683 178</w:t>
            </w:r>
          </w:p>
        </w:tc>
        <w:tc>
          <w:tcPr>
            <w:tcW w:w="1169" w:type="dxa"/>
            <w:gridSpan w:val="2"/>
            <w:vAlign w:val="center"/>
            <w:hideMark/>
          </w:tcPr>
          <w:p w14:paraId="15FD1D84" w14:textId="77777777" w:rsidR="003E0F58" w:rsidRPr="00FC13F5" w:rsidRDefault="003E0F58" w:rsidP="004D2249">
            <w:pPr>
              <w:jc w:val="right"/>
              <w:rPr>
                <w:rFonts w:cs="Times New Roman"/>
                <w:color w:val="000000"/>
                <w:sz w:val="20"/>
                <w:szCs w:val="20"/>
                <w:lang w:val="cs-CZ"/>
              </w:rPr>
            </w:pPr>
            <w:r w:rsidRPr="00FC13F5">
              <w:rPr>
                <w:rFonts w:cs="Times New Roman"/>
                <w:bCs/>
                <w:color w:val="000000"/>
                <w:sz w:val="20"/>
                <w:szCs w:val="20"/>
                <w:lang w:val="cs-CZ"/>
              </w:rPr>
              <w:t>687 882</w:t>
            </w:r>
          </w:p>
        </w:tc>
        <w:tc>
          <w:tcPr>
            <w:tcW w:w="1169" w:type="dxa"/>
            <w:gridSpan w:val="2"/>
            <w:vAlign w:val="center"/>
            <w:hideMark/>
          </w:tcPr>
          <w:p w14:paraId="2A61FF2F" w14:textId="77777777" w:rsidR="003E0F58" w:rsidRPr="00FC13F5" w:rsidRDefault="003E0F58" w:rsidP="004D2249">
            <w:pPr>
              <w:jc w:val="right"/>
              <w:rPr>
                <w:rFonts w:cs="Times New Roman"/>
                <w:color w:val="000000"/>
                <w:sz w:val="20"/>
                <w:szCs w:val="20"/>
                <w:lang w:val="cs-CZ"/>
              </w:rPr>
            </w:pPr>
            <w:r w:rsidRPr="00FC13F5">
              <w:rPr>
                <w:rFonts w:cs="Times New Roman"/>
                <w:bCs/>
                <w:color w:val="000000"/>
                <w:sz w:val="20"/>
                <w:szCs w:val="20"/>
                <w:lang w:val="cs-CZ"/>
              </w:rPr>
              <w:t>695 075</w:t>
            </w:r>
          </w:p>
        </w:tc>
        <w:tc>
          <w:tcPr>
            <w:tcW w:w="1171" w:type="dxa"/>
            <w:gridSpan w:val="2"/>
            <w:vAlign w:val="center"/>
            <w:hideMark/>
          </w:tcPr>
          <w:p w14:paraId="0C878AB0" w14:textId="77777777" w:rsidR="003E0F58" w:rsidRPr="00FC13F5" w:rsidRDefault="003E0F58" w:rsidP="004D2249">
            <w:pPr>
              <w:jc w:val="right"/>
              <w:rPr>
                <w:rFonts w:cs="Times New Roman"/>
                <w:color w:val="000000"/>
                <w:sz w:val="20"/>
                <w:szCs w:val="20"/>
                <w:lang w:val="cs-CZ"/>
              </w:rPr>
            </w:pPr>
            <w:r w:rsidRPr="00FC13F5">
              <w:rPr>
                <w:rFonts w:cs="Times New Roman"/>
                <w:bCs/>
                <w:color w:val="000000"/>
                <w:sz w:val="20"/>
                <w:szCs w:val="20"/>
                <w:lang w:val="cs-CZ"/>
              </w:rPr>
              <w:t>701 734</w:t>
            </w:r>
          </w:p>
        </w:tc>
      </w:tr>
      <w:tr w:rsidR="003E0F58" w:rsidRPr="00FC13F5" w14:paraId="54512F86" w14:textId="77777777" w:rsidTr="005F68F2">
        <w:trPr>
          <w:gridBefore w:val="1"/>
          <w:gridAfter w:val="2"/>
          <w:wBefore w:w="316" w:type="dxa"/>
          <w:wAfter w:w="1768" w:type="dxa"/>
          <w:trHeight w:val="280"/>
        </w:trPr>
        <w:tc>
          <w:tcPr>
            <w:tcW w:w="1274" w:type="dxa"/>
            <w:gridSpan w:val="2"/>
            <w:vMerge/>
            <w:tcBorders>
              <w:top w:val="nil"/>
              <w:left w:val="nil"/>
              <w:bottom w:val="single" w:sz="4" w:space="0" w:color="000000"/>
              <w:right w:val="nil"/>
            </w:tcBorders>
            <w:vAlign w:val="center"/>
            <w:hideMark/>
          </w:tcPr>
          <w:p w14:paraId="2559538F" w14:textId="77777777" w:rsidR="003E0F58" w:rsidRPr="00FC13F5" w:rsidRDefault="003E0F58" w:rsidP="004D2249">
            <w:pPr>
              <w:jc w:val="left"/>
              <w:rPr>
                <w:rFonts w:cs="Times New Roman"/>
                <w:color w:val="000000"/>
                <w:sz w:val="20"/>
                <w:szCs w:val="20"/>
                <w:lang w:val="cs-CZ"/>
              </w:rPr>
            </w:pPr>
          </w:p>
        </w:tc>
        <w:tc>
          <w:tcPr>
            <w:tcW w:w="1018" w:type="dxa"/>
            <w:gridSpan w:val="2"/>
            <w:tcBorders>
              <w:top w:val="nil"/>
              <w:left w:val="nil"/>
              <w:bottom w:val="single" w:sz="4" w:space="0" w:color="auto"/>
              <w:right w:val="nil"/>
            </w:tcBorders>
            <w:vAlign w:val="center"/>
            <w:hideMark/>
          </w:tcPr>
          <w:p w14:paraId="6EE74AAC" w14:textId="77777777" w:rsidR="003E0F58" w:rsidRPr="00FC13F5" w:rsidRDefault="003E0F58" w:rsidP="004D2249">
            <w:pPr>
              <w:jc w:val="right"/>
              <w:rPr>
                <w:rFonts w:cs="Times New Roman"/>
                <w:color w:val="000000"/>
                <w:sz w:val="20"/>
                <w:szCs w:val="20"/>
                <w:lang w:val="cs-CZ"/>
              </w:rPr>
            </w:pPr>
            <w:r w:rsidRPr="00FC13F5">
              <w:rPr>
                <w:rFonts w:cs="Times New Roman"/>
                <w:bCs/>
                <w:color w:val="000000"/>
                <w:sz w:val="20"/>
                <w:szCs w:val="20"/>
                <w:lang w:val="cs-CZ"/>
              </w:rPr>
              <w:t>22,3</w:t>
            </w:r>
          </w:p>
        </w:tc>
        <w:tc>
          <w:tcPr>
            <w:tcW w:w="1169" w:type="dxa"/>
            <w:gridSpan w:val="2"/>
            <w:tcBorders>
              <w:top w:val="nil"/>
              <w:left w:val="nil"/>
              <w:bottom w:val="single" w:sz="4" w:space="0" w:color="auto"/>
              <w:right w:val="nil"/>
            </w:tcBorders>
            <w:vAlign w:val="center"/>
            <w:hideMark/>
          </w:tcPr>
          <w:p w14:paraId="3A288B64" w14:textId="77777777" w:rsidR="003E0F58" w:rsidRPr="00FC13F5" w:rsidRDefault="003E0F58" w:rsidP="004D2249">
            <w:pPr>
              <w:jc w:val="right"/>
              <w:rPr>
                <w:rFonts w:cs="Times New Roman"/>
                <w:color w:val="000000"/>
                <w:sz w:val="20"/>
                <w:szCs w:val="20"/>
                <w:lang w:val="cs-CZ"/>
              </w:rPr>
            </w:pPr>
            <w:r w:rsidRPr="00FC13F5">
              <w:rPr>
                <w:rFonts w:cs="Times New Roman"/>
                <w:bCs/>
                <w:color w:val="000000"/>
                <w:sz w:val="20"/>
                <w:szCs w:val="20"/>
                <w:lang w:val="cs-CZ"/>
              </w:rPr>
              <w:t>25,1</w:t>
            </w:r>
          </w:p>
        </w:tc>
        <w:tc>
          <w:tcPr>
            <w:tcW w:w="1169" w:type="dxa"/>
            <w:gridSpan w:val="2"/>
            <w:tcBorders>
              <w:top w:val="nil"/>
              <w:left w:val="nil"/>
              <w:bottom w:val="single" w:sz="4" w:space="0" w:color="auto"/>
              <w:right w:val="nil"/>
            </w:tcBorders>
            <w:vAlign w:val="center"/>
            <w:hideMark/>
          </w:tcPr>
          <w:p w14:paraId="40784C2D"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26,3</w:t>
            </w:r>
          </w:p>
        </w:tc>
        <w:tc>
          <w:tcPr>
            <w:tcW w:w="1169" w:type="dxa"/>
            <w:gridSpan w:val="2"/>
            <w:tcBorders>
              <w:top w:val="nil"/>
              <w:left w:val="nil"/>
              <w:bottom w:val="single" w:sz="4" w:space="0" w:color="auto"/>
              <w:right w:val="nil"/>
            </w:tcBorders>
            <w:vAlign w:val="center"/>
            <w:hideMark/>
          </w:tcPr>
          <w:p w14:paraId="620F33CF"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26,5</w:t>
            </w:r>
          </w:p>
        </w:tc>
        <w:tc>
          <w:tcPr>
            <w:tcW w:w="1169" w:type="dxa"/>
            <w:gridSpan w:val="2"/>
            <w:tcBorders>
              <w:top w:val="nil"/>
              <w:left w:val="nil"/>
              <w:bottom w:val="single" w:sz="4" w:space="0" w:color="auto"/>
              <w:right w:val="nil"/>
            </w:tcBorders>
            <w:vAlign w:val="center"/>
            <w:hideMark/>
          </w:tcPr>
          <w:p w14:paraId="7C4387C1"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26,7</w:t>
            </w:r>
          </w:p>
        </w:tc>
        <w:tc>
          <w:tcPr>
            <w:tcW w:w="1171" w:type="dxa"/>
            <w:gridSpan w:val="2"/>
            <w:tcBorders>
              <w:top w:val="nil"/>
              <w:left w:val="nil"/>
              <w:bottom w:val="single" w:sz="4" w:space="0" w:color="auto"/>
              <w:right w:val="nil"/>
            </w:tcBorders>
            <w:vAlign w:val="center"/>
            <w:hideMark/>
          </w:tcPr>
          <w:p w14:paraId="45BBE51C"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27</w:t>
            </w:r>
          </w:p>
        </w:tc>
      </w:tr>
      <w:tr w:rsidR="003E0F58" w:rsidRPr="00FC13F5" w14:paraId="725617B3" w14:textId="77777777" w:rsidTr="005F68F2">
        <w:trPr>
          <w:gridBefore w:val="1"/>
          <w:gridAfter w:val="2"/>
          <w:wBefore w:w="316" w:type="dxa"/>
          <w:wAfter w:w="1768" w:type="dxa"/>
          <w:trHeight w:val="280"/>
        </w:trPr>
        <w:tc>
          <w:tcPr>
            <w:tcW w:w="1274" w:type="dxa"/>
            <w:gridSpan w:val="2"/>
            <w:vMerge w:val="restart"/>
            <w:tcBorders>
              <w:top w:val="nil"/>
              <w:left w:val="nil"/>
              <w:bottom w:val="single" w:sz="4" w:space="0" w:color="000000"/>
              <w:right w:val="nil"/>
            </w:tcBorders>
            <w:hideMark/>
          </w:tcPr>
          <w:p w14:paraId="4999050A" w14:textId="77777777" w:rsidR="003E0F58" w:rsidRPr="00FC13F5" w:rsidRDefault="003E0F58" w:rsidP="004D2249">
            <w:pPr>
              <w:jc w:val="left"/>
              <w:rPr>
                <w:rFonts w:cs="Times New Roman"/>
                <w:color w:val="000000"/>
                <w:sz w:val="20"/>
                <w:szCs w:val="20"/>
                <w:lang w:val="cs-CZ"/>
              </w:rPr>
            </w:pPr>
            <w:r w:rsidRPr="00FC13F5">
              <w:rPr>
                <w:rFonts w:cs="Times New Roman"/>
                <w:bCs/>
                <w:color w:val="000000"/>
                <w:sz w:val="20"/>
                <w:szCs w:val="20"/>
                <w:lang w:val="cs-CZ"/>
              </w:rPr>
              <w:t>Celkem bez holiny</w:t>
            </w:r>
          </w:p>
        </w:tc>
        <w:tc>
          <w:tcPr>
            <w:tcW w:w="1018" w:type="dxa"/>
            <w:gridSpan w:val="2"/>
            <w:vAlign w:val="center"/>
            <w:hideMark/>
          </w:tcPr>
          <w:p w14:paraId="0E6336EA" w14:textId="77777777" w:rsidR="003E0F58" w:rsidRPr="00FC13F5" w:rsidRDefault="003E0F58" w:rsidP="004D2249">
            <w:pPr>
              <w:jc w:val="right"/>
              <w:rPr>
                <w:rFonts w:cs="Times New Roman"/>
                <w:color w:val="000000"/>
                <w:sz w:val="20"/>
                <w:szCs w:val="20"/>
                <w:lang w:val="cs-CZ"/>
              </w:rPr>
            </w:pPr>
            <w:r w:rsidRPr="00FC13F5">
              <w:rPr>
                <w:rFonts w:cs="Times New Roman"/>
                <w:bCs/>
                <w:color w:val="000000"/>
                <w:sz w:val="20"/>
                <w:szCs w:val="20"/>
                <w:lang w:val="cs-CZ"/>
              </w:rPr>
              <w:t>2 551 873</w:t>
            </w:r>
          </w:p>
        </w:tc>
        <w:tc>
          <w:tcPr>
            <w:tcW w:w="1169" w:type="dxa"/>
            <w:gridSpan w:val="2"/>
            <w:vAlign w:val="center"/>
            <w:hideMark/>
          </w:tcPr>
          <w:p w14:paraId="0F3E602A" w14:textId="77777777" w:rsidR="003E0F58" w:rsidRPr="00FC13F5" w:rsidRDefault="003E0F58" w:rsidP="004D2249">
            <w:pPr>
              <w:jc w:val="right"/>
              <w:rPr>
                <w:rFonts w:cs="Times New Roman"/>
                <w:color w:val="000000"/>
                <w:sz w:val="20"/>
                <w:szCs w:val="20"/>
                <w:lang w:val="cs-CZ"/>
              </w:rPr>
            </w:pPr>
            <w:r w:rsidRPr="00FC13F5">
              <w:rPr>
                <w:rFonts w:cs="Times New Roman"/>
                <w:bCs/>
                <w:color w:val="000000"/>
                <w:sz w:val="20"/>
                <w:szCs w:val="20"/>
                <w:lang w:val="cs-CZ"/>
              </w:rPr>
              <w:t>2 566 816</w:t>
            </w:r>
          </w:p>
        </w:tc>
        <w:tc>
          <w:tcPr>
            <w:tcW w:w="1169" w:type="dxa"/>
            <w:gridSpan w:val="2"/>
            <w:vAlign w:val="center"/>
            <w:hideMark/>
          </w:tcPr>
          <w:p w14:paraId="66FBE4BA"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2 569 302</w:t>
            </w:r>
          </w:p>
        </w:tc>
        <w:tc>
          <w:tcPr>
            <w:tcW w:w="1169" w:type="dxa"/>
            <w:gridSpan w:val="2"/>
            <w:vAlign w:val="center"/>
            <w:hideMark/>
          </w:tcPr>
          <w:p w14:paraId="6882999F" w14:textId="77777777" w:rsidR="003E0F58" w:rsidRPr="00FC13F5" w:rsidRDefault="003E0F58" w:rsidP="004D2249">
            <w:pPr>
              <w:jc w:val="right"/>
              <w:rPr>
                <w:rFonts w:cs="Times New Roman"/>
                <w:color w:val="000000"/>
                <w:sz w:val="20"/>
                <w:szCs w:val="20"/>
                <w:lang w:val="cs-CZ"/>
              </w:rPr>
            </w:pPr>
            <w:r w:rsidRPr="00FC13F5">
              <w:rPr>
                <w:rFonts w:cs="Times New Roman"/>
                <w:bCs/>
                <w:color w:val="000000"/>
                <w:sz w:val="20"/>
                <w:szCs w:val="20"/>
                <w:lang w:val="cs-CZ"/>
              </w:rPr>
              <w:t>2 568 227</w:t>
            </w:r>
          </w:p>
        </w:tc>
        <w:tc>
          <w:tcPr>
            <w:tcW w:w="1169" w:type="dxa"/>
            <w:gridSpan w:val="2"/>
            <w:vAlign w:val="center"/>
            <w:hideMark/>
          </w:tcPr>
          <w:p w14:paraId="754C51BC" w14:textId="77777777" w:rsidR="003E0F58" w:rsidRPr="00FC13F5" w:rsidRDefault="003E0F58" w:rsidP="004D2249">
            <w:pPr>
              <w:jc w:val="right"/>
              <w:rPr>
                <w:rFonts w:cs="Times New Roman"/>
                <w:color w:val="000000"/>
                <w:sz w:val="20"/>
                <w:szCs w:val="20"/>
                <w:lang w:val="cs-CZ"/>
              </w:rPr>
            </w:pPr>
            <w:r w:rsidRPr="00FC13F5">
              <w:rPr>
                <w:rFonts w:cs="Times New Roman"/>
                <w:bCs/>
                <w:color w:val="000000"/>
                <w:sz w:val="20"/>
                <w:szCs w:val="20"/>
                <w:lang w:val="cs-CZ"/>
              </w:rPr>
              <w:t>2 570 036</w:t>
            </w:r>
          </w:p>
        </w:tc>
        <w:tc>
          <w:tcPr>
            <w:tcW w:w="1171" w:type="dxa"/>
            <w:gridSpan w:val="2"/>
            <w:vAlign w:val="center"/>
            <w:hideMark/>
          </w:tcPr>
          <w:p w14:paraId="0BE8857F" w14:textId="77777777" w:rsidR="003E0F58" w:rsidRPr="00FC13F5" w:rsidRDefault="003E0F58" w:rsidP="004D2249">
            <w:pPr>
              <w:jc w:val="right"/>
              <w:rPr>
                <w:rFonts w:cs="Times New Roman"/>
                <w:color w:val="000000"/>
                <w:sz w:val="20"/>
                <w:szCs w:val="20"/>
                <w:lang w:val="cs-CZ"/>
              </w:rPr>
            </w:pPr>
            <w:r w:rsidRPr="00FC13F5">
              <w:rPr>
                <w:rFonts w:cs="Times New Roman"/>
                <w:bCs/>
                <w:color w:val="000000"/>
                <w:sz w:val="20"/>
                <w:szCs w:val="20"/>
                <w:lang w:val="cs-CZ"/>
              </w:rPr>
              <w:t>2 571 749</w:t>
            </w:r>
          </w:p>
        </w:tc>
      </w:tr>
      <w:tr w:rsidR="003E0F58" w:rsidRPr="00FC13F5" w14:paraId="313F68DD" w14:textId="77777777" w:rsidTr="005F68F2">
        <w:trPr>
          <w:gridBefore w:val="1"/>
          <w:gridAfter w:val="2"/>
          <w:wBefore w:w="316" w:type="dxa"/>
          <w:wAfter w:w="1768" w:type="dxa"/>
          <w:trHeight w:val="280"/>
        </w:trPr>
        <w:tc>
          <w:tcPr>
            <w:tcW w:w="1274" w:type="dxa"/>
            <w:gridSpan w:val="2"/>
            <w:vMerge/>
            <w:tcBorders>
              <w:top w:val="nil"/>
              <w:left w:val="nil"/>
              <w:bottom w:val="single" w:sz="4" w:space="0" w:color="000000"/>
              <w:right w:val="nil"/>
            </w:tcBorders>
            <w:vAlign w:val="center"/>
            <w:hideMark/>
          </w:tcPr>
          <w:p w14:paraId="6BD82190" w14:textId="77777777" w:rsidR="003E0F58" w:rsidRPr="00FC13F5" w:rsidRDefault="003E0F58" w:rsidP="004D2249">
            <w:pPr>
              <w:jc w:val="left"/>
              <w:rPr>
                <w:rFonts w:cs="Times New Roman"/>
                <w:color w:val="000000"/>
                <w:sz w:val="20"/>
                <w:szCs w:val="20"/>
                <w:lang w:val="cs-CZ"/>
              </w:rPr>
            </w:pPr>
          </w:p>
        </w:tc>
        <w:tc>
          <w:tcPr>
            <w:tcW w:w="1018" w:type="dxa"/>
            <w:gridSpan w:val="2"/>
            <w:tcBorders>
              <w:top w:val="nil"/>
              <w:left w:val="nil"/>
              <w:bottom w:val="single" w:sz="4" w:space="0" w:color="auto"/>
              <w:right w:val="nil"/>
            </w:tcBorders>
            <w:vAlign w:val="center"/>
            <w:hideMark/>
          </w:tcPr>
          <w:p w14:paraId="5D8C951C" w14:textId="77777777" w:rsidR="003E0F58" w:rsidRPr="00FC13F5" w:rsidRDefault="003E0F58" w:rsidP="004D2249">
            <w:pPr>
              <w:jc w:val="right"/>
              <w:rPr>
                <w:rFonts w:cs="Times New Roman"/>
                <w:color w:val="000000"/>
                <w:sz w:val="20"/>
                <w:szCs w:val="20"/>
                <w:lang w:val="cs-CZ"/>
              </w:rPr>
            </w:pPr>
            <w:r w:rsidRPr="00FC13F5">
              <w:rPr>
                <w:rFonts w:cs="Times New Roman"/>
                <w:bCs/>
                <w:color w:val="000000"/>
                <w:sz w:val="20"/>
                <w:szCs w:val="20"/>
                <w:lang w:val="cs-CZ"/>
              </w:rPr>
              <w:t>98,8</w:t>
            </w:r>
          </w:p>
        </w:tc>
        <w:tc>
          <w:tcPr>
            <w:tcW w:w="1169" w:type="dxa"/>
            <w:gridSpan w:val="2"/>
            <w:tcBorders>
              <w:top w:val="nil"/>
              <w:left w:val="nil"/>
              <w:bottom w:val="single" w:sz="4" w:space="0" w:color="auto"/>
              <w:right w:val="nil"/>
            </w:tcBorders>
            <w:vAlign w:val="center"/>
            <w:hideMark/>
          </w:tcPr>
          <w:p w14:paraId="7541407D" w14:textId="77777777" w:rsidR="003E0F58" w:rsidRPr="00FC13F5" w:rsidRDefault="003E0F58" w:rsidP="004D2249">
            <w:pPr>
              <w:jc w:val="right"/>
              <w:rPr>
                <w:rFonts w:cs="Times New Roman"/>
                <w:color w:val="000000"/>
                <w:sz w:val="20"/>
                <w:szCs w:val="20"/>
                <w:lang w:val="cs-CZ"/>
              </w:rPr>
            </w:pPr>
            <w:r w:rsidRPr="00FC13F5">
              <w:rPr>
                <w:rFonts w:cs="Times New Roman"/>
                <w:bCs/>
                <w:color w:val="000000"/>
                <w:sz w:val="20"/>
                <w:szCs w:val="20"/>
                <w:lang w:val="cs-CZ"/>
              </w:rPr>
              <w:t>98,9</w:t>
            </w:r>
          </w:p>
        </w:tc>
        <w:tc>
          <w:tcPr>
            <w:tcW w:w="1169" w:type="dxa"/>
            <w:gridSpan w:val="2"/>
            <w:tcBorders>
              <w:top w:val="nil"/>
              <w:left w:val="nil"/>
              <w:bottom w:val="single" w:sz="4" w:space="0" w:color="auto"/>
              <w:right w:val="nil"/>
            </w:tcBorders>
            <w:vAlign w:val="center"/>
            <w:hideMark/>
          </w:tcPr>
          <w:p w14:paraId="6353FC23"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98,7</w:t>
            </w:r>
          </w:p>
        </w:tc>
        <w:tc>
          <w:tcPr>
            <w:tcW w:w="1169" w:type="dxa"/>
            <w:gridSpan w:val="2"/>
            <w:tcBorders>
              <w:top w:val="nil"/>
              <w:left w:val="nil"/>
              <w:bottom w:val="single" w:sz="4" w:space="0" w:color="auto"/>
              <w:right w:val="nil"/>
            </w:tcBorders>
            <w:vAlign w:val="center"/>
            <w:hideMark/>
          </w:tcPr>
          <w:p w14:paraId="27FCA6F4"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98,8</w:t>
            </w:r>
          </w:p>
        </w:tc>
        <w:tc>
          <w:tcPr>
            <w:tcW w:w="1169" w:type="dxa"/>
            <w:gridSpan w:val="2"/>
            <w:tcBorders>
              <w:top w:val="nil"/>
              <w:left w:val="nil"/>
              <w:bottom w:val="single" w:sz="4" w:space="0" w:color="auto"/>
              <w:right w:val="nil"/>
            </w:tcBorders>
            <w:vAlign w:val="center"/>
            <w:hideMark/>
          </w:tcPr>
          <w:p w14:paraId="229DA91F"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98,8</w:t>
            </w:r>
          </w:p>
        </w:tc>
        <w:tc>
          <w:tcPr>
            <w:tcW w:w="1171" w:type="dxa"/>
            <w:gridSpan w:val="2"/>
            <w:tcBorders>
              <w:top w:val="nil"/>
              <w:left w:val="nil"/>
              <w:bottom w:val="single" w:sz="4" w:space="0" w:color="auto"/>
              <w:right w:val="nil"/>
            </w:tcBorders>
            <w:vAlign w:val="center"/>
            <w:hideMark/>
          </w:tcPr>
          <w:p w14:paraId="156DD2DF" w14:textId="77777777" w:rsidR="003E0F58" w:rsidRPr="00FC13F5" w:rsidRDefault="003E0F58" w:rsidP="004D2249">
            <w:pPr>
              <w:jc w:val="right"/>
              <w:rPr>
                <w:rFonts w:cs="Times New Roman"/>
                <w:color w:val="000000"/>
                <w:sz w:val="20"/>
                <w:szCs w:val="20"/>
                <w:lang w:val="cs-CZ"/>
              </w:rPr>
            </w:pPr>
            <w:r w:rsidRPr="00FC13F5">
              <w:rPr>
                <w:rFonts w:cs="Times New Roman"/>
                <w:color w:val="000000"/>
                <w:sz w:val="20"/>
                <w:szCs w:val="20"/>
                <w:lang w:val="cs-CZ"/>
              </w:rPr>
              <w:t>98,8</w:t>
            </w:r>
          </w:p>
        </w:tc>
      </w:tr>
    </w:tbl>
    <w:p w14:paraId="68A6B46F" w14:textId="77777777" w:rsidR="003E0F58" w:rsidRPr="007C705C" w:rsidRDefault="003E0F58" w:rsidP="005D28F1">
      <w:pPr>
        <w:spacing w:after="200" w:line="276" w:lineRule="auto"/>
        <w:rPr>
          <w:rFonts w:eastAsia="Calibri" w:cs="Times New Roman"/>
          <w:sz w:val="22"/>
          <w:lang w:val="cs-CZ"/>
        </w:rPr>
      </w:pPr>
    </w:p>
    <w:p w14:paraId="5E64F178" w14:textId="77777777" w:rsidR="003E0F58" w:rsidRPr="007C705C" w:rsidRDefault="003E0F58" w:rsidP="008A1AE3">
      <w:pPr>
        <w:pStyle w:val="Odstavecseseznamem"/>
        <w:numPr>
          <w:ilvl w:val="0"/>
          <w:numId w:val="17"/>
        </w:numPr>
        <w:spacing w:before="60" w:line="360" w:lineRule="atLeast"/>
        <w:rPr>
          <w:rFonts w:eastAsiaTheme="minorEastAsia"/>
          <w:b/>
          <w:bCs/>
        </w:rPr>
      </w:pPr>
      <w:r w:rsidRPr="007C705C">
        <w:rPr>
          <w:rFonts w:eastAsiaTheme="minorEastAsia"/>
          <w:b/>
          <w:bCs/>
        </w:rPr>
        <w:t>Protierozní, protipovodňová a retenční opatření v lesích</w:t>
      </w:r>
    </w:p>
    <w:p w14:paraId="61907F0E" w14:textId="77777777" w:rsidR="003E0F58" w:rsidRPr="007C705C" w:rsidRDefault="003E0F58" w:rsidP="005D28F1">
      <w:pPr>
        <w:pStyle w:val="UZEINormaln"/>
        <w:rPr>
          <w:rFonts w:eastAsia="Calibri"/>
        </w:rPr>
      </w:pPr>
      <w:r w:rsidRPr="007C705C">
        <w:rPr>
          <w:rFonts w:eastAsia="Calibri"/>
        </w:rPr>
        <w:t>Retence odtoku srážkové vody je v lesích ovlivněna velikostí a intenzitou srážky, vsakovací schopností lesních půd, povrchem terénu a vlastnostmi vegetačního krytu a technickými díly člověka. Velikost a intenzita srážky je dána především meteorologickou situací, ale i nadmořskou výškou a reliéfem území. Nebezpečné jsou zejména přívalové srážky, které se dají velmi těžko předpovídat. Velikost a intenzitu srážky nelze lesním hospodařením ovlivnit.</w:t>
      </w:r>
    </w:p>
    <w:p w14:paraId="7F671C97" w14:textId="77777777" w:rsidR="003E0F58" w:rsidRPr="007C705C" w:rsidRDefault="003E0F58" w:rsidP="005D28F1">
      <w:pPr>
        <w:pStyle w:val="UZEINormaln"/>
        <w:rPr>
          <w:rFonts w:eastAsia="Calibri"/>
        </w:rPr>
      </w:pPr>
      <w:r w:rsidRPr="007C705C">
        <w:rPr>
          <w:rFonts w:eastAsia="Calibri"/>
        </w:rPr>
        <w:t xml:space="preserve">Vsakovací schopnost lesních půd je ovlivněna mnoha faktory (geologické podloží, půdní druh a typ, pórovitost, vegetační kryt, hutnění nevhodným hospodařením atd.). Vsakováním srážkové vody se mění povrchový odtok na podzemní, čímž se zpožďuje jeho koncentrace do povodňové vlny a snižuje se intenzita půdní eroze. Všechny výše uvedené vlastnosti lesních půd z pohledu schopností vsakování vody jsou mimo jiné odvislé od množství a kvality nadložního humusu, celkovému množství organické hmoty. V této souvislosti je důležitým faktorem množství ponechávané dřevní hmoty a její kvalita. Zde zahrnujeme hmotu padlých kmenů, větví, množství a kvalitu těžebního odpadu atp. Průměrné hodnoty zásoby mrtvé hmoty v přirozených lesích napříč škálou biotopů ČR se pohybují nejčastěji v rozmezí 20–30 % (Vrška a kol.). Z vlastností terénu jsou nejdůležitější sklon, tvar a délka svahů, hydrologické vlastnosti povodí a přítomnost terénních depresí, ve kterých se může srážková voda hromadit. </w:t>
      </w:r>
    </w:p>
    <w:p w14:paraId="31C0CB43" w14:textId="77777777" w:rsidR="003E0F58" w:rsidRPr="007C705C" w:rsidRDefault="003E0F58" w:rsidP="005D28F1">
      <w:pPr>
        <w:pStyle w:val="UZEINormaln"/>
        <w:rPr>
          <w:rFonts w:eastAsia="Calibri"/>
        </w:rPr>
      </w:pPr>
      <w:r w:rsidRPr="007C705C">
        <w:rPr>
          <w:rFonts w:eastAsia="Calibri"/>
        </w:rPr>
        <w:lastRenderedPageBreak/>
        <w:t>Vegetační kryt ovlivňuje retenci intercepcí, ovlivněním vsakovacích schopností půdy a někdy i zcela specifickými účinky, jako např. „doškový efekt“ travních porostů.</w:t>
      </w:r>
    </w:p>
    <w:p w14:paraId="4C428D4D" w14:textId="77777777" w:rsidR="003E0F58" w:rsidRPr="007C705C" w:rsidRDefault="003E0F58" w:rsidP="005D28F1">
      <w:pPr>
        <w:pStyle w:val="UZEINormaln"/>
        <w:rPr>
          <w:rFonts w:eastAsia="Calibri"/>
        </w:rPr>
      </w:pPr>
      <w:r w:rsidRPr="007C705C">
        <w:rPr>
          <w:rFonts w:eastAsia="Calibri"/>
        </w:rPr>
        <w:t>Technická díla člověka, která ovlivňují retenci, jsou především retenční nádrže, meliorační sítě, ale i vhodně nebo nevhodně vedené cesty.</w:t>
      </w:r>
    </w:p>
    <w:p w14:paraId="30339326" w14:textId="77777777" w:rsidR="003E0F58" w:rsidRPr="007C705C" w:rsidRDefault="003E0F58" w:rsidP="005D28F1">
      <w:pPr>
        <w:pStyle w:val="UZEINormaln"/>
        <w:rPr>
          <w:rFonts w:eastAsia="Calibri"/>
        </w:rPr>
      </w:pPr>
      <w:r w:rsidRPr="007C705C">
        <w:rPr>
          <w:rFonts w:eastAsia="Calibri"/>
        </w:rPr>
        <w:t>Podle Národního akčního plánu adaptace na změnu klimatu není vliv změny klimatu na výskyt a intenzitu přívalových povodní dosud zcela kvantifikován. Očekává se změna v sezónním rozdělení srážek (nárůst srážek v zimě a úbytek srážek v létě), přičemž zásadní vliv na výskyt “bleskových“ povodní má mít předpokládaná změna distribuce letních srážek (častější výskyt extrémních srážek). V této věci v současnosti teprve probíhá vícečetný výzkum.</w:t>
      </w:r>
    </w:p>
    <w:p w14:paraId="46D4E04A" w14:textId="25538250" w:rsidR="003E0F58" w:rsidRPr="005D28F1" w:rsidRDefault="003E0F58" w:rsidP="005D28F1">
      <w:pPr>
        <w:pStyle w:val="UZEINormaln"/>
        <w:rPr>
          <w:rFonts w:eastAsia="Calibri"/>
        </w:rPr>
      </w:pPr>
      <w:r w:rsidRPr="007C705C">
        <w:rPr>
          <w:rFonts w:eastAsia="Calibri"/>
        </w:rPr>
        <w:t>O rozsahu povodňových škod v lesních vypovídá statistika Lesů České republiky, s. p., který je správcem drobných vodních toků v lesích a vlastníkem malých vodních nádrží v lesích. Z údajů v </w:t>
      </w:r>
      <w:r w:rsidR="008A6639">
        <w:rPr>
          <w:rFonts w:eastAsia="Calibri"/>
        </w:rPr>
        <w:fldChar w:fldCharType="begin"/>
      </w:r>
      <w:r w:rsidR="008A6639">
        <w:rPr>
          <w:rFonts w:eastAsia="Calibri"/>
        </w:rPr>
        <w:instrText xml:space="preserve"> REF _Ref81748534 \r \h </w:instrText>
      </w:r>
      <w:r w:rsidR="008A6639">
        <w:rPr>
          <w:rFonts w:eastAsia="Calibri"/>
        </w:rPr>
      </w:r>
      <w:r w:rsidR="008A6639">
        <w:rPr>
          <w:rFonts w:eastAsia="Calibri"/>
        </w:rPr>
        <w:fldChar w:fldCharType="separate"/>
      </w:r>
      <w:r w:rsidR="008A6639">
        <w:rPr>
          <w:rFonts w:eastAsia="Calibri"/>
        </w:rPr>
        <w:t>Tabulka 4</w:t>
      </w:r>
      <w:r w:rsidR="008A6639">
        <w:rPr>
          <w:rFonts w:eastAsia="Calibri"/>
        </w:rPr>
        <w:fldChar w:fldCharType="end"/>
      </w:r>
      <w:r w:rsidR="001F7140">
        <w:rPr>
          <w:rFonts w:eastAsia="Calibri"/>
        </w:rPr>
        <w:t>8</w:t>
      </w:r>
      <w:r w:rsidR="008A6639">
        <w:rPr>
          <w:rFonts w:eastAsia="Calibri"/>
        </w:rPr>
        <w:t xml:space="preserve"> </w:t>
      </w:r>
      <w:r w:rsidRPr="007C705C">
        <w:rPr>
          <w:rFonts w:eastAsia="Calibri"/>
        </w:rPr>
        <w:t>je zřejmé, že tzv. „bleskové“ přívalové povodně se vyskytují prakticky každý rok, přičemž v určitých periodách dosahují značného rozsahu.</w:t>
      </w:r>
    </w:p>
    <w:p w14:paraId="6FAD6181" w14:textId="7B4477B0" w:rsidR="003E0F58" w:rsidRPr="007C705C" w:rsidRDefault="005D28F1" w:rsidP="005D28F1">
      <w:pPr>
        <w:pStyle w:val="UZEITaB"/>
        <w:rPr>
          <w:rFonts w:eastAsia="Calibri"/>
        </w:rPr>
      </w:pPr>
      <w:bookmarkStart w:id="325" w:name="_Toc15309858"/>
      <w:bookmarkStart w:id="326" w:name="_Toc77245835"/>
      <w:r>
        <w:rPr>
          <w:rFonts w:eastAsia="Calibri"/>
        </w:rPr>
        <w:t xml:space="preserve"> </w:t>
      </w:r>
      <w:bookmarkStart w:id="327" w:name="_Ref81748534"/>
      <w:bookmarkStart w:id="328" w:name="_Toc94181599"/>
      <w:r w:rsidR="003E0F58" w:rsidRPr="007C705C">
        <w:rPr>
          <w:rFonts w:eastAsia="Calibri"/>
        </w:rPr>
        <w:t>Významné povodně v lesních povodích</w:t>
      </w:r>
      <w:bookmarkEnd w:id="325"/>
      <w:bookmarkEnd w:id="326"/>
      <w:bookmarkEnd w:id="327"/>
      <w:bookmarkEnd w:id="328"/>
    </w:p>
    <w:tbl>
      <w:tblPr>
        <w:tblW w:w="948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6"/>
        <w:gridCol w:w="5372"/>
        <w:gridCol w:w="3307"/>
      </w:tblGrid>
      <w:tr w:rsidR="003E0F58" w:rsidRPr="005D28F1" w14:paraId="7D36EB2A" w14:textId="77777777" w:rsidTr="005D28F1">
        <w:tc>
          <w:tcPr>
            <w:tcW w:w="806" w:type="dxa"/>
            <w:shd w:val="clear" w:color="auto" w:fill="auto"/>
          </w:tcPr>
          <w:p w14:paraId="69827DE8" w14:textId="77777777" w:rsidR="003E0F58" w:rsidRPr="005D28F1" w:rsidRDefault="003E0F58" w:rsidP="004D2249">
            <w:pPr>
              <w:spacing w:before="120" w:line="276" w:lineRule="auto"/>
              <w:ind w:right="113"/>
              <w:rPr>
                <w:rFonts w:eastAsia="Calibri" w:cs="Times New Roman"/>
                <w:b/>
                <w:sz w:val="20"/>
                <w:szCs w:val="20"/>
                <w:lang w:val="cs-CZ"/>
              </w:rPr>
            </w:pPr>
            <w:r w:rsidRPr="005D28F1">
              <w:rPr>
                <w:rFonts w:eastAsia="Calibri" w:cs="Times New Roman"/>
                <w:b/>
                <w:sz w:val="20"/>
                <w:szCs w:val="20"/>
                <w:lang w:val="cs-CZ"/>
              </w:rPr>
              <w:t>Rok</w:t>
            </w:r>
          </w:p>
        </w:tc>
        <w:tc>
          <w:tcPr>
            <w:tcW w:w="5372" w:type="dxa"/>
            <w:shd w:val="clear" w:color="auto" w:fill="auto"/>
          </w:tcPr>
          <w:p w14:paraId="4E252AC9" w14:textId="77777777" w:rsidR="003E0F58" w:rsidRPr="005D28F1" w:rsidRDefault="003E0F58" w:rsidP="004D2249">
            <w:pPr>
              <w:spacing w:before="120" w:line="276" w:lineRule="auto"/>
              <w:ind w:right="113"/>
              <w:rPr>
                <w:rFonts w:eastAsia="Calibri" w:cs="Times New Roman"/>
                <w:b/>
                <w:sz w:val="20"/>
                <w:szCs w:val="20"/>
                <w:lang w:val="cs-CZ"/>
              </w:rPr>
            </w:pPr>
            <w:r w:rsidRPr="005D28F1">
              <w:rPr>
                <w:rFonts w:eastAsia="Calibri" w:cs="Times New Roman"/>
                <w:b/>
                <w:sz w:val="20"/>
                <w:szCs w:val="20"/>
                <w:lang w:val="cs-CZ"/>
              </w:rPr>
              <w:t>Výskyt významných povodní v lesních povodích</w:t>
            </w:r>
          </w:p>
        </w:tc>
        <w:tc>
          <w:tcPr>
            <w:tcW w:w="3307" w:type="dxa"/>
            <w:shd w:val="clear" w:color="auto" w:fill="auto"/>
          </w:tcPr>
          <w:p w14:paraId="02E74461" w14:textId="77777777" w:rsidR="003E0F58" w:rsidRPr="005D28F1" w:rsidRDefault="003E0F58" w:rsidP="004D2249">
            <w:pPr>
              <w:spacing w:before="120" w:line="276" w:lineRule="auto"/>
              <w:ind w:right="113"/>
              <w:rPr>
                <w:rFonts w:eastAsia="Calibri" w:cs="Times New Roman"/>
                <w:b/>
                <w:sz w:val="20"/>
                <w:szCs w:val="20"/>
                <w:lang w:val="cs-CZ"/>
              </w:rPr>
            </w:pPr>
            <w:r w:rsidRPr="005D28F1">
              <w:rPr>
                <w:rFonts w:eastAsia="Calibri" w:cs="Times New Roman"/>
                <w:b/>
                <w:sz w:val="20"/>
                <w:szCs w:val="20"/>
                <w:lang w:val="cs-CZ"/>
              </w:rPr>
              <w:t>Náklady na odstraňování škod</w:t>
            </w:r>
          </w:p>
        </w:tc>
      </w:tr>
      <w:tr w:rsidR="003E0F58" w:rsidRPr="005D28F1" w14:paraId="51A19A1F" w14:textId="77777777" w:rsidTr="005D28F1">
        <w:tc>
          <w:tcPr>
            <w:tcW w:w="806" w:type="dxa"/>
            <w:shd w:val="clear" w:color="auto" w:fill="auto"/>
          </w:tcPr>
          <w:p w14:paraId="3EE8B7BA" w14:textId="77777777" w:rsidR="003E0F58" w:rsidRPr="005D28F1" w:rsidRDefault="003E0F58" w:rsidP="004D2249">
            <w:pPr>
              <w:spacing w:before="120" w:line="276" w:lineRule="auto"/>
              <w:ind w:right="113"/>
              <w:rPr>
                <w:rFonts w:eastAsia="Calibri" w:cs="Times New Roman"/>
                <w:sz w:val="20"/>
                <w:szCs w:val="20"/>
                <w:lang w:val="cs-CZ"/>
              </w:rPr>
            </w:pPr>
            <w:r w:rsidRPr="005D28F1">
              <w:rPr>
                <w:rFonts w:eastAsia="Calibri" w:cs="Times New Roman"/>
                <w:sz w:val="20"/>
                <w:szCs w:val="20"/>
                <w:lang w:val="cs-CZ"/>
              </w:rPr>
              <w:t>2010</w:t>
            </w:r>
          </w:p>
        </w:tc>
        <w:tc>
          <w:tcPr>
            <w:tcW w:w="5372" w:type="dxa"/>
            <w:shd w:val="clear" w:color="auto" w:fill="auto"/>
          </w:tcPr>
          <w:p w14:paraId="00DD22BB" w14:textId="77777777" w:rsidR="003E0F58" w:rsidRPr="005D28F1" w:rsidRDefault="003E0F58" w:rsidP="004D2249">
            <w:pPr>
              <w:spacing w:before="120" w:line="276" w:lineRule="auto"/>
              <w:ind w:right="113"/>
              <w:rPr>
                <w:rFonts w:eastAsia="Calibri" w:cs="Times New Roman"/>
                <w:sz w:val="20"/>
                <w:szCs w:val="20"/>
                <w:lang w:val="cs-CZ"/>
              </w:rPr>
            </w:pPr>
            <w:r w:rsidRPr="005D28F1">
              <w:rPr>
                <w:rFonts w:eastAsia="Calibri" w:cs="Times New Roman"/>
                <w:sz w:val="20"/>
                <w:szCs w:val="20"/>
                <w:lang w:val="cs-CZ"/>
              </w:rPr>
              <w:t>květen (oblast povodí Odry), srpen (oblasti povodí Labe, Ohře, Vltavy a Moravy)</w:t>
            </w:r>
          </w:p>
        </w:tc>
        <w:tc>
          <w:tcPr>
            <w:tcW w:w="3307" w:type="dxa"/>
            <w:shd w:val="clear" w:color="auto" w:fill="auto"/>
            <w:vAlign w:val="center"/>
          </w:tcPr>
          <w:p w14:paraId="3E8A1056" w14:textId="77777777" w:rsidR="003E0F58" w:rsidRPr="005D28F1" w:rsidRDefault="003E0F58" w:rsidP="004D2249">
            <w:pPr>
              <w:spacing w:before="120" w:line="276" w:lineRule="auto"/>
              <w:ind w:right="113"/>
              <w:jc w:val="right"/>
              <w:rPr>
                <w:rFonts w:eastAsia="Calibri" w:cs="Times New Roman"/>
                <w:sz w:val="20"/>
                <w:szCs w:val="20"/>
                <w:lang w:val="cs-CZ"/>
              </w:rPr>
            </w:pPr>
            <w:r w:rsidRPr="005D28F1">
              <w:rPr>
                <w:rFonts w:eastAsia="Calibri" w:cs="Times New Roman"/>
                <w:sz w:val="20"/>
                <w:szCs w:val="20"/>
                <w:lang w:val="cs-CZ"/>
              </w:rPr>
              <w:t>184,0 mil. Kč</w:t>
            </w:r>
          </w:p>
        </w:tc>
      </w:tr>
      <w:tr w:rsidR="003E0F58" w:rsidRPr="005D28F1" w14:paraId="640A4112" w14:textId="77777777" w:rsidTr="005D28F1">
        <w:tc>
          <w:tcPr>
            <w:tcW w:w="806" w:type="dxa"/>
            <w:shd w:val="clear" w:color="auto" w:fill="auto"/>
          </w:tcPr>
          <w:p w14:paraId="3FA26543" w14:textId="77777777" w:rsidR="003E0F58" w:rsidRPr="005D28F1" w:rsidRDefault="003E0F58" w:rsidP="004D2249">
            <w:pPr>
              <w:spacing w:before="120" w:line="276" w:lineRule="auto"/>
              <w:ind w:right="113"/>
              <w:rPr>
                <w:rFonts w:eastAsia="Calibri" w:cs="Times New Roman"/>
                <w:sz w:val="20"/>
                <w:szCs w:val="20"/>
                <w:lang w:val="cs-CZ"/>
              </w:rPr>
            </w:pPr>
            <w:r w:rsidRPr="005D28F1">
              <w:rPr>
                <w:rFonts w:eastAsia="Calibri" w:cs="Times New Roman"/>
                <w:sz w:val="20"/>
                <w:szCs w:val="20"/>
                <w:lang w:val="cs-CZ"/>
              </w:rPr>
              <w:t>2011</w:t>
            </w:r>
          </w:p>
        </w:tc>
        <w:tc>
          <w:tcPr>
            <w:tcW w:w="5372" w:type="dxa"/>
            <w:shd w:val="clear" w:color="auto" w:fill="auto"/>
          </w:tcPr>
          <w:p w14:paraId="5413988D" w14:textId="77777777" w:rsidR="003E0F58" w:rsidRPr="005D28F1" w:rsidRDefault="003E0F58" w:rsidP="004D2249">
            <w:pPr>
              <w:spacing w:before="120" w:line="276" w:lineRule="auto"/>
              <w:ind w:right="113"/>
              <w:rPr>
                <w:rFonts w:eastAsia="Calibri" w:cs="Times New Roman"/>
                <w:sz w:val="20"/>
                <w:szCs w:val="20"/>
                <w:lang w:val="cs-CZ"/>
              </w:rPr>
            </w:pPr>
            <w:r w:rsidRPr="005D28F1">
              <w:rPr>
                <w:rFonts w:eastAsia="Calibri" w:cs="Times New Roman"/>
                <w:sz w:val="20"/>
                <w:szCs w:val="20"/>
                <w:lang w:val="cs-CZ"/>
              </w:rPr>
              <w:t>červen/červenec (oblast povodí Moravy), červenec a září (oblasti povodí Labe)</w:t>
            </w:r>
          </w:p>
        </w:tc>
        <w:tc>
          <w:tcPr>
            <w:tcW w:w="3307" w:type="dxa"/>
            <w:shd w:val="clear" w:color="auto" w:fill="auto"/>
            <w:vAlign w:val="center"/>
          </w:tcPr>
          <w:p w14:paraId="0ED03191" w14:textId="77777777" w:rsidR="003E0F58" w:rsidRPr="005D28F1" w:rsidRDefault="003E0F58" w:rsidP="004D2249">
            <w:pPr>
              <w:spacing w:before="120" w:line="276" w:lineRule="auto"/>
              <w:ind w:right="113"/>
              <w:jc w:val="right"/>
              <w:rPr>
                <w:rFonts w:eastAsia="Calibri" w:cs="Times New Roman"/>
                <w:sz w:val="20"/>
                <w:szCs w:val="20"/>
                <w:lang w:val="cs-CZ"/>
              </w:rPr>
            </w:pPr>
            <w:r w:rsidRPr="005D28F1">
              <w:rPr>
                <w:rFonts w:eastAsia="Calibri" w:cs="Times New Roman"/>
                <w:sz w:val="20"/>
                <w:szCs w:val="20"/>
                <w:lang w:val="cs-CZ"/>
              </w:rPr>
              <w:t>252,0 mil. Kč</w:t>
            </w:r>
          </w:p>
        </w:tc>
      </w:tr>
      <w:tr w:rsidR="003E0F58" w:rsidRPr="005D28F1" w14:paraId="167DC0B1" w14:textId="77777777" w:rsidTr="005D28F1">
        <w:tc>
          <w:tcPr>
            <w:tcW w:w="806" w:type="dxa"/>
            <w:shd w:val="clear" w:color="auto" w:fill="auto"/>
          </w:tcPr>
          <w:p w14:paraId="786F2E9F" w14:textId="77777777" w:rsidR="003E0F58" w:rsidRPr="005D28F1" w:rsidRDefault="003E0F58" w:rsidP="004D2249">
            <w:pPr>
              <w:spacing w:before="120" w:line="276" w:lineRule="auto"/>
              <w:ind w:right="113"/>
              <w:rPr>
                <w:rFonts w:eastAsia="Calibri" w:cs="Times New Roman"/>
                <w:sz w:val="20"/>
                <w:szCs w:val="20"/>
                <w:lang w:val="cs-CZ"/>
              </w:rPr>
            </w:pPr>
            <w:r w:rsidRPr="005D28F1">
              <w:rPr>
                <w:rFonts w:eastAsia="Calibri" w:cs="Times New Roman"/>
                <w:sz w:val="20"/>
                <w:szCs w:val="20"/>
                <w:lang w:val="cs-CZ"/>
              </w:rPr>
              <w:t>2012</w:t>
            </w:r>
          </w:p>
        </w:tc>
        <w:tc>
          <w:tcPr>
            <w:tcW w:w="5372" w:type="dxa"/>
            <w:shd w:val="clear" w:color="auto" w:fill="auto"/>
          </w:tcPr>
          <w:p w14:paraId="5C5C76DB" w14:textId="77777777" w:rsidR="003E0F58" w:rsidRPr="005D28F1" w:rsidRDefault="003E0F58" w:rsidP="004D2249">
            <w:pPr>
              <w:spacing w:before="120" w:line="276" w:lineRule="auto"/>
              <w:ind w:right="113"/>
              <w:rPr>
                <w:rFonts w:eastAsia="Calibri" w:cs="Times New Roman"/>
                <w:sz w:val="20"/>
                <w:szCs w:val="20"/>
                <w:lang w:val="cs-CZ"/>
              </w:rPr>
            </w:pPr>
            <w:r w:rsidRPr="005D28F1">
              <w:rPr>
                <w:rFonts w:eastAsia="Calibri" w:cs="Times New Roman"/>
                <w:sz w:val="20"/>
                <w:szCs w:val="20"/>
                <w:lang w:val="cs-CZ"/>
              </w:rPr>
              <w:t>-</w:t>
            </w:r>
          </w:p>
        </w:tc>
        <w:tc>
          <w:tcPr>
            <w:tcW w:w="3307" w:type="dxa"/>
            <w:shd w:val="clear" w:color="auto" w:fill="auto"/>
            <w:vAlign w:val="center"/>
          </w:tcPr>
          <w:p w14:paraId="62489B61" w14:textId="77777777" w:rsidR="003E0F58" w:rsidRPr="005D28F1" w:rsidRDefault="003E0F58" w:rsidP="004D2249">
            <w:pPr>
              <w:spacing w:before="120" w:line="276" w:lineRule="auto"/>
              <w:ind w:right="113"/>
              <w:jc w:val="right"/>
              <w:rPr>
                <w:rFonts w:eastAsia="Calibri" w:cs="Times New Roman"/>
                <w:sz w:val="20"/>
                <w:szCs w:val="20"/>
                <w:lang w:val="cs-CZ"/>
              </w:rPr>
            </w:pPr>
            <w:r w:rsidRPr="005D28F1">
              <w:rPr>
                <w:rFonts w:eastAsia="Calibri" w:cs="Times New Roman"/>
                <w:sz w:val="20"/>
                <w:szCs w:val="20"/>
                <w:lang w:val="cs-CZ"/>
              </w:rPr>
              <w:t>302,0 mil. Kč</w:t>
            </w:r>
          </w:p>
        </w:tc>
      </w:tr>
      <w:tr w:rsidR="003E0F58" w:rsidRPr="005D28F1" w14:paraId="489CC9FB" w14:textId="77777777" w:rsidTr="005D28F1">
        <w:tc>
          <w:tcPr>
            <w:tcW w:w="806" w:type="dxa"/>
            <w:shd w:val="clear" w:color="auto" w:fill="auto"/>
          </w:tcPr>
          <w:p w14:paraId="715601B7" w14:textId="77777777" w:rsidR="003E0F58" w:rsidRPr="005D28F1" w:rsidRDefault="003E0F58" w:rsidP="004D2249">
            <w:pPr>
              <w:spacing w:before="120" w:line="276" w:lineRule="auto"/>
              <w:ind w:right="113"/>
              <w:rPr>
                <w:rFonts w:eastAsia="Calibri" w:cs="Times New Roman"/>
                <w:sz w:val="20"/>
                <w:szCs w:val="20"/>
                <w:lang w:val="cs-CZ"/>
              </w:rPr>
            </w:pPr>
            <w:r w:rsidRPr="005D28F1">
              <w:rPr>
                <w:rFonts w:eastAsia="Calibri" w:cs="Times New Roman"/>
                <w:sz w:val="20"/>
                <w:szCs w:val="20"/>
                <w:lang w:val="cs-CZ"/>
              </w:rPr>
              <w:t>2013</w:t>
            </w:r>
          </w:p>
        </w:tc>
        <w:tc>
          <w:tcPr>
            <w:tcW w:w="5372" w:type="dxa"/>
            <w:shd w:val="clear" w:color="auto" w:fill="auto"/>
          </w:tcPr>
          <w:p w14:paraId="0B8CCB43" w14:textId="77777777" w:rsidR="003E0F58" w:rsidRPr="005D28F1" w:rsidRDefault="003E0F58" w:rsidP="004D2249">
            <w:pPr>
              <w:spacing w:before="120" w:line="276" w:lineRule="auto"/>
              <w:ind w:right="113"/>
              <w:rPr>
                <w:rFonts w:eastAsia="Calibri" w:cs="Times New Roman"/>
                <w:sz w:val="20"/>
                <w:szCs w:val="20"/>
                <w:lang w:val="cs-CZ"/>
              </w:rPr>
            </w:pPr>
            <w:r w:rsidRPr="005D28F1">
              <w:rPr>
                <w:rFonts w:eastAsia="Calibri" w:cs="Times New Roman"/>
                <w:sz w:val="20"/>
                <w:szCs w:val="20"/>
                <w:lang w:val="cs-CZ"/>
              </w:rPr>
              <w:t>červen (oblasti povodí Dyje, Labe a Vltavy)</w:t>
            </w:r>
          </w:p>
        </w:tc>
        <w:tc>
          <w:tcPr>
            <w:tcW w:w="3307" w:type="dxa"/>
            <w:shd w:val="clear" w:color="auto" w:fill="auto"/>
            <w:vAlign w:val="center"/>
          </w:tcPr>
          <w:p w14:paraId="335E6D88" w14:textId="77777777" w:rsidR="003E0F58" w:rsidRPr="005D28F1" w:rsidRDefault="003E0F58" w:rsidP="004D2249">
            <w:pPr>
              <w:spacing w:before="120" w:line="276" w:lineRule="auto"/>
              <w:ind w:right="113"/>
              <w:jc w:val="right"/>
              <w:rPr>
                <w:rFonts w:eastAsia="Calibri" w:cs="Times New Roman"/>
                <w:sz w:val="20"/>
                <w:szCs w:val="20"/>
                <w:lang w:val="cs-CZ"/>
              </w:rPr>
            </w:pPr>
            <w:r w:rsidRPr="005D28F1">
              <w:rPr>
                <w:rFonts w:eastAsia="Calibri" w:cs="Times New Roman"/>
                <w:sz w:val="20"/>
                <w:szCs w:val="20"/>
                <w:lang w:val="cs-CZ"/>
              </w:rPr>
              <w:t>210,0 mil. Kč</w:t>
            </w:r>
          </w:p>
        </w:tc>
      </w:tr>
      <w:tr w:rsidR="003E0F58" w:rsidRPr="005D28F1" w14:paraId="050FAD95" w14:textId="77777777" w:rsidTr="005D28F1">
        <w:tc>
          <w:tcPr>
            <w:tcW w:w="806" w:type="dxa"/>
            <w:shd w:val="clear" w:color="auto" w:fill="auto"/>
          </w:tcPr>
          <w:p w14:paraId="41FD7847" w14:textId="77777777" w:rsidR="003E0F58" w:rsidRPr="005D28F1" w:rsidRDefault="003E0F58" w:rsidP="004D2249">
            <w:pPr>
              <w:spacing w:before="120" w:line="276" w:lineRule="auto"/>
              <w:ind w:right="113"/>
              <w:rPr>
                <w:rFonts w:eastAsia="Calibri" w:cs="Times New Roman"/>
                <w:sz w:val="20"/>
                <w:szCs w:val="20"/>
                <w:lang w:val="cs-CZ"/>
              </w:rPr>
            </w:pPr>
            <w:r w:rsidRPr="005D28F1">
              <w:rPr>
                <w:rFonts w:eastAsia="Calibri" w:cs="Times New Roman"/>
                <w:sz w:val="20"/>
                <w:szCs w:val="20"/>
                <w:lang w:val="cs-CZ"/>
              </w:rPr>
              <w:t>2014</w:t>
            </w:r>
          </w:p>
        </w:tc>
        <w:tc>
          <w:tcPr>
            <w:tcW w:w="5372" w:type="dxa"/>
            <w:shd w:val="clear" w:color="auto" w:fill="auto"/>
          </w:tcPr>
          <w:p w14:paraId="33FC0A52" w14:textId="77777777" w:rsidR="003E0F58" w:rsidRPr="005D28F1" w:rsidRDefault="003E0F58" w:rsidP="004D2249">
            <w:pPr>
              <w:spacing w:before="120" w:line="276" w:lineRule="auto"/>
              <w:ind w:right="113"/>
              <w:rPr>
                <w:rFonts w:eastAsia="Calibri" w:cs="Times New Roman"/>
                <w:sz w:val="20"/>
                <w:szCs w:val="20"/>
                <w:lang w:val="cs-CZ"/>
              </w:rPr>
            </w:pPr>
            <w:r w:rsidRPr="005D28F1">
              <w:rPr>
                <w:rFonts w:eastAsia="Calibri" w:cs="Times New Roman"/>
                <w:sz w:val="20"/>
                <w:szCs w:val="20"/>
                <w:lang w:val="cs-CZ"/>
              </w:rPr>
              <w:t>květen (oblasti povodí Odry, Labe a Moravy)</w:t>
            </w:r>
          </w:p>
        </w:tc>
        <w:tc>
          <w:tcPr>
            <w:tcW w:w="3307" w:type="dxa"/>
            <w:shd w:val="clear" w:color="auto" w:fill="auto"/>
            <w:vAlign w:val="center"/>
          </w:tcPr>
          <w:p w14:paraId="6724AD0D" w14:textId="77777777" w:rsidR="003E0F58" w:rsidRPr="005D28F1" w:rsidRDefault="003E0F58" w:rsidP="004D2249">
            <w:pPr>
              <w:spacing w:before="120" w:line="276" w:lineRule="auto"/>
              <w:ind w:right="113"/>
              <w:jc w:val="right"/>
              <w:rPr>
                <w:rFonts w:eastAsia="Calibri" w:cs="Times New Roman"/>
                <w:sz w:val="20"/>
                <w:szCs w:val="20"/>
                <w:lang w:val="cs-CZ"/>
              </w:rPr>
            </w:pPr>
            <w:r w:rsidRPr="005D28F1">
              <w:rPr>
                <w:rFonts w:eastAsia="Calibri" w:cs="Times New Roman"/>
                <w:sz w:val="20"/>
                <w:szCs w:val="20"/>
                <w:lang w:val="cs-CZ"/>
              </w:rPr>
              <w:t>45,0 mil. Kč</w:t>
            </w:r>
          </w:p>
        </w:tc>
      </w:tr>
      <w:tr w:rsidR="003E0F58" w:rsidRPr="005D28F1" w14:paraId="4CF16DBE" w14:textId="77777777" w:rsidTr="005D28F1">
        <w:tc>
          <w:tcPr>
            <w:tcW w:w="806" w:type="dxa"/>
            <w:shd w:val="clear" w:color="auto" w:fill="auto"/>
          </w:tcPr>
          <w:p w14:paraId="4582E925" w14:textId="77777777" w:rsidR="003E0F58" w:rsidRPr="005D28F1" w:rsidRDefault="003E0F58" w:rsidP="004D2249">
            <w:pPr>
              <w:spacing w:before="120" w:line="276" w:lineRule="auto"/>
              <w:ind w:right="113"/>
              <w:rPr>
                <w:rFonts w:eastAsia="Calibri" w:cs="Times New Roman"/>
                <w:sz w:val="20"/>
                <w:szCs w:val="20"/>
                <w:lang w:val="cs-CZ"/>
              </w:rPr>
            </w:pPr>
            <w:r w:rsidRPr="005D28F1">
              <w:rPr>
                <w:rFonts w:eastAsia="Calibri" w:cs="Times New Roman"/>
                <w:sz w:val="20"/>
                <w:szCs w:val="20"/>
                <w:lang w:val="cs-CZ"/>
              </w:rPr>
              <w:t>2015</w:t>
            </w:r>
          </w:p>
        </w:tc>
        <w:tc>
          <w:tcPr>
            <w:tcW w:w="5372" w:type="dxa"/>
            <w:shd w:val="clear" w:color="auto" w:fill="auto"/>
          </w:tcPr>
          <w:p w14:paraId="4A371D3D" w14:textId="77777777" w:rsidR="003E0F58" w:rsidRPr="005D28F1" w:rsidRDefault="003E0F58" w:rsidP="004D2249">
            <w:pPr>
              <w:spacing w:before="120" w:line="276" w:lineRule="auto"/>
              <w:ind w:right="113"/>
              <w:rPr>
                <w:rFonts w:eastAsia="Calibri" w:cs="Times New Roman"/>
                <w:sz w:val="20"/>
                <w:szCs w:val="20"/>
                <w:lang w:val="cs-CZ"/>
              </w:rPr>
            </w:pPr>
            <w:r w:rsidRPr="005D28F1">
              <w:rPr>
                <w:rFonts w:eastAsia="Calibri" w:cs="Times New Roman"/>
                <w:sz w:val="20"/>
                <w:szCs w:val="20"/>
                <w:lang w:val="cs-CZ"/>
              </w:rPr>
              <w:t>-</w:t>
            </w:r>
          </w:p>
        </w:tc>
        <w:tc>
          <w:tcPr>
            <w:tcW w:w="3307" w:type="dxa"/>
            <w:shd w:val="clear" w:color="auto" w:fill="auto"/>
            <w:vAlign w:val="center"/>
          </w:tcPr>
          <w:p w14:paraId="3F697D1C" w14:textId="77777777" w:rsidR="003E0F58" w:rsidRPr="005D28F1" w:rsidRDefault="003E0F58" w:rsidP="004D2249">
            <w:pPr>
              <w:spacing w:before="120" w:line="276" w:lineRule="auto"/>
              <w:ind w:right="113"/>
              <w:jc w:val="right"/>
              <w:rPr>
                <w:rFonts w:eastAsia="Calibri" w:cs="Times New Roman"/>
                <w:sz w:val="20"/>
                <w:szCs w:val="20"/>
                <w:lang w:val="cs-CZ"/>
              </w:rPr>
            </w:pPr>
            <w:r w:rsidRPr="005D28F1">
              <w:rPr>
                <w:rFonts w:eastAsia="Calibri" w:cs="Times New Roman"/>
                <w:sz w:val="20"/>
                <w:szCs w:val="20"/>
                <w:lang w:val="cs-CZ"/>
              </w:rPr>
              <w:t>47,5 mil. Kč</w:t>
            </w:r>
          </w:p>
        </w:tc>
      </w:tr>
      <w:tr w:rsidR="003E0F58" w:rsidRPr="005D28F1" w14:paraId="7E77705A" w14:textId="77777777" w:rsidTr="005D28F1">
        <w:tc>
          <w:tcPr>
            <w:tcW w:w="806" w:type="dxa"/>
            <w:shd w:val="clear" w:color="auto" w:fill="auto"/>
          </w:tcPr>
          <w:p w14:paraId="650BF24E" w14:textId="77777777" w:rsidR="003E0F58" w:rsidRPr="005D28F1" w:rsidRDefault="003E0F58" w:rsidP="004D2249">
            <w:pPr>
              <w:spacing w:before="120" w:line="276" w:lineRule="auto"/>
              <w:ind w:right="113"/>
              <w:rPr>
                <w:rFonts w:eastAsia="Calibri" w:cs="Times New Roman"/>
                <w:sz w:val="20"/>
                <w:szCs w:val="20"/>
                <w:lang w:val="cs-CZ"/>
              </w:rPr>
            </w:pPr>
            <w:r w:rsidRPr="005D28F1">
              <w:rPr>
                <w:rFonts w:eastAsia="Calibri" w:cs="Times New Roman"/>
                <w:sz w:val="20"/>
                <w:szCs w:val="20"/>
                <w:lang w:val="cs-CZ"/>
              </w:rPr>
              <w:t>2016</w:t>
            </w:r>
          </w:p>
        </w:tc>
        <w:tc>
          <w:tcPr>
            <w:tcW w:w="5372" w:type="dxa"/>
            <w:shd w:val="clear" w:color="auto" w:fill="auto"/>
          </w:tcPr>
          <w:p w14:paraId="165B83D6" w14:textId="77777777" w:rsidR="003E0F58" w:rsidRPr="005D28F1" w:rsidRDefault="003E0F58" w:rsidP="004D2249">
            <w:pPr>
              <w:spacing w:before="120" w:line="276" w:lineRule="auto"/>
              <w:ind w:right="113"/>
              <w:rPr>
                <w:rFonts w:eastAsia="Calibri" w:cs="Times New Roman"/>
                <w:sz w:val="20"/>
                <w:szCs w:val="20"/>
                <w:lang w:val="cs-CZ"/>
              </w:rPr>
            </w:pPr>
            <w:r w:rsidRPr="005D28F1">
              <w:rPr>
                <w:rFonts w:eastAsia="Calibri" w:cs="Times New Roman"/>
                <w:sz w:val="20"/>
                <w:szCs w:val="20"/>
                <w:lang w:val="cs-CZ"/>
              </w:rPr>
              <w:t>květen/červen (oblasti povodí Odry a Ohře)</w:t>
            </w:r>
          </w:p>
        </w:tc>
        <w:tc>
          <w:tcPr>
            <w:tcW w:w="3307" w:type="dxa"/>
            <w:shd w:val="clear" w:color="auto" w:fill="auto"/>
            <w:vAlign w:val="center"/>
          </w:tcPr>
          <w:p w14:paraId="4FDD78FD" w14:textId="77777777" w:rsidR="003E0F58" w:rsidRPr="005D28F1" w:rsidRDefault="003E0F58" w:rsidP="004D2249">
            <w:pPr>
              <w:spacing w:before="120" w:line="276" w:lineRule="auto"/>
              <w:ind w:right="113"/>
              <w:jc w:val="right"/>
              <w:rPr>
                <w:rFonts w:eastAsia="Calibri" w:cs="Times New Roman"/>
                <w:sz w:val="20"/>
                <w:szCs w:val="20"/>
                <w:lang w:val="cs-CZ"/>
              </w:rPr>
            </w:pPr>
            <w:r w:rsidRPr="005D28F1">
              <w:rPr>
                <w:rFonts w:eastAsia="Calibri" w:cs="Times New Roman"/>
                <w:sz w:val="20"/>
                <w:szCs w:val="20"/>
                <w:lang w:val="cs-CZ"/>
              </w:rPr>
              <w:t>41,7 mil. Kč</w:t>
            </w:r>
          </w:p>
        </w:tc>
      </w:tr>
      <w:tr w:rsidR="003E0F58" w:rsidRPr="005D28F1" w14:paraId="4ABE3AD0" w14:textId="77777777" w:rsidTr="005D28F1">
        <w:tc>
          <w:tcPr>
            <w:tcW w:w="806" w:type="dxa"/>
            <w:shd w:val="clear" w:color="auto" w:fill="auto"/>
          </w:tcPr>
          <w:p w14:paraId="471E22DB" w14:textId="77777777" w:rsidR="003E0F58" w:rsidRPr="005D28F1" w:rsidRDefault="003E0F58" w:rsidP="004D2249">
            <w:pPr>
              <w:spacing w:before="120" w:line="276" w:lineRule="auto"/>
              <w:ind w:right="113"/>
              <w:rPr>
                <w:rFonts w:eastAsia="Calibri" w:cs="Times New Roman"/>
                <w:sz w:val="20"/>
                <w:szCs w:val="20"/>
                <w:lang w:val="cs-CZ"/>
              </w:rPr>
            </w:pPr>
            <w:r w:rsidRPr="005D28F1">
              <w:rPr>
                <w:rFonts w:eastAsia="Calibri" w:cs="Times New Roman"/>
                <w:sz w:val="20"/>
                <w:szCs w:val="20"/>
                <w:lang w:val="cs-CZ"/>
              </w:rPr>
              <w:t>2017</w:t>
            </w:r>
          </w:p>
        </w:tc>
        <w:tc>
          <w:tcPr>
            <w:tcW w:w="5372" w:type="dxa"/>
            <w:shd w:val="clear" w:color="auto" w:fill="auto"/>
          </w:tcPr>
          <w:p w14:paraId="6A2C16A1" w14:textId="77777777" w:rsidR="003E0F58" w:rsidRPr="005D28F1" w:rsidRDefault="003E0F58" w:rsidP="004D2249">
            <w:pPr>
              <w:spacing w:before="120" w:line="276" w:lineRule="auto"/>
              <w:ind w:right="113"/>
              <w:rPr>
                <w:rFonts w:eastAsia="Calibri" w:cs="Times New Roman"/>
                <w:sz w:val="20"/>
                <w:szCs w:val="20"/>
                <w:lang w:val="cs-CZ"/>
              </w:rPr>
            </w:pPr>
            <w:r w:rsidRPr="005D28F1">
              <w:rPr>
                <w:rFonts w:eastAsia="Calibri" w:cs="Times New Roman"/>
                <w:sz w:val="20"/>
                <w:szCs w:val="20"/>
                <w:lang w:val="cs-CZ"/>
              </w:rPr>
              <w:t>květen (oblast povodí Odry)</w:t>
            </w:r>
          </w:p>
        </w:tc>
        <w:tc>
          <w:tcPr>
            <w:tcW w:w="3307" w:type="dxa"/>
            <w:shd w:val="clear" w:color="auto" w:fill="auto"/>
            <w:vAlign w:val="center"/>
          </w:tcPr>
          <w:p w14:paraId="386D0DFB" w14:textId="77777777" w:rsidR="003E0F58" w:rsidRPr="005D28F1" w:rsidRDefault="003E0F58" w:rsidP="004D2249">
            <w:pPr>
              <w:spacing w:before="120" w:line="276" w:lineRule="auto"/>
              <w:ind w:right="113"/>
              <w:jc w:val="right"/>
              <w:rPr>
                <w:rFonts w:eastAsia="Calibri" w:cs="Times New Roman"/>
                <w:sz w:val="20"/>
                <w:szCs w:val="20"/>
                <w:lang w:val="cs-CZ"/>
              </w:rPr>
            </w:pPr>
            <w:r w:rsidRPr="005D28F1">
              <w:rPr>
                <w:rFonts w:eastAsia="Calibri" w:cs="Times New Roman"/>
                <w:sz w:val="20"/>
                <w:szCs w:val="20"/>
                <w:lang w:val="cs-CZ"/>
              </w:rPr>
              <w:t>35,2 mil.Kč</w:t>
            </w:r>
          </w:p>
        </w:tc>
      </w:tr>
    </w:tbl>
    <w:p w14:paraId="7EE3153A" w14:textId="77777777" w:rsidR="003E0F58" w:rsidRPr="007C705C" w:rsidRDefault="003E0F58" w:rsidP="005D28F1">
      <w:pPr>
        <w:pStyle w:val="UZEIZdroj"/>
      </w:pPr>
      <w:r w:rsidRPr="007C705C">
        <w:t>Zdroj: Zprávy o stavu vodního hospodářství České republiky (Ministerstvo zemědělství)</w:t>
      </w:r>
    </w:p>
    <w:p w14:paraId="7927F299" w14:textId="62229333" w:rsidR="003E0F58" w:rsidRPr="005D28F1" w:rsidRDefault="003E0F58" w:rsidP="005D28F1">
      <w:pPr>
        <w:pStyle w:val="UZEINormaln"/>
        <w:rPr>
          <w:rFonts w:eastAsia="Calibri"/>
        </w:rPr>
      </w:pPr>
      <w:r w:rsidRPr="007C705C">
        <w:rPr>
          <w:rFonts w:eastAsia="Calibri"/>
        </w:rPr>
        <w:t xml:space="preserve">Plnění půdoochranné a vodoochranné funkce lesů oslabuje i četnost holin v lesních povodích, která v současnosti v důsledku kůrovcové kalamity neklesá a spíše lze předpokládat její nárůst </w:t>
      </w:r>
      <w:r w:rsidRPr="00420F12">
        <w:rPr>
          <w:rFonts w:eastAsia="Calibri"/>
        </w:rPr>
        <w:t xml:space="preserve">(blíže </w:t>
      </w:r>
      <w:r w:rsidR="002D3D3A">
        <w:rPr>
          <w:rFonts w:eastAsia="Calibri"/>
        </w:rPr>
        <w:fldChar w:fldCharType="begin"/>
      </w:r>
      <w:r w:rsidR="002D3D3A">
        <w:rPr>
          <w:rFonts w:eastAsia="Calibri"/>
        </w:rPr>
        <w:instrText xml:space="preserve"> REF _Ref81748564 \r \h </w:instrText>
      </w:r>
      <w:r w:rsidR="002D3D3A">
        <w:rPr>
          <w:rFonts w:eastAsia="Calibri"/>
        </w:rPr>
      </w:r>
      <w:r w:rsidR="002D3D3A">
        <w:rPr>
          <w:rFonts w:eastAsia="Calibri"/>
        </w:rPr>
        <w:fldChar w:fldCharType="separate"/>
      </w:r>
      <w:r w:rsidR="002D3D3A">
        <w:rPr>
          <w:rFonts w:eastAsia="Calibri"/>
        </w:rPr>
        <w:t>Tabulka 4</w:t>
      </w:r>
      <w:r w:rsidR="002D3D3A">
        <w:rPr>
          <w:rFonts w:eastAsia="Calibri"/>
        </w:rPr>
        <w:fldChar w:fldCharType="end"/>
      </w:r>
      <w:r w:rsidR="001F7140">
        <w:rPr>
          <w:rFonts w:eastAsia="Calibri"/>
        </w:rPr>
        <w:t>9</w:t>
      </w:r>
      <w:r w:rsidRPr="00420F12">
        <w:rPr>
          <w:rFonts w:eastAsia="Calibri"/>
        </w:rPr>
        <w:t>).</w:t>
      </w:r>
    </w:p>
    <w:p w14:paraId="0C92DEFB" w14:textId="2EF75EBE" w:rsidR="003E0F58" w:rsidRPr="007C705C" w:rsidRDefault="005D28F1" w:rsidP="005D28F1">
      <w:pPr>
        <w:pStyle w:val="UZEITaB"/>
        <w:rPr>
          <w:rFonts w:eastAsia="Calibri"/>
        </w:rPr>
      </w:pPr>
      <w:bookmarkStart w:id="329" w:name="_Toc15309859"/>
      <w:bookmarkStart w:id="330" w:name="_Toc77245836"/>
      <w:r>
        <w:rPr>
          <w:rFonts w:eastAsia="Calibri"/>
        </w:rPr>
        <w:t xml:space="preserve"> </w:t>
      </w:r>
      <w:bookmarkStart w:id="331" w:name="_Ref81748564"/>
      <w:bookmarkStart w:id="332" w:name="_Toc94181600"/>
      <w:r w:rsidR="003E0F58" w:rsidRPr="007C705C">
        <w:rPr>
          <w:rFonts w:eastAsia="Calibri"/>
        </w:rPr>
        <w:t>Rozsah holin</w:t>
      </w:r>
      <w:bookmarkEnd w:id="329"/>
      <w:bookmarkEnd w:id="330"/>
      <w:bookmarkEnd w:id="331"/>
      <w:bookmarkEnd w:id="332"/>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1"/>
        <w:gridCol w:w="1044"/>
        <w:gridCol w:w="1044"/>
        <w:gridCol w:w="1044"/>
        <w:gridCol w:w="1044"/>
        <w:gridCol w:w="1076"/>
      </w:tblGrid>
      <w:tr w:rsidR="003E0F58" w:rsidRPr="007C705C" w14:paraId="764A2F67" w14:textId="77777777" w:rsidTr="00420F12">
        <w:tc>
          <w:tcPr>
            <w:tcW w:w="1411" w:type="dxa"/>
            <w:shd w:val="clear" w:color="auto" w:fill="auto"/>
            <w:vAlign w:val="center"/>
          </w:tcPr>
          <w:p w14:paraId="7980FF59" w14:textId="77777777" w:rsidR="003E0F58" w:rsidRPr="007C705C" w:rsidRDefault="003E0F58" w:rsidP="004D2249">
            <w:pPr>
              <w:spacing w:before="120" w:line="276" w:lineRule="auto"/>
              <w:ind w:right="113"/>
              <w:jc w:val="center"/>
              <w:rPr>
                <w:rFonts w:eastAsia="Calibri" w:cs="Times New Roman"/>
                <w:b/>
                <w:sz w:val="22"/>
                <w:lang w:val="cs-CZ"/>
              </w:rPr>
            </w:pPr>
            <w:r w:rsidRPr="007C705C">
              <w:rPr>
                <w:rFonts w:eastAsia="Calibri" w:cs="Times New Roman"/>
                <w:b/>
                <w:sz w:val="22"/>
                <w:lang w:val="cs-CZ"/>
              </w:rPr>
              <w:t>rok</w:t>
            </w:r>
          </w:p>
        </w:tc>
        <w:tc>
          <w:tcPr>
            <w:tcW w:w="1044" w:type="dxa"/>
            <w:shd w:val="clear" w:color="auto" w:fill="auto"/>
            <w:vAlign w:val="center"/>
          </w:tcPr>
          <w:p w14:paraId="64D0F410" w14:textId="77777777" w:rsidR="003E0F58" w:rsidRPr="007C705C" w:rsidRDefault="003E0F58" w:rsidP="004D2249">
            <w:pPr>
              <w:spacing w:before="120" w:line="276" w:lineRule="auto"/>
              <w:ind w:right="113"/>
              <w:jc w:val="center"/>
              <w:rPr>
                <w:rFonts w:eastAsia="Calibri" w:cs="Times New Roman"/>
                <w:b/>
                <w:sz w:val="22"/>
                <w:lang w:val="cs-CZ"/>
              </w:rPr>
            </w:pPr>
            <w:r w:rsidRPr="007C705C">
              <w:rPr>
                <w:rFonts w:eastAsia="Calibri" w:cs="Times New Roman"/>
                <w:b/>
                <w:sz w:val="22"/>
                <w:lang w:val="cs-CZ"/>
              </w:rPr>
              <w:t>2014</w:t>
            </w:r>
          </w:p>
        </w:tc>
        <w:tc>
          <w:tcPr>
            <w:tcW w:w="1044" w:type="dxa"/>
            <w:shd w:val="clear" w:color="auto" w:fill="auto"/>
            <w:vAlign w:val="center"/>
          </w:tcPr>
          <w:p w14:paraId="3F2FF808" w14:textId="77777777" w:rsidR="003E0F58" w:rsidRPr="007C705C" w:rsidRDefault="003E0F58" w:rsidP="004D2249">
            <w:pPr>
              <w:spacing w:before="120" w:line="276" w:lineRule="auto"/>
              <w:ind w:right="113"/>
              <w:jc w:val="center"/>
              <w:rPr>
                <w:rFonts w:eastAsia="Calibri" w:cs="Times New Roman"/>
                <w:b/>
                <w:sz w:val="22"/>
                <w:lang w:val="cs-CZ"/>
              </w:rPr>
            </w:pPr>
            <w:r w:rsidRPr="007C705C">
              <w:rPr>
                <w:rFonts w:eastAsia="Calibri" w:cs="Times New Roman"/>
                <w:b/>
                <w:sz w:val="22"/>
                <w:lang w:val="cs-CZ"/>
              </w:rPr>
              <w:t>2015</w:t>
            </w:r>
          </w:p>
        </w:tc>
        <w:tc>
          <w:tcPr>
            <w:tcW w:w="1044" w:type="dxa"/>
            <w:shd w:val="clear" w:color="auto" w:fill="auto"/>
            <w:vAlign w:val="center"/>
          </w:tcPr>
          <w:p w14:paraId="2E4B2C2A" w14:textId="77777777" w:rsidR="003E0F58" w:rsidRPr="007C705C" w:rsidRDefault="003E0F58" w:rsidP="004D2249">
            <w:pPr>
              <w:spacing w:before="120" w:line="276" w:lineRule="auto"/>
              <w:ind w:right="113"/>
              <w:jc w:val="center"/>
              <w:rPr>
                <w:rFonts w:eastAsia="Calibri" w:cs="Times New Roman"/>
                <w:b/>
                <w:sz w:val="22"/>
                <w:lang w:val="cs-CZ"/>
              </w:rPr>
            </w:pPr>
            <w:r w:rsidRPr="007C705C">
              <w:rPr>
                <w:rFonts w:eastAsia="Calibri" w:cs="Times New Roman"/>
                <w:b/>
                <w:sz w:val="22"/>
                <w:lang w:val="cs-CZ"/>
              </w:rPr>
              <w:t>2016</w:t>
            </w:r>
          </w:p>
        </w:tc>
        <w:tc>
          <w:tcPr>
            <w:tcW w:w="1044" w:type="dxa"/>
            <w:shd w:val="clear" w:color="auto" w:fill="auto"/>
            <w:vAlign w:val="center"/>
          </w:tcPr>
          <w:p w14:paraId="14EA1842" w14:textId="77777777" w:rsidR="003E0F58" w:rsidRPr="007C705C" w:rsidRDefault="003E0F58" w:rsidP="004D2249">
            <w:pPr>
              <w:spacing w:before="120" w:line="276" w:lineRule="auto"/>
              <w:ind w:right="113"/>
              <w:jc w:val="center"/>
              <w:rPr>
                <w:rFonts w:eastAsia="Calibri" w:cs="Times New Roman"/>
                <w:b/>
                <w:sz w:val="22"/>
                <w:lang w:val="cs-CZ"/>
              </w:rPr>
            </w:pPr>
            <w:r w:rsidRPr="007C705C">
              <w:rPr>
                <w:rFonts w:eastAsia="Calibri" w:cs="Times New Roman"/>
                <w:b/>
                <w:sz w:val="22"/>
                <w:lang w:val="cs-CZ"/>
              </w:rPr>
              <w:t>2017</w:t>
            </w:r>
          </w:p>
        </w:tc>
        <w:tc>
          <w:tcPr>
            <w:tcW w:w="1076" w:type="dxa"/>
            <w:shd w:val="clear" w:color="auto" w:fill="auto"/>
            <w:vAlign w:val="center"/>
          </w:tcPr>
          <w:p w14:paraId="73B15D03" w14:textId="77777777" w:rsidR="003E0F58" w:rsidRPr="007C705C" w:rsidRDefault="003E0F58" w:rsidP="004D2249">
            <w:pPr>
              <w:spacing w:before="120" w:line="276" w:lineRule="auto"/>
              <w:ind w:right="113"/>
              <w:jc w:val="center"/>
              <w:rPr>
                <w:rFonts w:eastAsia="Calibri" w:cs="Times New Roman"/>
                <w:b/>
                <w:sz w:val="22"/>
                <w:lang w:val="cs-CZ"/>
              </w:rPr>
            </w:pPr>
            <w:r w:rsidRPr="007C705C">
              <w:rPr>
                <w:rFonts w:eastAsia="Calibri" w:cs="Times New Roman"/>
                <w:b/>
                <w:sz w:val="22"/>
                <w:lang w:val="cs-CZ"/>
              </w:rPr>
              <w:t>2018</w:t>
            </w:r>
          </w:p>
        </w:tc>
      </w:tr>
      <w:tr w:rsidR="003E0F58" w:rsidRPr="007C705C" w14:paraId="741518D8" w14:textId="77777777" w:rsidTr="00420F12">
        <w:tc>
          <w:tcPr>
            <w:tcW w:w="1411" w:type="dxa"/>
            <w:shd w:val="clear" w:color="auto" w:fill="auto"/>
          </w:tcPr>
          <w:p w14:paraId="1709713D" w14:textId="77777777" w:rsidR="003E0F58" w:rsidRPr="007C705C" w:rsidRDefault="003E0F58" w:rsidP="004D2249">
            <w:pPr>
              <w:spacing w:before="120" w:line="276" w:lineRule="auto"/>
              <w:ind w:right="113"/>
              <w:rPr>
                <w:rFonts w:eastAsia="Calibri" w:cs="Times New Roman"/>
                <w:sz w:val="22"/>
                <w:lang w:val="cs-CZ"/>
              </w:rPr>
            </w:pPr>
            <w:r w:rsidRPr="007C705C">
              <w:rPr>
                <w:rFonts w:eastAsia="Calibri" w:cs="Times New Roman"/>
                <w:sz w:val="22"/>
                <w:lang w:val="cs-CZ"/>
              </w:rPr>
              <w:t>holiny (ha)</w:t>
            </w:r>
          </w:p>
        </w:tc>
        <w:tc>
          <w:tcPr>
            <w:tcW w:w="1044" w:type="dxa"/>
            <w:shd w:val="clear" w:color="auto" w:fill="auto"/>
            <w:vAlign w:val="center"/>
          </w:tcPr>
          <w:p w14:paraId="6049FD83" w14:textId="77777777" w:rsidR="003E0F58" w:rsidRPr="007C705C" w:rsidRDefault="003E0F58" w:rsidP="004D2249">
            <w:pPr>
              <w:spacing w:before="120" w:line="276" w:lineRule="auto"/>
              <w:ind w:right="113"/>
              <w:jc w:val="right"/>
              <w:rPr>
                <w:rFonts w:eastAsia="Calibri" w:cs="Times New Roman"/>
                <w:sz w:val="22"/>
                <w:lang w:val="cs-CZ"/>
              </w:rPr>
            </w:pPr>
            <w:r w:rsidRPr="007C705C">
              <w:rPr>
                <w:rFonts w:eastAsia="Calibri" w:cs="Times New Roman"/>
                <w:sz w:val="22"/>
                <w:lang w:val="cs-CZ"/>
              </w:rPr>
              <w:t>33 093</w:t>
            </w:r>
          </w:p>
        </w:tc>
        <w:tc>
          <w:tcPr>
            <w:tcW w:w="1044" w:type="dxa"/>
            <w:shd w:val="clear" w:color="auto" w:fill="auto"/>
            <w:vAlign w:val="center"/>
          </w:tcPr>
          <w:p w14:paraId="118F67F4" w14:textId="77777777" w:rsidR="003E0F58" w:rsidRPr="007C705C" w:rsidRDefault="003E0F58" w:rsidP="004D2249">
            <w:pPr>
              <w:spacing w:before="120" w:line="276" w:lineRule="auto"/>
              <w:ind w:right="113"/>
              <w:jc w:val="right"/>
              <w:rPr>
                <w:rFonts w:eastAsia="Calibri" w:cs="Times New Roman"/>
                <w:sz w:val="22"/>
                <w:lang w:val="cs-CZ"/>
              </w:rPr>
            </w:pPr>
            <w:r w:rsidRPr="007C705C">
              <w:rPr>
                <w:rFonts w:eastAsia="Calibri" w:cs="Times New Roman"/>
                <w:sz w:val="22"/>
                <w:lang w:val="cs-CZ"/>
              </w:rPr>
              <w:t>31 288</w:t>
            </w:r>
          </w:p>
        </w:tc>
        <w:tc>
          <w:tcPr>
            <w:tcW w:w="1044" w:type="dxa"/>
            <w:shd w:val="clear" w:color="auto" w:fill="auto"/>
            <w:vAlign w:val="center"/>
          </w:tcPr>
          <w:p w14:paraId="4593BB8E" w14:textId="77777777" w:rsidR="003E0F58" w:rsidRPr="007C705C" w:rsidRDefault="003E0F58" w:rsidP="004D2249">
            <w:pPr>
              <w:spacing w:before="120" w:line="276" w:lineRule="auto"/>
              <w:ind w:right="113"/>
              <w:jc w:val="right"/>
              <w:rPr>
                <w:rFonts w:eastAsia="Calibri" w:cs="Times New Roman"/>
                <w:sz w:val="22"/>
                <w:lang w:val="cs-CZ"/>
              </w:rPr>
            </w:pPr>
            <w:r w:rsidRPr="007C705C">
              <w:rPr>
                <w:rFonts w:eastAsia="Calibri" w:cs="Times New Roman"/>
                <w:sz w:val="22"/>
                <w:lang w:val="cs-CZ"/>
              </w:rPr>
              <w:t>30 858</w:t>
            </w:r>
          </w:p>
        </w:tc>
        <w:tc>
          <w:tcPr>
            <w:tcW w:w="1044" w:type="dxa"/>
            <w:shd w:val="clear" w:color="auto" w:fill="auto"/>
            <w:vAlign w:val="center"/>
          </w:tcPr>
          <w:p w14:paraId="4F8F0E1A" w14:textId="77777777" w:rsidR="003E0F58" w:rsidRPr="007C705C" w:rsidRDefault="003E0F58" w:rsidP="004D2249">
            <w:pPr>
              <w:spacing w:before="120" w:line="276" w:lineRule="auto"/>
              <w:ind w:right="113"/>
              <w:jc w:val="right"/>
              <w:rPr>
                <w:rFonts w:eastAsia="Calibri" w:cs="Times New Roman"/>
                <w:sz w:val="22"/>
                <w:lang w:val="cs-CZ"/>
              </w:rPr>
            </w:pPr>
            <w:r w:rsidRPr="007C705C">
              <w:rPr>
                <w:rFonts w:eastAsia="Calibri" w:cs="Times New Roman"/>
                <w:sz w:val="22"/>
                <w:lang w:val="cs-CZ"/>
              </w:rPr>
              <w:t>30 976</w:t>
            </w:r>
          </w:p>
        </w:tc>
        <w:tc>
          <w:tcPr>
            <w:tcW w:w="1076" w:type="dxa"/>
            <w:shd w:val="clear" w:color="auto" w:fill="auto"/>
            <w:vAlign w:val="center"/>
          </w:tcPr>
          <w:p w14:paraId="3E1CDB47" w14:textId="77777777" w:rsidR="003E0F58" w:rsidRPr="007C705C" w:rsidRDefault="003E0F58" w:rsidP="004D2249">
            <w:pPr>
              <w:spacing w:before="120" w:line="276" w:lineRule="auto"/>
              <w:ind w:right="113"/>
              <w:jc w:val="right"/>
              <w:rPr>
                <w:rFonts w:eastAsia="Calibri" w:cs="Times New Roman"/>
                <w:sz w:val="22"/>
                <w:lang w:val="cs-CZ"/>
              </w:rPr>
            </w:pPr>
            <w:r w:rsidRPr="007C705C">
              <w:rPr>
                <w:rFonts w:eastAsia="Calibri" w:cs="Times New Roman"/>
                <w:sz w:val="22"/>
                <w:lang w:val="cs-CZ"/>
              </w:rPr>
              <w:t>30 480</w:t>
            </w:r>
          </w:p>
        </w:tc>
      </w:tr>
      <w:tr w:rsidR="003E0F58" w:rsidRPr="007C705C" w14:paraId="34F19211" w14:textId="77777777" w:rsidTr="00420F12">
        <w:tc>
          <w:tcPr>
            <w:tcW w:w="1411" w:type="dxa"/>
            <w:shd w:val="clear" w:color="auto" w:fill="auto"/>
            <w:vAlign w:val="center"/>
          </w:tcPr>
          <w:p w14:paraId="6866FF71" w14:textId="77777777" w:rsidR="003E0F58" w:rsidRPr="007C705C" w:rsidRDefault="003E0F58" w:rsidP="004D2249">
            <w:pPr>
              <w:spacing w:before="120" w:line="276" w:lineRule="auto"/>
              <w:ind w:right="113"/>
              <w:jc w:val="center"/>
              <w:rPr>
                <w:rFonts w:eastAsia="Calibri" w:cs="Times New Roman"/>
                <w:b/>
                <w:sz w:val="22"/>
                <w:lang w:val="cs-CZ"/>
              </w:rPr>
            </w:pPr>
            <w:r w:rsidRPr="007C705C">
              <w:rPr>
                <w:rFonts w:eastAsia="Calibri" w:cs="Times New Roman"/>
                <w:b/>
                <w:sz w:val="22"/>
                <w:lang w:val="cs-CZ"/>
              </w:rPr>
              <w:t>rok</w:t>
            </w:r>
          </w:p>
        </w:tc>
        <w:tc>
          <w:tcPr>
            <w:tcW w:w="1044" w:type="dxa"/>
            <w:shd w:val="clear" w:color="auto" w:fill="auto"/>
            <w:vAlign w:val="center"/>
          </w:tcPr>
          <w:p w14:paraId="52627E52" w14:textId="77777777" w:rsidR="003E0F58" w:rsidRPr="007C705C" w:rsidRDefault="003E0F58" w:rsidP="004D2249">
            <w:pPr>
              <w:spacing w:before="120" w:line="276" w:lineRule="auto"/>
              <w:ind w:right="113"/>
              <w:jc w:val="center"/>
              <w:rPr>
                <w:rFonts w:eastAsia="Calibri" w:cs="Times New Roman"/>
                <w:b/>
                <w:sz w:val="22"/>
                <w:lang w:val="cs-CZ"/>
              </w:rPr>
            </w:pPr>
            <w:r w:rsidRPr="007C705C">
              <w:rPr>
                <w:rFonts w:eastAsia="Calibri" w:cs="Times New Roman"/>
                <w:b/>
                <w:sz w:val="22"/>
                <w:lang w:val="cs-CZ"/>
              </w:rPr>
              <w:t>2014</w:t>
            </w:r>
          </w:p>
        </w:tc>
        <w:tc>
          <w:tcPr>
            <w:tcW w:w="1044" w:type="dxa"/>
            <w:shd w:val="clear" w:color="auto" w:fill="auto"/>
            <w:vAlign w:val="center"/>
          </w:tcPr>
          <w:p w14:paraId="2794FBB0" w14:textId="77777777" w:rsidR="003E0F58" w:rsidRPr="007C705C" w:rsidRDefault="003E0F58" w:rsidP="004D2249">
            <w:pPr>
              <w:spacing w:before="120" w:line="276" w:lineRule="auto"/>
              <w:ind w:right="113"/>
              <w:jc w:val="center"/>
              <w:rPr>
                <w:rFonts w:eastAsia="Calibri" w:cs="Times New Roman"/>
                <w:b/>
                <w:sz w:val="22"/>
                <w:lang w:val="cs-CZ"/>
              </w:rPr>
            </w:pPr>
            <w:r w:rsidRPr="007C705C">
              <w:rPr>
                <w:rFonts w:eastAsia="Calibri" w:cs="Times New Roman"/>
                <w:b/>
                <w:sz w:val="22"/>
                <w:lang w:val="cs-CZ"/>
              </w:rPr>
              <w:t>2015</w:t>
            </w:r>
          </w:p>
        </w:tc>
        <w:tc>
          <w:tcPr>
            <w:tcW w:w="1044" w:type="dxa"/>
            <w:shd w:val="clear" w:color="auto" w:fill="auto"/>
            <w:vAlign w:val="center"/>
          </w:tcPr>
          <w:p w14:paraId="198857FF" w14:textId="77777777" w:rsidR="003E0F58" w:rsidRPr="007C705C" w:rsidRDefault="003E0F58" w:rsidP="004D2249">
            <w:pPr>
              <w:spacing w:before="120" w:line="276" w:lineRule="auto"/>
              <w:ind w:right="113"/>
              <w:jc w:val="center"/>
              <w:rPr>
                <w:rFonts w:eastAsia="Calibri" w:cs="Times New Roman"/>
                <w:b/>
                <w:sz w:val="22"/>
                <w:lang w:val="cs-CZ"/>
              </w:rPr>
            </w:pPr>
            <w:r w:rsidRPr="007C705C">
              <w:rPr>
                <w:rFonts w:eastAsia="Calibri" w:cs="Times New Roman"/>
                <w:b/>
                <w:sz w:val="22"/>
                <w:lang w:val="cs-CZ"/>
              </w:rPr>
              <w:t>2016</w:t>
            </w:r>
          </w:p>
        </w:tc>
        <w:tc>
          <w:tcPr>
            <w:tcW w:w="1044" w:type="dxa"/>
            <w:shd w:val="clear" w:color="auto" w:fill="auto"/>
            <w:vAlign w:val="center"/>
          </w:tcPr>
          <w:p w14:paraId="1EA488F0" w14:textId="77777777" w:rsidR="003E0F58" w:rsidRPr="007C705C" w:rsidRDefault="003E0F58" w:rsidP="004D2249">
            <w:pPr>
              <w:spacing w:before="120" w:line="276" w:lineRule="auto"/>
              <w:ind w:right="113"/>
              <w:jc w:val="center"/>
              <w:rPr>
                <w:rFonts w:eastAsia="Calibri" w:cs="Times New Roman"/>
                <w:b/>
                <w:sz w:val="22"/>
                <w:lang w:val="cs-CZ"/>
              </w:rPr>
            </w:pPr>
            <w:r w:rsidRPr="007C705C">
              <w:rPr>
                <w:rFonts w:eastAsia="Calibri" w:cs="Times New Roman"/>
                <w:b/>
                <w:sz w:val="22"/>
                <w:lang w:val="cs-CZ"/>
              </w:rPr>
              <w:t>2017</w:t>
            </w:r>
          </w:p>
        </w:tc>
        <w:tc>
          <w:tcPr>
            <w:tcW w:w="1076" w:type="dxa"/>
            <w:shd w:val="clear" w:color="auto" w:fill="auto"/>
            <w:vAlign w:val="center"/>
          </w:tcPr>
          <w:p w14:paraId="2926149D" w14:textId="77777777" w:rsidR="003E0F58" w:rsidRPr="007C705C" w:rsidRDefault="003E0F58" w:rsidP="004D2249">
            <w:pPr>
              <w:spacing w:before="120" w:line="276" w:lineRule="auto"/>
              <w:ind w:right="113"/>
              <w:jc w:val="center"/>
              <w:rPr>
                <w:rFonts w:eastAsia="Calibri" w:cs="Times New Roman"/>
                <w:b/>
                <w:sz w:val="22"/>
                <w:lang w:val="cs-CZ"/>
              </w:rPr>
            </w:pPr>
            <w:r w:rsidRPr="007C705C">
              <w:rPr>
                <w:rFonts w:eastAsia="Calibri" w:cs="Times New Roman"/>
                <w:b/>
                <w:sz w:val="22"/>
                <w:lang w:val="cs-CZ"/>
              </w:rPr>
              <w:t>2018</w:t>
            </w:r>
          </w:p>
        </w:tc>
      </w:tr>
      <w:tr w:rsidR="003E0F58" w:rsidRPr="007C705C" w14:paraId="7B454814" w14:textId="77777777" w:rsidTr="00420F12">
        <w:tc>
          <w:tcPr>
            <w:tcW w:w="1411" w:type="dxa"/>
            <w:shd w:val="clear" w:color="auto" w:fill="auto"/>
          </w:tcPr>
          <w:p w14:paraId="327D7782" w14:textId="77777777" w:rsidR="003E0F58" w:rsidRPr="007C705C" w:rsidRDefault="003E0F58" w:rsidP="004D2249">
            <w:pPr>
              <w:spacing w:before="120" w:line="276" w:lineRule="auto"/>
              <w:ind w:right="113"/>
              <w:rPr>
                <w:rFonts w:eastAsia="Calibri" w:cs="Times New Roman"/>
                <w:sz w:val="22"/>
                <w:lang w:val="cs-CZ"/>
              </w:rPr>
            </w:pPr>
            <w:r w:rsidRPr="007C705C">
              <w:rPr>
                <w:rFonts w:eastAsia="Calibri" w:cs="Times New Roman"/>
                <w:sz w:val="22"/>
                <w:lang w:val="cs-CZ"/>
              </w:rPr>
              <w:t>holiny (ha)</w:t>
            </w:r>
          </w:p>
        </w:tc>
        <w:tc>
          <w:tcPr>
            <w:tcW w:w="1044" w:type="dxa"/>
            <w:shd w:val="clear" w:color="auto" w:fill="auto"/>
            <w:vAlign w:val="center"/>
          </w:tcPr>
          <w:p w14:paraId="125E8E32" w14:textId="77777777" w:rsidR="003E0F58" w:rsidRPr="007C705C" w:rsidRDefault="003E0F58" w:rsidP="004D2249">
            <w:pPr>
              <w:spacing w:before="120" w:line="276" w:lineRule="auto"/>
              <w:ind w:right="113"/>
              <w:jc w:val="right"/>
              <w:rPr>
                <w:rFonts w:eastAsia="Calibri" w:cs="Times New Roman"/>
                <w:sz w:val="22"/>
                <w:lang w:val="cs-CZ"/>
              </w:rPr>
            </w:pPr>
            <w:r w:rsidRPr="007C705C">
              <w:rPr>
                <w:rFonts w:eastAsia="Calibri" w:cs="Times New Roman"/>
                <w:sz w:val="22"/>
                <w:lang w:val="cs-CZ"/>
              </w:rPr>
              <w:t>33 093</w:t>
            </w:r>
          </w:p>
        </w:tc>
        <w:tc>
          <w:tcPr>
            <w:tcW w:w="1044" w:type="dxa"/>
            <w:shd w:val="clear" w:color="auto" w:fill="auto"/>
            <w:vAlign w:val="center"/>
          </w:tcPr>
          <w:p w14:paraId="5081D115" w14:textId="77777777" w:rsidR="003E0F58" w:rsidRPr="007C705C" w:rsidRDefault="003E0F58" w:rsidP="004D2249">
            <w:pPr>
              <w:spacing w:before="120" w:line="276" w:lineRule="auto"/>
              <w:ind w:right="113"/>
              <w:jc w:val="right"/>
              <w:rPr>
                <w:rFonts w:eastAsia="Calibri" w:cs="Times New Roman"/>
                <w:sz w:val="22"/>
                <w:lang w:val="cs-CZ"/>
              </w:rPr>
            </w:pPr>
            <w:r w:rsidRPr="007C705C">
              <w:rPr>
                <w:rFonts w:eastAsia="Calibri" w:cs="Times New Roman"/>
                <w:sz w:val="22"/>
                <w:lang w:val="cs-CZ"/>
              </w:rPr>
              <w:t>31 288</w:t>
            </w:r>
          </w:p>
        </w:tc>
        <w:tc>
          <w:tcPr>
            <w:tcW w:w="1044" w:type="dxa"/>
            <w:shd w:val="clear" w:color="auto" w:fill="auto"/>
            <w:vAlign w:val="center"/>
          </w:tcPr>
          <w:p w14:paraId="1F3EDFF5" w14:textId="77777777" w:rsidR="003E0F58" w:rsidRPr="007C705C" w:rsidRDefault="003E0F58" w:rsidP="004D2249">
            <w:pPr>
              <w:spacing w:before="120" w:line="276" w:lineRule="auto"/>
              <w:ind w:right="113"/>
              <w:jc w:val="right"/>
              <w:rPr>
                <w:rFonts w:eastAsia="Calibri" w:cs="Times New Roman"/>
                <w:sz w:val="22"/>
                <w:lang w:val="cs-CZ"/>
              </w:rPr>
            </w:pPr>
            <w:r w:rsidRPr="007C705C">
              <w:rPr>
                <w:rFonts w:eastAsia="Calibri" w:cs="Times New Roman"/>
                <w:sz w:val="22"/>
                <w:lang w:val="cs-CZ"/>
              </w:rPr>
              <w:t>30 858</w:t>
            </w:r>
          </w:p>
        </w:tc>
        <w:tc>
          <w:tcPr>
            <w:tcW w:w="1044" w:type="dxa"/>
            <w:shd w:val="clear" w:color="auto" w:fill="auto"/>
            <w:vAlign w:val="center"/>
          </w:tcPr>
          <w:p w14:paraId="4A227EDD" w14:textId="77777777" w:rsidR="003E0F58" w:rsidRPr="007C705C" w:rsidRDefault="003E0F58" w:rsidP="004D2249">
            <w:pPr>
              <w:spacing w:before="120" w:line="276" w:lineRule="auto"/>
              <w:ind w:right="113"/>
              <w:jc w:val="right"/>
              <w:rPr>
                <w:rFonts w:eastAsia="Calibri" w:cs="Times New Roman"/>
                <w:sz w:val="22"/>
                <w:lang w:val="cs-CZ"/>
              </w:rPr>
            </w:pPr>
            <w:r w:rsidRPr="007C705C">
              <w:rPr>
                <w:rFonts w:eastAsia="Calibri" w:cs="Times New Roman"/>
                <w:sz w:val="22"/>
                <w:lang w:val="cs-CZ"/>
              </w:rPr>
              <w:t>30 976</w:t>
            </w:r>
          </w:p>
        </w:tc>
        <w:tc>
          <w:tcPr>
            <w:tcW w:w="1076" w:type="dxa"/>
            <w:shd w:val="clear" w:color="auto" w:fill="auto"/>
            <w:vAlign w:val="center"/>
          </w:tcPr>
          <w:p w14:paraId="2869BB5B" w14:textId="77777777" w:rsidR="003E0F58" w:rsidRPr="007C705C" w:rsidRDefault="003E0F58" w:rsidP="004D2249">
            <w:pPr>
              <w:spacing w:before="120" w:line="276" w:lineRule="auto"/>
              <w:ind w:right="113"/>
              <w:jc w:val="right"/>
              <w:rPr>
                <w:rFonts w:eastAsia="Calibri" w:cs="Times New Roman"/>
                <w:sz w:val="22"/>
                <w:lang w:val="cs-CZ"/>
              </w:rPr>
            </w:pPr>
          </w:p>
        </w:tc>
      </w:tr>
    </w:tbl>
    <w:p w14:paraId="771F5AB8" w14:textId="709FB172" w:rsidR="003E0F58" w:rsidRPr="007C705C" w:rsidRDefault="003E0F58" w:rsidP="00420F12">
      <w:pPr>
        <w:pStyle w:val="UZEIZdroj"/>
      </w:pPr>
      <w:r w:rsidRPr="007C705C">
        <w:t>Zdroj: Zprávy o stavu lesa a lesního hospodářství České republiky (Ministerstvo zemědělství)</w:t>
      </w:r>
    </w:p>
    <w:p w14:paraId="08E8462C" w14:textId="39675E59" w:rsidR="003E0F58" w:rsidRDefault="003E0F58" w:rsidP="00420F12">
      <w:pPr>
        <w:pStyle w:val="UZEINormaln"/>
        <w:rPr>
          <w:rFonts w:eastAsia="Calibri"/>
        </w:rPr>
      </w:pPr>
      <w:r w:rsidRPr="007C705C">
        <w:rPr>
          <w:rFonts w:eastAsia="Calibri"/>
        </w:rPr>
        <w:t xml:space="preserve">Zhodnocení současného stavu ochranných lesních pásů na jižní Moravě proběhlo v roce 2005 (Agroprojekt PSO s. r. o.: Větrná eroze půdy v Jihomoravském kraji a návrh jejího řešení), souběžně v letech 2004-2007 (Výzkumný ústav meliorací a ochrany půdy, v. v. i.: Možnosti optimalizace funkcí větrolamů v krajině, jejich využití v komplexních pozemkových úpravách). Studie na území jižní Moravy identifikovaly ochranné lesní pásy o délce 530 km a ploše 840 hektarů. Ze 180 šetřených katastrálních území jich 71 vykazuje již nefunkční nebo </w:t>
      </w:r>
      <w:r w:rsidRPr="007C705C">
        <w:rPr>
          <w:rFonts w:eastAsia="Calibri"/>
        </w:rPr>
        <w:lastRenderedPageBreak/>
        <w:t>chybějící ochranné lesní pásy, 82 pak pásy podmíněně funkční (ale se zhoršujícím se zdravotním i funkčním stavem) a jen ve 27 katastrálních územích byly zjištěny ochranné lesní pásy převážně funkční. Za současného srážkově podprůměrného období může pokračující rozpad sítě ochranných lesních pásů vést k nárůstu škod způsobovaných větrnou erozí až na úroveň z doby před založením větrolamové sítě.</w:t>
      </w:r>
    </w:p>
    <w:p w14:paraId="55ED2F94" w14:textId="77777777" w:rsidR="00A36BA9" w:rsidRDefault="00A36BA9" w:rsidP="0024253B">
      <w:pPr>
        <w:pStyle w:val="UZEINormaln"/>
        <w:rPr>
          <w:b/>
          <w:bCs/>
        </w:rPr>
      </w:pPr>
      <w:bookmarkStart w:id="333" w:name="_Toc15309799"/>
      <w:bookmarkStart w:id="334" w:name="_Toc81343100"/>
      <w:bookmarkStart w:id="335" w:name="_Toc81343163"/>
      <w:bookmarkStart w:id="336" w:name="_Toc81343232"/>
    </w:p>
    <w:p w14:paraId="51D8CD3E" w14:textId="4A9BCBFB" w:rsidR="003E0F58" w:rsidRPr="0024253B" w:rsidRDefault="003E0F58" w:rsidP="0024253B">
      <w:pPr>
        <w:pStyle w:val="UZEINormaln"/>
        <w:rPr>
          <w:b/>
          <w:bCs/>
        </w:rPr>
      </w:pPr>
      <w:r w:rsidRPr="0024253B">
        <w:rPr>
          <w:b/>
          <w:bCs/>
        </w:rPr>
        <w:t>Závažnost a vývojový trend problému</w:t>
      </w:r>
      <w:bookmarkEnd w:id="333"/>
      <w:bookmarkEnd w:id="334"/>
      <w:bookmarkEnd w:id="335"/>
      <w:bookmarkEnd w:id="336"/>
      <w:r w:rsidRPr="0024253B">
        <w:rPr>
          <w:b/>
          <w:bCs/>
        </w:rPr>
        <w:t xml:space="preserve"> </w:t>
      </w:r>
    </w:p>
    <w:p w14:paraId="05469367" w14:textId="77777777" w:rsidR="003E0F58" w:rsidRPr="007C705C" w:rsidRDefault="003E0F58" w:rsidP="008A1AE3">
      <w:pPr>
        <w:pStyle w:val="Odstavecseseznamem"/>
        <w:numPr>
          <w:ilvl w:val="0"/>
          <w:numId w:val="36"/>
        </w:numPr>
        <w:spacing w:before="60" w:line="360" w:lineRule="atLeast"/>
        <w:rPr>
          <w:rFonts w:eastAsiaTheme="minorEastAsia"/>
          <w:b/>
          <w:bCs/>
        </w:rPr>
      </w:pPr>
      <w:r w:rsidRPr="007C705C">
        <w:rPr>
          <w:rFonts w:eastAsiaTheme="minorEastAsia"/>
          <w:b/>
          <w:bCs/>
        </w:rPr>
        <w:t xml:space="preserve">Zdravotní stav lesů </w:t>
      </w:r>
    </w:p>
    <w:p w14:paraId="7F917BA7" w14:textId="77777777" w:rsidR="003E0F58" w:rsidRPr="007C705C" w:rsidRDefault="003E0F58" w:rsidP="006A027C">
      <w:pPr>
        <w:pStyle w:val="UZEINormaln"/>
        <w:rPr>
          <w:rFonts w:eastAsia="Calibri"/>
        </w:rPr>
      </w:pPr>
      <w:r w:rsidRPr="007C705C">
        <w:rPr>
          <w:rFonts w:eastAsia="Calibri"/>
        </w:rPr>
        <w:t xml:space="preserve">Samotná zvýšená úroveň defoliace nemusí znamenat akutní riziko, vypovídá spíše o pozaďovém stresu a celkově snížené vitalitě. Ta se ovšem projevuje v celém širokém spektru dřevin. Velmi závažné jsou naopak problémy s biotickými škůdci – zvláště pokud se mění jejich chování v ekosystému a pokud z různých důvodů nelze efektivně uplatnit postupy pro ochranu lesních porostů. Z tohoto pohledu se jako rizikové v současné době jeví zhoršování zdravotního stavu borových porostů, problémy s poškozením jasanů a olší, ale především gradace kůrovců na smrku (Knížek, Liška 2020). </w:t>
      </w:r>
    </w:p>
    <w:p w14:paraId="0B41C070" w14:textId="77777777" w:rsidR="003E0F58" w:rsidRPr="007C705C" w:rsidRDefault="003E0F58" w:rsidP="006A027C">
      <w:pPr>
        <w:pStyle w:val="UZEINormaln"/>
        <w:rPr>
          <w:rFonts w:eastAsia="Calibri"/>
        </w:rPr>
      </w:pPr>
      <w:r w:rsidRPr="007C705C">
        <w:rPr>
          <w:rFonts w:eastAsia="Calibri"/>
        </w:rPr>
        <w:t xml:space="preserve">Poškození lesních porostů suchem bylo do nedávné doby omezeno na výsadby a na snížení odolnosti vůči dalším škodlivým činitelům. Epizody extrémního sucha v letech 2015 a 2018 vedla již k plošnému zhoršení zdravotního stavu lesů v nižších a středních polohách. Podle současných scénářů vývoje klimatu lze očekávat nárůst obdobných situací. Potenciálně ohroženy jsou zejména porosty v nižších a středních polohách. V rámci ČR jde o rozsáhlá území, na kterých mohou být ohroženy funkce lesa. </w:t>
      </w:r>
    </w:p>
    <w:p w14:paraId="74804B72" w14:textId="77777777" w:rsidR="003E0F58" w:rsidRPr="007C705C" w:rsidRDefault="003E0F58" w:rsidP="006A027C">
      <w:pPr>
        <w:pStyle w:val="UZEINormaln"/>
        <w:rPr>
          <w:rFonts w:eastAsia="Calibri"/>
        </w:rPr>
      </w:pPr>
      <w:r w:rsidRPr="007C705C">
        <w:rPr>
          <w:rFonts w:eastAsia="Calibri"/>
        </w:rPr>
        <w:t>V dřívějších dobách byly kůrovcové kalamity soustředěny především do horských oblastí, tedy do míst původního rozšíření smrku. Ruku v ruce s rozvojem jeho pěstování v nižších polohách dochází také k rozšiřování škůdců, jako např. l. smrkového, kteří zde rovněž nalézají příhodnější podmínky k rozmnožování a vývoji. Za současného zdravotního stavu smrku v oblasti severní a střední Moravy a Slezska, tlaku václavky a podkorního hmyzu, bude velice obtížné dopěstovat mladší smrkové porosty do mýtního věku (Lubojacký et al. 2018). Jen mezi lety 2003 až 2018 bylo v Česku podle evidence LOS vytěženo přes 29 mil. m3 smrkového kůrovcového dříví (celkový objem napadené hmoty tak činil více než 42 mil. m3) (Lubojacký et al. 2019). Ačkoliv se na mnoha místech kůrovcová kalamita již zcela vymkla kontrole a není v lidských silách ji z roku na rok zvrátit, tak by měly být i nadále v hospodářských lesích prvořadým úkolem lesnického provozu v rámci boje s podkorním hmyzem aktivní vyhledávání kůrovcových stromů a jejich včasná a účinná asanace, aby se co nejvíce oddálil konečný rozpad stávajících porostů, zastavilo se šíření kůrovcové kalamity a přibrzdil se aktuální strmý nárůst pěstebních činností se všemi negativy, která s tím jsou spojena (obnova rozsáhlých kalamitních holin, nedostatek sadebního materiálu a pracovních sil, následně přemíra porostů nejmladších věkových stupňů, další rozvoj početnosti spárkaté zvěře atd.) (Lubojacký 2018; Lubojacký et al. 2018). V lesích zvláštního určení, zejména v kategoriích NP, I. a II. zóny CHKO, a MZCHÚ však situace může být značně odlišná. V těchto případech jsou předmětem zájmu jiné funkce než funkce produkční. V přírodě blízkých porostech je naopak zachování přírodních procesů primárním úkolem bez ohledu na hospodářsko-produkční kvalitu lesního porostu.</w:t>
      </w:r>
    </w:p>
    <w:p w14:paraId="78DB4E8B" w14:textId="5E5FC5FE" w:rsidR="003E0F58" w:rsidRPr="007C705C" w:rsidRDefault="003E0F58" w:rsidP="006A027C">
      <w:pPr>
        <w:pStyle w:val="UZEINormaln"/>
        <w:rPr>
          <w:rFonts w:eastAsia="Calibri"/>
        </w:rPr>
      </w:pPr>
      <w:r w:rsidRPr="007C705C">
        <w:rPr>
          <w:rFonts w:eastAsia="Calibri"/>
        </w:rPr>
        <w:t xml:space="preserve">Předpoklad vývoje kůrovcové kalamity v roce 2020 je vzhledem k dynamice expanze posledních let krajně nepříznivý, resp. katastrofický. Průběh počasí (teplo a sucho) v zimě 2019/2020 nasvědčuje, že bude pokračovat geometrický nárůst plošného napadení smrkových porostů, který může způsobit nejenom úplný kolaps ochrany lesa, ale potažmo přivodit i skutečný ekonomický rozvrat celého lesního hospodářství. Již v současnosti platí, že kůrovcová kalamita (spíše však katastrofa) vážně poškodila či zničila velké množství drobných </w:t>
      </w:r>
      <w:r w:rsidRPr="007C705C">
        <w:rPr>
          <w:rFonts w:eastAsia="Calibri"/>
        </w:rPr>
        <w:lastRenderedPageBreak/>
        <w:t>soukromých a obecních majetků a prakticky je připravila o veškerý profit z práce předchozích generací. Předpoklad vývoje zdravotního stavu lesa, potažmo kůrovcové kalamity v roce 2019 je krajně nepříznivý. Pokud nezasáhne tzv. vyšší moc (formou klimatického výkyvu opačného znaménka), je možné očekávat další rozvoj kůrovcové gradace a vznik rozsáhlých napadení jak ve stávajících problematických oblastech, tak i v regionech dosud relativně málo zasažených. Bude-li charakter počasí v roce 2019 obdobný, jako v roce předchozím, lze očekávat rozsah napadení ve výši několika desítek mil. m3 smrkové hmoty. Ani v případě průběhu počasí v intencích dlouhodobého „normálu“ nelze předpokládat vznik nižšího napadení, než tomu bylo v uplynulém roce. Pouze v případě žádoucího chladnějšího a deštivějšího charakteru počasí a uplatnění potřebných změn v přístupu k provádění opatření v ochraně lesa může dojít k částečné stabilizaci situace a snížení rozsahu napadení. Zatímco ve východní polovině Česka znamenal rok 2018 pravděpodobně období kulminace kůrovcové gradace (z důvodu výrazného úbytku pro lýkožrouta smrkového nejatraktivnějších porostů), na západě země potenciál rozvoje kůrovcové gradace a nárůstu napadení stále trvá a svého vrcholu zde dosáhne teprve v</w:t>
      </w:r>
      <w:r w:rsidR="00A36BA9">
        <w:rPr>
          <w:rFonts w:eastAsia="Calibri"/>
        </w:rPr>
        <w:t xml:space="preserve"> následujícím období (Lubojacký</w:t>
      </w:r>
      <w:r w:rsidRPr="007C705C">
        <w:rPr>
          <w:rFonts w:eastAsia="Calibri"/>
        </w:rPr>
        <w:t xml:space="preserve">, Knížek 2020et al. 2019). </w:t>
      </w:r>
    </w:p>
    <w:p w14:paraId="10612DB3" w14:textId="77777777" w:rsidR="003E0F58" w:rsidRPr="007C705C" w:rsidRDefault="003E0F58" w:rsidP="006A027C">
      <w:pPr>
        <w:pStyle w:val="UZEINormaln"/>
        <w:rPr>
          <w:rFonts w:eastAsia="Calibri"/>
        </w:rPr>
      </w:pPr>
      <w:r w:rsidRPr="007C705C">
        <w:rPr>
          <w:rFonts w:eastAsia="Calibri"/>
        </w:rPr>
        <w:t xml:space="preserve">Ani v současné, takřka bezvýchodné, situaci však nemůže lesnický personál rezignovat na opatření ochrany lesa před podkorním hmyzem. I nadále musí být hlavní prioritou pečlivé vyhledávání, včasné zpracování a účinná asanace aktivních kůrovcových stromů s cílem co nejvíce zpomalit rozvoj a šíření podkorního hmyzu do dalších oblastí a vyšších poloh s často cennými populacemi smrku. Pokud totiž uvážíme, že ze zmíněných cca 14,5 mil. m3 evidovaných kůrovcových těžeb v roce 2019 byla včas vytěžena a účinně asanována pouze menší část (cca 20 – 30 %), není třeba dále rozvádět, jaké nebezpečí smrkovým porostům v Česku hrozí v následujících letech („zatím“ bylo během let 2015 – 2019 kůrovci napadeno cca 60 mil. m3 smrkové dřevní hmoty, přičemž aktuální zásoba smrkových porostů je pracovníky ÚHÚL k září roku 2019 odhadována v objemu cca 400 mil. m3) (Lubojacký, Knížek 2020). </w:t>
      </w:r>
    </w:p>
    <w:p w14:paraId="7B22E199" w14:textId="77777777" w:rsidR="003E0F58" w:rsidRPr="007C705C" w:rsidRDefault="003E0F58" w:rsidP="006A027C">
      <w:pPr>
        <w:pStyle w:val="UZEINormaln"/>
        <w:rPr>
          <w:rFonts w:eastAsia="Calibri"/>
        </w:rPr>
      </w:pPr>
      <w:r w:rsidRPr="007C705C">
        <w:rPr>
          <w:rFonts w:eastAsia="Calibri"/>
        </w:rPr>
        <w:t>Rozsah kalamity vyžaduje koncepční bezodkladnou intervenci státu v podobě účinných legislativních a finančních nástrojů, které umožní kůrovcovou gradaci v roce 2019 stabilizovat a v delším časovém horizontu snad i utlumit. Vzhledem k prognózovanému průběhu počasí a dosavadnímu celospolečenskému vývoji je však výhled do budoucích let zcela tristní a je potřebné počítat s dramatickou proměnou celého sektoru českého lesního hospodářství, doprovázenou vyvolanými sociálními, ekonomickými i environmentálními problémy, jež bude posléze nucena řešit celá společnost (Lubojacký et al. 2019).</w:t>
      </w:r>
    </w:p>
    <w:p w14:paraId="0435A5EB" w14:textId="77777777" w:rsidR="003E0F58" w:rsidRPr="007C705C" w:rsidRDefault="003E0F58" w:rsidP="008A1AE3">
      <w:pPr>
        <w:pStyle w:val="Odstavecseseznamem"/>
        <w:numPr>
          <w:ilvl w:val="0"/>
          <w:numId w:val="36"/>
        </w:numPr>
        <w:spacing w:before="60" w:line="360" w:lineRule="atLeast"/>
        <w:rPr>
          <w:rFonts w:eastAsiaTheme="minorEastAsia"/>
          <w:b/>
          <w:bCs/>
        </w:rPr>
      </w:pPr>
      <w:r w:rsidRPr="007C705C">
        <w:rPr>
          <w:rFonts w:eastAsiaTheme="minorEastAsia"/>
          <w:b/>
          <w:bCs/>
        </w:rPr>
        <w:t>Druhové, věkové a prostorové složení lesních porostů</w:t>
      </w:r>
    </w:p>
    <w:p w14:paraId="192ADB40" w14:textId="77777777" w:rsidR="003E0F58" w:rsidRPr="007C705C" w:rsidRDefault="003E0F58" w:rsidP="006A027C">
      <w:pPr>
        <w:pStyle w:val="UZEINormaln"/>
        <w:rPr>
          <w:rFonts w:eastAsia="Calibri"/>
        </w:rPr>
      </w:pPr>
      <w:r w:rsidRPr="007C705C">
        <w:rPr>
          <w:rFonts w:eastAsia="Calibri"/>
        </w:rPr>
        <w:t xml:space="preserve">Postupná změna druhového složení lesních porostů je hlavním adaptačním opatřením na probíhající změny klimatu. Vzhledem k rizikům a nejistotám budoucího vývoje je nutno reagovat rovněž zvýšením věkové a prostorové diverzity lesních porostů. Dosažení těchto cílů může ohrožovat rychlý rozpad současných porostů (vznik rozsáhlých holin), poškození výsadeb listnatých dřevin vysokými stavy zvěře a nedostatkem vhodného reprodukčního materiálu.  </w:t>
      </w:r>
    </w:p>
    <w:p w14:paraId="1C29E68A" w14:textId="77777777" w:rsidR="003E0F58" w:rsidRPr="007C705C" w:rsidRDefault="003E0F58" w:rsidP="008A1AE3">
      <w:pPr>
        <w:pStyle w:val="Odstavecseseznamem"/>
        <w:numPr>
          <w:ilvl w:val="0"/>
          <w:numId w:val="36"/>
        </w:numPr>
        <w:spacing w:before="60" w:line="360" w:lineRule="atLeast"/>
        <w:rPr>
          <w:i/>
        </w:rPr>
      </w:pPr>
      <w:r w:rsidRPr="007C705C">
        <w:rPr>
          <w:rFonts w:eastAsiaTheme="minorEastAsia"/>
          <w:b/>
          <w:bCs/>
        </w:rPr>
        <w:t>Protierozní, protipovodňová a retenční opatření v lesích</w:t>
      </w:r>
    </w:p>
    <w:p w14:paraId="0E7E1021" w14:textId="77777777" w:rsidR="003E0F58" w:rsidRPr="007C705C" w:rsidRDefault="003E0F58" w:rsidP="006A027C">
      <w:pPr>
        <w:pStyle w:val="UZEINormaln"/>
        <w:rPr>
          <w:rFonts w:eastAsia="Calibri"/>
        </w:rPr>
      </w:pPr>
      <w:r w:rsidRPr="007C705C">
        <w:rPr>
          <w:rFonts w:eastAsia="Calibri"/>
        </w:rPr>
        <w:t xml:space="preserve">Posilování ochranné a retenční funkce lesů pomocí vhodných protierozních, protipovodňových a retenčních opatření v lesích je v řadě oblastí nutnou podmínkou pro ochranu pozemků, staveb, vodních děl a technické i dopravní infrastruktury. Včas neřešené drobné erozní projevy při výskytu klimatických extrémů získají mnohem závažnější rozměr (co do následků i nákladů na jejich odstranění). Návazně není dostatečně využit ani potenciál zadržování vody odtékající z lesů spočívající ve výstavbě nebo obnově malých vodních nádrží v lesích, které umožňují vodu z přívalových srážek převést na dlouhodobě vyrovnanější odtok z lesního povodí. Nedostatek </w:t>
      </w:r>
      <w:r w:rsidRPr="007C705C">
        <w:rPr>
          <w:rFonts w:eastAsia="Calibri"/>
        </w:rPr>
        <w:lastRenderedPageBreak/>
        <w:t>těchto nádrží také neumožňuje záměrné posílení převodu povrchové vody z přívalových srážek do půdy v okolí nádrží nebo její využití pro hašení lesních požárů.</w:t>
      </w:r>
    </w:p>
    <w:p w14:paraId="153D8D38" w14:textId="77777777" w:rsidR="003E0F58" w:rsidRPr="007C705C" w:rsidRDefault="003E0F58" w:rsidP="006A027C">
      <w:pPr>
        <w:pStyle w:val="UZEINormaln"/>
        <w:rPr>
          <w:rFonts w:eastAsia="Calibri"/>
        </w:rPr>
      </w:pPr>
      <w:r w:rsidRPr="007C705C">
        <w:rPr>
          <w:rFonts w:eastAsia="Calibri"/>
        </w:rPr>
        <w:t>Se zvyšujícím se výskytem extrémních klimatických jevů (sucho, srážky pouze v pohodě přeháněk, vichřice) nabývají na významu v krajině s nízkou lesnatostí opatření proti větrné erozi, zejména sítě ochranných lesních pásů. Většina stávajících pásů je ale za hranicí své životnosti, pro zachování jejich funkčnosti je potřeba přistoupit k jejich obnově, popř. i doplnění.</w:t>
      </w:r>
    </w:p>
    <w:p w14:paraId="755F5EE7" w14:textId="77777777" w:rsidR="003E0F58" w:rsidRPr="007C705C" w:rsidRDefault="003E0F58" w:rsidP="008A1AE3">
      <w:pPr>
        <w:pStyle w:val="Odstavecseseznamem"/>
        <w:numPr>
          <w:ilvl w:val="0"/>
          <w:numId w:val="36"/>
        </w:numPr>
        <w:spacing w:before="60" w:line="360" w:lineRule="atLeast"/>
        <w:rPr>
          <w:rFonts w:eastAsiaTheme="minorEastAsia"/>
          <w:b/>
          <w:bCs/>
        </w:rPr>
      </w:pPr>
      <w:r w:rsidRPr="007C705C">
        <w:rPr>
          <w:rFonts w:eastAsiaTheme="minorEastAsia"/>
          <w:b/>
          <w:bCs/>
        </w:rPr>
        <w:t>Potenciální vliv rozsáhlých kalamitních holin vzniklých v důsledku chřadnutí smrku</w:t>
      </w:r>
    </w:p>
    <w:p w14:paraId="66C8C1A5" w14:textId="77777777" w:rsidR="003E0F58" w:rsidRPr="007C705C" w:rsidRDefault="003E0F58" w:rsidP="006A027C">
      <w:pPr>
        <w:pStyle w:val="UZEINormaln"/>
        <w:rPr>
          <w:rFonts w:eastAsia="Calibri"/>
        </w:rPr>
      </w:pPr>
      <w:r w:rsidRPr="007C705C">
        <w:rPr>
          <w:rFonts w:eastAsia="Calibri"/>
        </w:rPr>
        <w:t xml:space="preserve">Vznik rozsáhlých kalamitních holin po ústupu smrku ze zájmového území by potenciálně představoval rozdílný efekt v nižších (do 4. LVS) a vyšších (5. LVS a výše) lesních vegetačních stupních. V nižších polohách by v zimním došlo k zvýšení průměrného celoročního hektarového odtoku až o ca 20 %. Zvýšení by bylo, nicméně limitováno na 3–5 let po odstranění smrku a odeznělo by po stabilizaci pasečné vegetace a nové kultury. Na některých lokalitách by mohlo dojít ztrátou desukční funkce porostů k dočasnému zamokření půdního profilu (přednostně na stanovištích ovlivněných vodou). Naopak na vysychavějších stanovištích by v důsledku ztráty krycího efektu porostu mohlo dojít k přehřívání půdního povrchu, vyššímu výparu a tím vysychání půdního profilu. </w:t>
      </w:r>
    </w:p>
    <w:p w14:paraId="3EB9CF5A" w14:textId="77777777" w:rsidR="003E0F58" w:rsidRPr="007C705C" w:rsidRDefault="003E0F58" w:rsidP="006A027C">
      <w:pPr>
        <w:pStyle w:val="UZEINormaln"/>
        <w:rPr>
          <w:rFonts w:eastAsia="Calibri"/>
        </w:rPr>
      </w:pPr>
      <w:r w:rsidRPr="007C705C">
        <w:rPr>
          <w:rFonts w:eastAsia="Calibri"/>
        </w:rPr>
        <w:t>Ve vyšších polohách by došlo ke snížení průměrného zimního hektarového odtoku vlivem ztráty usazených srážek, nicméně roční rozdíl by činil nárůst průměrného hektarového odtoku do 5 %. Také zde by změna odtoku odezněla po stabilizaci pasečné vegetace a nové kultury. Zde je vhodné odkázat na publikované práce. Tak např. Chlebek a Jařabáč (1988) konstatovali změnu ročních odtokových množství až při překročení plochy s obnovními zásahy na více než 50 % povodí. Dále také Tesař a kol. (2004) připomínají, že v důsledku vzniku rozsáhlých holin v imisních oblastech českých pohraničních hor nevznikla v minulosti vodohospodářská katastrofa; náhradní bylinná a keřová vegetace převzala funkci mrtvých nebo vytěžených stromů.</w:t>
      </w:r>
    </w:p>
    <w:p w14:paraId="3A94C54C" w14:textId="17269009" w:rsidR="003E0F58" w:rsidRPr="007C705C" w:rsidRDefault="003E0F58" w:rsidP="006A027C">
      <w:pPr>
        <w:pStyle w:val="UZEINormaln"/>
        <w:rPr>
          <w:rFonts w:eastAsiaTheme="minorEastAsia"/>
        </w:rPr>
      </w:pPr>
      <w:r w:rsidRPr="007C705C">
        <w:rPr>
          <w:rFonts w:eastAsia="Calibri"/>
        </w:rPr>
        <w:t>V posledních cca 17 letech bylo území státu zasaženo několika povodněmi katastrofálních rozměrů, které způsobily miliardové škody na majetku občanů, obcí i státu. Podle údajů Ministerstva zemědělství dosáhly škody za posledních 17 let kolem 190 miliard korun.  Rostoucí četnost těchto událostí jak na lokální, tak na regionální a celostátní úrovni vyžaduje reakci.</w:t>
      </w:r>
    </w:p>
    <w:p w14:paraId="7861C24F" w14:textId="77777777" w:rsidR="003E0F58" w:rsidRPr="007C705C" w:rsidRDefault="003E0F58" w:rsidP="008A1AE3">
      <w:pPr>
        <w:pStyle w:val="Odstavecseseznamem"/>
        <w:numPr>
          <w:ilvl w:val="0"/>
          <w:numId w:val="36"/>
        </w:numPr>
        <w:spacing w:before="60" w:line="360" w:lineRule="atLeast"/>
        <w:rPr>
          <w:rFonts w:eastAsiaTheme="minorEastAsia"/>
          <w:b/>
          <w:bCs/>
        </w:rPr>
      </w:pPr>
      <w:r w:rsidRPr="007C705C">
        <w:rPr>
          <w:rFonts w:eastAsiaTheme="minorEastAsia"/>
          <w:b/>
          <w:bCs/>
        </w:rPr>
        <w:t>Nedostatečné využití potenciálu lesních ekosystémů při možné minimalizaci dopadu očekávané globální klimatické změny a extrémních meteorologických jevů</w:t>
      </w:r>
    </w:p>
    <w:p w14:paraId="59683866" w14:textId="3D707A44" w:rsidR="003E0F58" w:rsidRPr="007C705C" w:rsidRDefault="003E0F58" w:rsidP="006A027C">
      <w:pPr>
        <w:pStyle w:val="UZEIOdrky"/>
        <w:rPr>
          <w:rFonts w:eastAsiaTheme="minorEastAsia"/>
        </w:rPr>
      </w:pPr>
      <w:r w:rsidRPr="007C705C">
        <w:rPr>
          <w:rFonts w:eastAsiaTheme="minorEastAsia"/>
        </w:rPr>
        <w:t>Zalesňování zemědělské půdy</w:t>
      </w:r>
    </w:p>
    <w:p w14:paraId="0E4889E2" w14:textId="77777777" w:rsidR="003E0F58" w:rsidRPr="007C705C" w:rsidRDefault="003E0F58" w:rsidP="006A027C">
      <w:pPr>
        <w:pStyle w:val="UZEINormaln"/>
        <w:rPr>
          <w:rFonts w:eastAsiaTheme="minorEastAsia"/>
        </w:rPr>
      </w:pPr>
      <w:r w:rsidRPr="007C705C">
        <w:rPr>
          <w:rFonts w:eastAsiaTheme="minorEastAsia"/>
        </w:rPr>
        <w:t>Plocha lesních pozemků v České republice trvale roste. Částečně je to způsobeno převisem výměry nově zalesněných původně nelesních pozemků nad výměrou pozemků, které jsou z různých důvodů z lesa odnímány, částečně také díky neustále se zpřesňujícím údajům z katastru nemovitostí. V roce 2017 se plocha lesních pozemků meziročně zvýšila o 1 809 ha. K zalesňování nicméně dochází převážně na plochách, kde je to méně potřebné, zejména na travních porostech v podhůří. Minimálně je uplatněno tam, kde je nejvíce potřeba – na orné půdě ohrožené erozí, orné půdě v nivách vodních toků, orné půdě v oblastech s nízkou lesnatostí.</w:t>
      </w:r>
    </w:p>
    <w:p w14:paraId="6055D5CE" w14:textId="00158706" w:rsidR="003E0F58" w:rsidRDefault="003E0F58" w:rsidP="006A027C">
      <w:pPr>
        <w:pStyle w:val="UZEINormaln"/>
        <w:rPr>
          <w:rFonts w:eastAsiaTheme="minorEastAsia"/>
        </w:rPr>
      </w:pPr>
      <w:r w:rsidRPr="007C705C">
        <w:rPr>
          <w:rFonts w:eastAsiaTheme="minorEastAsia"/>
        </w:rPr>
        <w:t>Pro smysluplné uplatňování tohoto opatření je vždy předem nutné zhodnotit i jiné možnosti stabilizace pozemku a jeho schopnosti zvyšovat diverzitu a biodiverzitu dané krajiny.</w:t>
      </w:r>
    </w:p>
    <w:p w14:paraId="07B24160" w14:textId="77777777" w:rsidR="00CD26E4" w:rsidRPr="006A027C" w:rsidRDefault="00CD26E4" w:rsidP="006A027C">
      <w:pPr>
        <w:pStyle w:val="UZEINormaln"/>
        <w:rPr>
          <w:rFonts w:eastAsiaTheme="minorEastAsia"/>
        </w:rPr>
      </w:pPr>
    </w:p>
    <w:p w14:paraId="57F832A0" w14:textId="368DFC51" w:rsidR="003E0F58" w:rsidRPr="007C705C" w:rsidRDefault="00CD26E4" w:rsidP="00CD26E4">
      <w:pPr>
        <w:pStyle w:val="UZEITaB"/>
      </w:pPr>
      <w:bookmarkStart w:id="337" w:name="_Toc77245837"/>
      <w:r>
        <w:t xml:space="preserve"> </w:t>
      </w:r>
      <w:bookmarkStart w:id="338" w:name="_Toc94181601"/>
      <w:r w:rsidR="003E0F58" w:rsidRPr="007C705C">
        <w:t>Vývoj celkové výměry lesních pozemků (v ha)</w:t>
      </w:r>
      <w:bookmarkEnd w:id="337"/>
      <w:bookmarkEnd w:id="338"/>
    </w:p>
    <w:tbl>
      <w:tblPr>
        <w:tblW w:w="8808"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1492"/>
        <w:gridCol w:w="1219"/>
        <w:gridCol w:w="1219"/>
        <w:gridCol w:w="1219"/>
        <w:gridCol w:w="1219"/>
        <w:gridCol w:w="1220"/>
        <w:gridCol w:w="1220"/>
      </w:tblGrid>
      <w:tr w:rsidR="003E0F58" w:rsidRPr="00EA4952" w14:paraId="27B8CCE7" w14:textId="77777777" w:rsidTr="00CD26E4">
        <w:trPr>
          <w:trHeight w:val="431"/>
        </w:trPr>
        <w:tc>
          <w:tcPr>
            <w:tcW w:w="1492" w:type="dxa"/>
            <w:tcBorders>
              <w:top w:val="single" w:sz="4" w:space="0" w:color="auto"/>
              <w:left w:val="single" w:sz="4" w:space="0" w:color="auto"/>
              <w:bottom w:val="single" w:sz="4" w:space="0" w:color="auto"/>
              <w:right w:val="single" w:sz="4" w:space="0" w:color="auto"/>
            </w:tcBorders>
            <w:vAlign w:val="center"/>
            <w:hideMark/>
          </w:tcPr>
          <w:p w14:paraId="67BB0874" w14:textId="77777777" w:rsidR="003E0F58" w:rsidRPr="00EA4952" w:rsidRDefault="003E0F58" w:rsidP="00EA4952">
            <w:pPr>
              <w:jc w:val="left"/>
              <w:rPr>
                <w:rFonts w:eastAsia="Calibri" w:cs="Times New Roman"/>
                <w:sz w:val="20"/>
                <w:szCs w:val="20"/>
                <w:lang w:val="cs-CZ"/>
              </w:rPr>
            </w:pPr>
            <w:r w:rsidRPr="00EA4952">
              <w:rPr>
                <w:rFonts w:eastAsia="Calibri" w:cs="Times New Roman"/>
                <w:sz w:val="20"/>
                <w:szCs w:val="20"/>
                <w:lang w:val="cs-CZ"/>
              </w:rPr>
              <w:t>Rok</w:t>
            </w:r>
          </w:p>
        </w:tc>
        <w:tc>
          <w:tcPr>
            <w:tcW w:w="1219" w:type="dxa"/>
            <w:tcBorders>
              <w:top w:val="single" w:sz="4" w:space="0" w:color="auto"/>
              <w:left w:val="single" w:sz="4" w:space="0" w:color="auto"/>
              <w:bottom w:val="single" w:sz="4" w:space="0" w:color="auto"/>
              <w:right w:val="single" w:sz="4" w:space="0" w:color="auto"/>
            </w:tcBorders>
            <w:noWrap/>
            <w:vAlign w:val="center"/>
            <w:hideMark/>
          </w:tcPr>
          <w:p w14:paraId="0D402C4D" w14:textId="77777777" w:rsidR="003E0F58" w:rsidRPr="00EA4952" w:rsidRDefault="003E0F58" w:rsidP="00EA4952">
            <w:pPr>
              <w:jc w:val="center"/>
              <w:rPr>
                <w:rFonts w:eastAsia="Calibri" w:cs="Times New Roman"/>
                <w:sz w:val="20"/>
                <w:szCs w:val="20"/>
                <w:lang w:val="cs-CZ"/>
              </w:rPr>
            </w:pPr>
            <w:r w:rsidRPr="00EA4952">
              <w:rPr>
                <w:rFonts w:eastAsia="Calibri" w:cs="Times New Roman"/>
                <w:sz w:val="20"/>
                <w:szCs w:val="20"/>
                <w:lang w:val="cs-CZ"/>
              </w:rPr>
              <w:t>2012</w:t>
            </w:r>
          </w:p>
        </w:tc>
        <w:tc>
          <w:tcPr>
            <w:tcW w:w="1219" w:type="dxa"/>
            <w:tcBorders>
              <w:top w:val="single" w:sz="4" w:space="0" w:color="auto"/>
              <w:left w:val="single" w:sz="4" w:space="0" w:color="auto"/>
              <w:bottom w:val="single" w:sz="4" w:space="0" w:color="auto"/>
              <w:right w:val="single" w:sz="4" w:space="0" w:color="auto"/>
            </w:tcBorders>
            <w:vAlign w:val="center"/>
            <w:hideMark/>
          </w:tcPr>
          <w:p w14:paraId="71F0377F" w14:textId="77777777" w:rsidR="003E0F58" w:rsidRPr="00EA4952" w:rsidRDefault="003E0F58" w:rsidP="00EA4952">
            <w:pPr>
              <w:jc w:val="center"/>
              <w:rPr>
                <w:rFonts w:eastAsia="Calibri" w:cs="Times New Roman"/>
                <w:sz w:val="20"/>
                <w:szCs w:val="20"/>
                <w:lang w:val="cs-CZ"/>
              </w:rPr>
            </w:pPr>
            <w:r w:rsidRPr="00EA4952">
              <w:rPr>
                <w:rFonts w:eastAsia="Calibri" w:cs="Times New Roman"/>
                <w:sz w:val="20"/>
                <w:szCs w:val="20"/>
                <w:lang w:val="cs-CZ"/>
              </w:rPr>
              <w:t>2014</w:t>
            </w:r>
          </w:p>
        </w:tc>
        <w:tc>
          <w:tcPr>
            <w:tcW w:w="1219" w:type="dxa"/>
            <w:tcBorders>
              <w:top w:val="single" w:sz="4" w:space="0" w:color="auto"/>
              <w:left w:val="single" w:sz="4" w:space="0" w:color="auto"/>
              <w:bottom w:val="single" w:sz="4" w:space="0" w:color="auto"/>
              <w:right w:val="single" w:sz="4" w:space="0" w:color="auto"/>
            </w:tcBorders>
            <w:vAlign w:val="center"/>
            <w:hideMark/>
          </w:tcPr>
          <w:p w14:paraId="278E05D0" w14:textId="77777777" w:rsidR="003E0F58" w:rsidRPr="00EA4952" w:rsidRDefault="003E0F58" w:rsidP="00EA4952">
            <w:pPr>
              <w:jc w:val="center"/>
              <w:rPr>
                <w:rFonts w:eastAsia="Calibri" w:cs="Times New Roman"/>
                <w:sz w:val="20"/>
                <w:szCs w:val="20"/>
                <w:lang w:val="cs-CZ"/>
              </w:rPr>
            </w:pPr>
            <w:r w:rsidRPr="00EA4952">
              <w:rPr>
                <w:rFonts w:eastAsia="Calibri" w:cs="Times New Roman"/>
                <w:sz w:val="20"/>
                <w:szCs w:val="20"/>
                <w:lang w:val="cs-CZ"/>
              </w:rPr>
              <w:t>2015</w:t>
            </w:r>
          </w:p>
        </w:tc>
        <w:tc>
          <w:tcPr>
            <w:tcW w:w="1219" w:type="dxa"/>
            <w:tcBorders>
              <w:top w:val="single" w:sz="4" w:space="0" w:color="auto"/>
              <w:left w:val="single" w:sz="4" w:space="0" w:color="auto"/>
              <w:bottom w:val="single" w:sz="4" w:space="0" w:color="auto"/>
              <w:right w:val="single" w:sz="4" w:space="0" w:color="auto"/>
            </w:tcBorders>
            <w:vAlign w:val="center"/>
            <w:hideMark/>
          </w:tcPr>
          <w:p w14:paraId="0E81CE03" w14:textId="77777777" w:rsidR="003E0F58" w:rsidRPr="00EA4952" w:rsidRDefault="003E0F58" w:rsidP="00EA4952">
            <w:pPr>
              <w:jc w:val="center"/>
              <w:rPr>
                <w:rFonts w:eastAsia="Calibri" w:cs="Times New Roman"/>
                <w:sz w:val="20"/>
                <w:szCs w:val="20"/>
                <w:lang w:val="cs-CZ"/>
              </w:rPr>
            </w:pPr>
            <w:r w:rsidRPr="00EA4952">
              <w:rPr>
                <w:rFonts w:eastAsia="Calibri" w:cs="Times New Roman"/>
                <w:sz w:val="20"/>
                <w:szCs w:val="20"/>
                <w:lang w:val="cs-CZ"/>
              </w:rPr>
              <w:t>2016</w:t>
            </w:r>
          </w:p>
        </w:tc>
        <w:tc>
          <w:tcPr>
            <w:tcW w:w="1220" w:type="dxa"/>
            <w:tcBorders>
              <w:top w:val="single" w:sz="4" w:space="0" w:color="auto"/>
              <w:left w:val="single" w:sz="4" w:space="0" w:color="auto"/>
              <w:bottom w:val="single" w:sz="4" w:space="0" w:color="auto"/>
              <w:right w:val="single" w:sz="4" w:space="0" w:color="auto"/>
            </w:tcBorders>
            <w:vAlign w:val="center"/>
            <w:hideMark/>
          </w:tcPr>
          <w:p w14:paraId="24C90D94" w14:textId="77777777" w:rsidR="003E0F58" w:rsidRPr="00EA4952" w:rsidRDefault="003E0F58" w:rsidP="00EA4952">
            <w:pPr>
              <w:jc w:val="center"/>
              <w:rPr>
                <w:rFonts w:eastAsia="Calibri" w:cs="Times New Roman"/>
                <w:sz w:val="20"/>
                <w:szCs w:val="20"/>
                <w:lang w:val="cs-CZ"/>
              </w:rPr>
            </w:pPr>
            <w:r w:rsidRPr="00EA4952">
              <w:rPr>
                <w:rFonts w:eastAsia="Calibri" w:cs="Times New Roman"/>
                <w:sz w:val="20"/>
                <w:szCs w:val="20"/>
                <w:lang w:val="cs-CZ"/>
              </w:rPr>
              <w:t>2017</w:t>
            </w:r>
          </w:p>
        </w:tc>
        <w:tc>
          <w:tcPr>
            <w:tcW w:w="1220" w:type="dxa"/>
            <w:tcBorders>
              <w:top w:val="single" w:sz="4" w:space="0" w:color="auto"/>
              <w:left w:val="single" w:sz="4" w:space="0" w:color="auto"/>
              <w:bottom w:val="single" w:sz="4" w:space="0" w:color="auto"/>
              <w:right w:val="single" w:sz="4" w:space="0" w:color="auto"/>
            </w:tcBorders>
          </w:tcPr>
          <w:p w14:paraId="501A9AFD" w14:textId="77777777" w:rsidR="003E0F58" w:rsidRPr="00EA4952" w:rsidRDefault="003E0F58" w:rsidP="00EA4952">
            <w:pPr>
              <w:jc w:val="center"/>
              <w:rPr>
                <w:rFonts w:eastAsia="Calibri" w:cs="Times New Roman"/>
                <w:sz w:val="20"/>
                <w:szCs w:val="20"/>
                <w:lang w:val="cs-CZ"/>
              </w:rPr>
            </w:pPr>
            <w:r w:rsidRPr="00EA4952">
              <w:rPr>
                <w:rFonts w:eastAsia="Calibri" w:cs="Times New Roman"/>
                <w:sz w:val="20"/>
                <w:szCs w:val="20"/>
                <w:lang w:val="cs-CZ"/>
              </w:rPr>
              <w:t>2018</w:t>
            </w:r>
          </w:p>
        </w:tc>
      </w:tr>
      <w:tr w:rsidR="003E0F58" w:rsidRPr="00EA4952" w14:paraId="19836169" w14:textId="77777777" w:rsidTr="00CD26E4">
        <w:trPr>
          <w:trHeight w:val="533"/>
        </w:trPr>
        <w:tc>
          <w:tcPr>
            <w:tcW w:w="1492" w:type="dxa"/>
            <w:tcBorders>
              <w:top w:val="single" w:sz="4" w:space="0" w:color="auto"/>
              <w:left w:val="single" w:sz="4" w:space="0" w:color="auto"/>
              <w:bottom w:val="single" w:sz="4" w:space="0" w:color="auto"/>
              <w:right w:val="single" w:sz="4" w:space="0" w:color="auto"/>
            </w:tcBorders>
            <w:vAlign w:val="center"/>
            <w:hideMark/>
          </w:tcPr>
          <w:p w14:paraId="77999075" w14:textId="77777777" w:rsidR="003E0F58" w:rsidRPr="00EA4952" w:rsidRDefault="003E0F58" w:rsidP="00EA4952">
            <w:pPr>
              <w:jc w:val="left"/>
              <w:rPr>
                <w:rFonts w:eastAsia="Calibri" w:cs="Times New Roman"/>
                <w:sz w:val="20"/>
                <w:szCs w:val="20"/>
                <w:lang w:val="cs-CZ"/>
              </w:rPr>
            </w:pPr>
            <w:r w:rsidRPr="00EA4952">
              <w:rPr>
                <w:rFonts w:eastAsia="Calibri" w:cs="Times New Roman"/>
                <w:bCs/>
                <w:sz w:val="20"/>
                <w:szCs w:val="20"/>
                <w:lang w:val="cs-CZ"/>
              </w:rPr>
              <w:t>Výměra lesních pozemků</w:t>
            </w:r>
          </w:p>
        </w:tc>
        <w:tc>
          <w:tcPr>
            <w:tcW w:w="1219" w:type="dxa"/>
            <w:tcBorders>
              <w:top w:val="single" w:sz="4" w:space="0" w:color="auto"/>
              <w:left w:val="single" w:sz="4" w:space="0" w:color="auto"/>
              <w:bottom w:val="single" w:sz="4" w:space="0" w:color="auto"/>
              <w:right w:val="single" w:sz="4" w:space="0" w:color="auto"/>
            </w:tcBorders>
            <w:noWrap/>
            <w:vAlign w:val="center"/>
            <w:hideMark/>
          </w:tcPr>
          <w:p w14:paraId="5947D0D6" w14:textId="77777777" w:rsidR="003E0F58" w:rsidRPr="00EA4952" w:rsidRDefault="003E0F58" w:rsidP="00EA4952">
            <w:pPr>
              <w:jc w:val="right"/>
              <w:rPr>
                <w:rFonts w:eastAsia="Calibri" w:cs="Times New Roman"/>
                <w:sz w:val="20"/>
                <w:szCs w:val="20"/>
                <w:lang w:val="cs-CZ"/>
              </w:rPr>
            </w:pPr>
            <w:r w:rsidRPr="00EA4952">
              <w:rPr>
                <w:rFonts w:eastAsia="Calibri" w:cs="Times New Roman"/>
                <w:bCs/>
                <w:sz w:val="20"/>
                <w:szCs w:val="20"/>
                <w:lang w:val="cs-CZ"/>
              </w:rPr>
              <w:t>2 661 889</w:t>
            </w:r>
          </w:p>
        </w:tc>
        <w:tc>
          <w:tcPr>
            <w:tcW w:w="1219" w:type="dxa"/>
            <w:tcBorders>
              <w:top w:val="single" w:sz="4" w:space="0" w:color="auto"/>
              <w:left w:val="single" w:sz="4" w:space="0" w:color="auto"/>
              <w:bottom w:val="single" w:sz="4" w:space="0" w:color="auto"/>
              <w:right w:val="single" w:sz="4" w:space="0" w:color="auto"/>
            </w:tcBorders>
            <w:vAlign w:val="center"/>
            <w:hideMark/>
          </w:tcPr>
          <w:p w14:paraId="33239728" w14:textId="77777777" w:rsidR="003E0F58" w:rsidRPr="00EA4952" w:rsidRDefault="003E0F58" w:rsidP="00EA4952">
            <w:pPr>
              <w:jc w:val="right"/>
              <w:rPr>
                <w:rFonts w:eastAsia="Calibri" w:cs="Times New Roman"/>
                <w:sz w:val="20"/>
                <w:szCs w:val="20"/>
                <w:lang w:val="cs-CZ"/>
              </w:rPr>
            </w:pPr>
            <w:r w:rsidRPr="00EA4952">
              <w:rPr>
                <w:rFonts w:eastAsia="Calibri" w:cs="Times New Roman"/>
                <w:bCs/>
                <w:sz w:val="20"/>
                <w:szCs w:val="20"/>
                <w:lang w:val="cs-CZ"/>
              </w:rPr>
              <w:t>2 666 376</w:t>
            </w:r>
          </w:p>
        </w:tc>
        <w:tc>
          <w:tcPr>
            <w:tcW w:w="1219" w:type="dxa"/>
            <w:tcBorders>
              <w:top w:val="single" w:sz="4" w:space="0" w:color="auto"/>
              <w:left w:val="single" w:sz="4" w:space="0" w:color="auto"/>
              <w:bottom w:val="single" w:sz="4" w:space="0" w:color="auto"/>
              <w:right w:val="single" w:sz="4" w:space="0" w:color="auto"/>
            </w:tcBorders>
            <w:noWrap/>
            <w:vAlign w:val="center"/>
            <w:hideMark/>
          </w:tcPr>
          <w:p w14:paraId="776AA535" w14:textId="77777777" w:rsidR="003E0F58" w:rsidRPr="00EA4952" w:rsidRDefault="003E0F58" w:rsidP="00EA4952">
            <w:pPr>
              <w:jc w:val="right"/>
              <w:rPr>
                <w:rFonts w:eastAsia="Calibri" w:cs="Times New Roman"/>
                <w:sz w:val="20"/>
                <w:szCs w:val="20"/>
                <w:lang w:val="cs-CZ"/>
              </w:rPr>
            </w:pPr>
            <w:r w:rsidRPr="00EA4952">
              <w:rPr>
                <w:rFonts w:eastAsia="Calibri" w:cs="Times New Roman"/>
                <w:bCs/>
                <w:sz w:val="20"/>
                <w:szCs w:val="20"/>
                <w:lang w:val="cs-CZ"/>
              </w:rPr>
              <w:t>2 668 392</w:t>
            </w:r>
          </w:p>
        </w:tc>
        <w:tc>
          <w:tcPr>
            <w:tcW w:w="1219" w:type="dxa"/>
            <w:tcBorders>
              <w:top w:val="single" w:sz="4" w:space="0" w:color="auto"/>
              <w:left w:val="single" w:sz="4" w:space="0" w:color="auto"/>
              <w:bottom w:val="single" w:sz="4" w:space="0" w:color="auto"/>
              <w:right w:val="single" w:sz="4" w:space="0" w:color="auto"/>
            </w:tcBorders>
            <w:vAlign w:val="center"/>
            <w:hideMark/>
          </w:tcPr>
          <w:p w14:paraId="5150CDA0" w14:textId="77777777" w:rsidR="003E0F58" w:rsidRPr="00EA4952" w:rsidRDefault="003E0F58" w:rsidP="00EA4952">
            <w:pPr>
              <w:jc w:val="right"/>
              <w:rPr>
                <w:rFonts w:eastAsia="Calibri" w:cs="Times New Roman"/>
                <w:bCs/>
                <w:sz w:val="20"/>
                <w:szCs w:val="20"/>
                <w:lang w:val="cs-CZ"/>
              </w:rPr>
            </w:pPr>
            <w:r w:rsidRPr="00EA4952">
              <w:rPr>
                <w:rFonts w:eastAsia="Calibri" w:cs="Times New Roman"/>
                <w:bCs/>
                <w:sz w:val="20"/>
                <w:szCs w:val="20"/>
                <w:lang w:val="cs-CZ"/>
              </w:rPr>
              <w:t>2 669 850</w:t>
            </w:r>
          </w:p>
        </w:tc>
        <w:tc>
          <w:tcPr>
            <w:tcW w:w="1220" w:type="dxa"/>
            <w:tcBorders>
              <w:top w:val="single" w:sz="4" w:space="0" w:color="auto"/>
              <w:left w:val="single" w:sz="4" w:space="0" w:color="auto"/>
              <w:bottom w:val="single" w:sz="4" w:space="0" w:color="auto"/>
              <w:right w:val="single" w:sz="4" w:space="0" w:color="auto"/>
            </w:tcBorders>
            <w:vAlign w:val="center"/>
            <w:hideMark/>
          </w:tcPr>
          <w:p w14:paraId="23ED5835" w14:textId="77777777" w:rsidR="003E0F58" w:rsidRPr="00EA4952" w:rsidRDefault="003E0F58" w:rsidP="00EA4952">
            <w:pPr>
              <w:jc w:val="right"/>
              <w:rPr>
                <w:rFonts w:eastAsia="Calibri" w:cs="Times New Roman"/>
                <w:bCs/>
                <w:sz w:val="20"/>
                <w:szCs w:val="20"/>
                <w:lang w:val="cs-CZ"/>
              </w:rPr>
            </w:pPr>
            <w:r w:rsidRPr="00EA4952">
              <w:rPr>
                <w:rFonts w:eastAsia="Calibri" w:cs="Times New Roman"/>
                <w:bCs/>
                <w:sz w:val="20"/>
                <w:szCs w:val="20"/>
                <w:lang w:val="cs-CZ"/>
              </w:rPr>
              <w:t>2 671 659</w:t>
            </w:r>
          </w:p>
        </w:tc>
        <w:tc>
          <w:tcPr>
            <w:tcW w:w="1220" w:type="dxa"/>
            <w:tcBorders>
              <w:top w:val="single" w:sz="4" w:space="0" w:color="auto"/>
              <w:left w:val="single" w:sz="4" w:space="0" w:color="auto"/>
              <w:bottom w:val="single" w:sz="4" w:space="0" w:color="auto"/>
              <w:right w:val="single" w:sz="4" w:space="0" w:color="auto"/>
            </w:tcBorders>
          </w:tcPr>
          <w:p w14:paraId="635D9E00" w14:textId="77777777" w:rsidR="003E0F58" w:rsidRPr="00EA4952" w:rsidRDefault="003E0F58" w:rsidP="00EA4952">
            <w:pPr>
              <w:jc w:val="right"/>
              <w:rPr>
                <w:rFonts w:eastAsia="Calibri" w:cs="Times New Roman"/>
                <w:bCs/>
                <w:sz w:val="20"/>
                <w:szCs w:val="20"/>
                <w:lang w:val="cs-CZ"/>
              </w:rPr>
            </w:pPr>
            <w:r w:rsidRPr="00EA4952">
              <w:rPr>
                <w:rFonts w:eastAsia="Calibri" w:cs="Times New Roman"/>
                <w:bCs/>
                <w:sz w:val="20"/>
                <w:szCs w:val="20"/>
                <w:lang w:val="cs-CZ"/>
              </w:rPr>
              <w:t>2 673 392</w:t>
            </w:r>
          </w:p>
        </w:tc>
      </w:tr>
      <w:tr w:rsidR="003E0F58" w:rsidRPr="00EA4952" w14:paraId="285C2056" w14:textId="77777777" w:rsidTr="00CD26E4">
        <w:trPr>
          <w:gridAfter w:val="1"/>
          <w:wAfter w:w="1220" w:type="dxa"/>
          <w:trHeight w:val="431"/>
        </w:trPr>
        <w:tc>
          <w:tcPr>
            <w:tcW w:w="1492" w:type="dxa"/>
            <w:tcBorders>
              <w:top w:val="single" w:sz="4" w:space="0" w:color="auto"/>
              <w:left w:val="single" w:sz="4" w:space="0" w:color="auto"/>
              <w:bottom w:val="single" w:sz="4" w:space="0" w:color="auto"/>
              <w:right w:val="single" w:sz="4" w:space="0" w:color="auto"/>
            </w:tcBorders>
            <w:vAlign w:val="center"/>
            <w:hideMark/>
          </w:tcPr>
          <w:p w14:paraId="603CB2D6" w14:textId="77777777" w:rsidR="003E0F58" w:rsidRPr="00EA4952" w:rsidRDefault="003E0F58" w:rsidP="00EA4952">
            <w:pPr>
              <w:jc w:val="left"/>
              <w:rPr>
                <w:rFonts w:eastAsia="Calibri" w:cs="Times New Roman"/>
                <w:sz w:val="20"/>
                <w:szCs w:val="20"/>
                <w:lang w:val="cs-CZ"/>
              </w:rPr>
            </w:pPr>
            <w:r w:rsidRPr="00EA4952">
              <w:rPr>
                <w:rFonts w:eastAsia="Calibri" w:cs="Times New Roman"/>
                <w:sz w:val="20"/>
                <w:szCs w:val="20"/>
                <w:lang w:val="cs-CZ"/>
              </w:rPr>
              <w:t>Rok</w:t>
            </w:r>
          </w:p>
        </w:tc>
        <w:tc>
          <w:tcPr>
            <w:tcW w:w="1219" w:type="dxa"/>
            <w:tcBorders>
              <w:top w:val="single" w:sz="4" w:space="0" w:color="auto"/>
              <w:left w:val="single" w:sz="4" w:space="0" w:color="auto"/>
              <w:bottom w:val="single" w:sz="4" w:space="0" w:color="auto"/>
              <w:right w:val="single" w:sz="4" w:space="0" w:color="auto"/>
            </w:tcBorders>
            <w:noWrap/>
            <w:vAlign w:val="center"/>
            <w:hideMark/>
          </w:tcPr>
          <w:p w14:paraId="13A5B6B4" w14:textId="77777777" w:rsidR="003E0F58" w:rsidRPr="00EA4952" w:rsidRDefault="003E0F58" w:rsidP="00EA4952">
            <w:pPr>
              <w:jc w:val="center"/>
              <w:rPr>
                <w:rFonts w:eastAsia="Calibri" w:cs="Times New Roman"/>
                <w:sz w:val="20"/>
                <w:szCs w:val="20"/>
                <w:lang w:val="cs-CZ"/>
              </w:rPr>
            </w:pPr>
            <w:r w:rsidRPr="00EA4952">
              <w:rPr>
                <w:rFonts w:eastAsia="Calibri" w:cs="Times New Roman"/>
                <w:sz w:val="20"/>
                <w:szCs w:val="20"/>
                <w:lang w:val="cs-CZ"/>
              </w:rPr>
              <w:t>2012</w:t>
            </w:r>
          </w:p>
        </w:tc>
        <w:tc>
          <w:tcPr>
            <w:tcW w:w="1219" w:type="dxa"/>
            <w:tcBorders>
              <w:top w:val="single" w:sz="4" w:space="0" w:color="auto"/>
              <w:left w:val="single" w:sz="4" w:space="0" w:color="auto"/>
              <w:bottom w:val="single" w:sz="4" w:space="0" w:color="auto"/>
              <w:right w:val="single" w:sz="4" w:space="0" w:color="auto"/>
            </w:tcBorders>
            <w:vAlign w:val="center"/>
            <w:hideMark/>
          </w:tcPr>
          <w:p w14:paraId="575ECDA3" w14:textId="77777777" w:rsidR="003E0F58" w:rsidRPr="00EA4952" w:rsidRDefault="003E0F58" w:rsidP="00EA4952">
            <w:pPr>
              <w:jc w:val="center"/>
              <w:rPr>
                <w:rFonts w:eastAsia="Calibri" w:cs="Times New Roman"/>
                <w:sz w:val="20"/>
                <w:szCs w:val="20"/>
                <w:lang w:val="cs-CZ"/>
              </w:rPr>
            </w:pPr>
            <w:r w:rsidRPr="00EA4952">
              <w:rPr>
                <w:rFonts w:eastAsia="Calibri" w:cs="Times New Roman"/>
                <w:sz w:val="20"/>
                <w:szCs w:val="20"/>
                <w:lang w:val="cs-CZ"/>
              </w:rPr>
              <w:t>2014</w:t>
            </w:r>
          </w:p>
        </w:tc>
        <w:tc>
          <w:tcPr>
            <w:tcW w:w="1219" w:type="dxa"/>
            <w:tcBorders>
              <w:top w:val="single" w:sz="4" w:space="0" w:color="auto"/>
              <w:left w:val="single" w:sz="4" w:space="0" w:color="auto"/>
              <w:bottom w:val="single" w:sz="4" w:space="0" w:color="auto"/>
              <w:right w:val="single" w:sz="4" w:space="0" w:color="auto"/>
            </w:tcBorders>
            <w:vAlign w:val="center"/>
            <w:hideMark/>
          </w:tcPr>
          <w:p w14:paraId="6B03D388" w14:textId="77777777" w:rsidR="003E0F58" w:rsidRPr="00EA4952" w:rsidRDefault="003E0F58" w:rsidP="00EA4952">
            <w:pPr>
              <w:jc w:val="center"/>
              <w:rPr>
                <w:rFonts w:eastAsia="Calibri" w:cs="Times New Roman"/>
                <w:sz w:val="20"/>
                <w:szCs w:val="20"/>
                <w:lang w:val="cs-CZ"/>
              </w:rPr>
            </w:pPr>
            <w:r w:rsidRPr="00EA4952">
              <w:rPr>
                <w:rFonts w:eastAsia="Calibri" w:cs="Times New Roman"/>
                <w:sz w:val="20"/>
                <w:szCs w:val="20"/>
                <w:lang w:val="cs-CZ"/>
              </w:rPr>
              <w:t>2015</w:t>
            </w:r>
          </w:p>
        </w:tc>
        <w:tc>
          <w:tcPr>
            <w:tcW w:w="1219" w:type="dxa"/>
            <w:tcBorders>
              <w:top w:val="single" w:sz="4" w:space="0" w:color="auto"/>
              <w:left w:val="single" w:sz="4" w:space="0" w:color="auto"/>
              <w:bottom w:val="single" w:sz="4" w:space="0" w:color="auto"/>
              <w:right w:val="single" w:sz="4" w:space="0" w:color="auto"/>
            </w:tcBorders>
            <w:vAlign w:val="center"/>
            <w:hideMark/>
          </w:tcPr>
          <w:p w14:paraId="0CD70923" w14:textId="77777777" w:rsidR="003E0F58" w:rsidRPr="00EA4952" w:rsidRDefault="003E0F58" w:rsidP="00EA4952">
            <w:pPr>
              <w:jc w:val="center"/>
              <w:rPr>
                <w:rFonts w:eastAsia="Calibri" w:cs="Times New Roman"/>
                <w:sz w:val="20"/>
                <w:szCs w:val="20"/>
                <w:lang w:val="cs-CZ"/>
              </w:rPr>
            </w:pPr>
            <w:r w:rsidRPr="00EA4952">
              <w:rPr>
                <w:rFonts w:eastAsia="Calibri" w:cs="Times New Roman"/>
                <w:sz w:val="20"/>
                <w:szCs w:val="20"/>
                <w:lang w:val="cs-CZ"/>
              </w:rPr>
              <w:t>2016</w:t>
            </w:r>
          </w:p>
        </w:tc>
        <w:tc>
          <w:tcPr>
            <w:tcW w:w="1220" w:type="dxa"/>
            <w:tcBorders>
              <w:top w:val="single" w:sz="4" w:space="0" w:color="auto"/>
              <w:left w:val="single" w:sz="4" w:space="0" w:color="auto"/>
              <w:bottom w:val="single" w:sz="4" w:space="0" w:color="auto"/>
              <w:right w:val="single" w:sz="4" w:space="0" w:color="auto"/>
            </w:tcBorders>
            <w:vAlign w:val="center"/>
            <w:hideMark/>
          </w:tcPr>
          <w:p w14:paraId="30863997" w14:textId="77777777" w:rsidR="003E0F58" w:rsidRPr="00EA4952" w:rsidRDefault="003E0F58" w:rsidP="00EA4952">
            <w:pPr>
              <w:jc w:val="center"/>
              <w:rPr>
                <w:rFonts w:eastAsia="Calibri" w:cs="Times New Roman"/>
                <w:sz w:val="20"/>
                <w:szCs w:val="20"/>
                <w:lang w:val="cs-CZ"/>
              </w:rPr>
            </w:pPr>
            <w:r w:rsidRPr="00EA4952">
              <w:rPr>
                <w:rFonts w:eastAsia="Calibri" w:cs="Times New Roman"/>
                <w:sz w:val="20"/>
                <w:szCs w:val="20"/>
                <w:lang w:val="cs-CZ"/>
              </w:rPr>
              <w:t>2017</w:t>
            </w:r>
          </w:p>
        </w:tc>
      </w:tr>
      <w:tr w:rsidR="003E0F58" w:rsidRPr="00EA4952" w14:paraId="5BAA8BC5" w14:textId="77777777" w:rsidTr="00CD26E4">
        <w:trPr>
          <w:gridAfter w:val="1"/>
          <w:wAfter w:w="1220" w:type="dxa"/>
          <w:trHeight w:val="533"/>
        </w:trPr>
        <w:tc>
          <w:tcPr>
            <w:tcW w:w="1492" w:type="dxa"/>
            <w:tcBorders>
              <w:top w:val="single" w:sz="4" w:space="0" w:color="auto"/>
              <w:left w:val="single" w:sz="4" w:space="0" w:color="auto"/>
              <w:bottom w:val="single" w:sz="4" w:space="0" w:color="auto"/>
              <w:right w:val="single" w:sz="4" w:space="0" w:color="auto"/>
            </w:tcBorders>
            <w:vAlign w:val="center"/>
            <w:hideMark/>
          </w:tcPr>
          <w:p w14:paraId="71514BD8" w14:textId="77777777" w:rsidR="003E0F58" w:rsidRPr="00EA4952" w:rsidRDefault="003E0F58" w:rsidP="00EA4952">
            <w:pPr>
              <w:jc w:val="left"/>
              <w:rPr>
                <w:rFonts w:eastAsia="Calibri" w:cs="Times New Roman"/>
                <w:sz w:val="20"/>
                <w:szCs w:val="20"/>
                <w:lang w:val="cs-CZ"/>
              </w:rPr>
            </w:pPr>
            <w:r w:rsidRPr="00EA4952">
              <w:rPr>
                <w:rFonts w:eastAsia="Calibri" w:cs="Times New Roman"/>
                <w:bCs/>
                <w:sz w:val="20"/>
                <w:szCs w:val="20"/>
                <w:lang w:val="cs-CZ"/>
              </w:rPr>
              <w:t>Výměra lesních pozemků</w:t>
            </w:r>
          </w:p>
        </w:tc>
        <w:tc>
          <w:tcPr>
            <w:tcW w:w="1219" w:type="dxa"/>
            <w:tcBorders>
              <w:top w:val="single" w:sz="4" w:space="0" w:color="auto"/>
              <w:left w:val="single" w:sz="4" w:space="0" w:color="auto"/>
              <w:bottom w:val="single" w:sz="4" w:space="0" w:color="auto"/>
              <w:right w:val="single" w:sz="4" w:space="0" w:color="auto"/>
            </w:tcBorders>
            <w:noWrap/>
            <w:vAlign w:val="center"/>
            <w:hideMark/>
          </w:tcPr>
          <w:p w14:paraId="56D79E0B" w14:textId="77777777" w:rsidR="003E0F58" w:rsidRPr="00EA4952" w:rsidRDefault="003E0F58" w:rsidP="00EA4952">
            <w:pPr>
              <w:jc w:val="right"/>
              <w:rPr>
                <w:rFonts w:eastAsia="Calibri" w:cs="Times New Roman"/>
                <w:sz w:val="20"/>
                <w:szCs w:val="20"/>
                <w:lang w:val="cs-CZ"/>
              </w:rPr>
            </w:pPr>
            <w:r w:rsidRPr="00EA4952">
              <w:rPr>
                <w:rFonts w:eastAsia="Calibri" w:cs="Times New Roman"/>
                <w:bCs/>
                <w:sz w:val="20"/>
                <w:szCs w:val="20"/>
                <w:lang w:val="cs-CZ"/>
              </w:rPr>
              <w:t>2 661 889</w:t>
            </w:r>
          </w:p>
        </w:tc>
        <w:tc>
          <w:tcPr>
            <w:tcW w:w="1219" w:type="dxa"/>
            <w:tcBorders>
              <w:top w:val="single" w:sz="4" w:space="0" w:color="auto"/>
              <w:left w:val="single" w:sz="4" w:space="0" w:color="auto"/>
              <w:bottom w:val="single" w:sz="4" w:space="0" w:color="auto"/>
              <w:right w:val="single" w:sz="4" w:space="0" w:color="auto"/>
            </w:tcBorders>
            <w:vAlign w:val="center"/>
            <w:hideMark/>
          </w:tcPr>
          <w:p w14:paraId="28D70083" w14:textId="77777777" w:rsidR="003E0F58" w:rsidRPr="00EA4952" w:rsidRDefault="003E0F58" w:rsidP="00EA4952">
            <w:pPr>
              <w:jc w:val="right"/>
              <w:rPr>
                <w:rFonts w:eastAsia="Calibri" w:cs="Times New Roman"/>
                <w:sz w:val="20"/>
                <w:szCs w:val="20"/>
                <w:lang w:val="cs-CZ"/>
              </w:rPr>
            </w:pPr>
            <w:r w:rsidRPr="00EA4952">
              <w:rPr>
                <w:rFonts w:eastAsia="Calibri" w:cs="Times New Roman"/>
                <w:bCs/>
                <w:sz w:val="20"/>
                <w:szCs w:val="20"/>
                <w:lang w:val="cs-CZ"/>
              </w:rPr>
              <w:t>2 666 376</w:t>
            </w:r>
          </w:p>
        </w:tc>
        <w:tc>
          <w:tcPr>
            <w:tcW w:w="1219" w:type="dxa"/>
            <w:tcBorders>
              <w:top w:val="single" w:sz="4" w:space="0" w:color="auto"/>
              <w:left w:val="single" w:sz="4" w:space="0" w:color="auto"/>
              <w:bottom w:val="single" w:sz="4" w:space="0" w:color="auto"/>
              <w:right w:val="single" w:sz="4" w:space="0" w:color="auto"/>
            </w:tcBorders>
            <w:noWrap/>
            <w:vAlign w:val="center"/>
            <w:hideMark/>
          </w:tcPr>
          <w:p w14:paraId="5B3B665F" w14:textId="77777777" w:rsidR="003E0F58" w:rsidRPr="00EA4952" w:rsidRDefault="003E0F58" w:rsidP="00EA4952">
            <w:pPr>
              <w:jc w:val="right"/>
              <w:rPr>
                <w:rFonts w:eastAsia="Calibri" w:cs="Times New Roman"/>
                <w:sz w:val="20"/>
                <w:szCs w:val="20"/>
                <w:lang w:val="cs-CZ"/>
              </w:rPr>
            </w:pPr>
            <w:r w:rsidRPr="00EA4952">
              <w:rPr>
                <w:rFonts w:eastAsia="Calibri" w:cs="Times New Roman"/>
                <w:bCs/>
                <w:sz w:val="20"/>
                <w:szCs w:val="20"/>
                <w:lang w:val="cs-CZ"/>
              </w:rPr>
              <w:t>2 668 392</w:t>
            </w:r>
          </w:p>
        </w:tc>
        <w:tc>
          <w:tcPr>
            <w:tcW w:w="1219" w:type="dxa"/>
            <w:tcBorders>
              <w:top w:val="single" w:sz="4" w:space="0" w:color="auto"/>
              <w:left w:val="single" w:sz="4" w:space="0" w:color="auto"/>
              <w:bottom w:val="single" w:sz="4" w:space="0" w:color="auto"/>
              <w:right w:val="single" w:sz="4" w:space="0" w:color="auto"/>
            </w:tcBorders>
            <w:vAlign w:val="center"/>
            <w:hideMark/>
          </w:tcPr>
          <w:p w14:paraId="10D340FA" w14:textId="77777777" w:rsidR="003E0F58" w:rsidRPr="00EA4952" w:rsidRDefault="003E0F58" w:rsidP="00EA4952">
            <w:pPr>
              <w:jc w:val="right"/>
              <w:rPr>
                <w:rFonts w:eastAsia="Calibri" w:cs="Times New Roman"/>
                <w:bCs/>
                <w:sz w:val="20"/>
                <w:szCs w:val="20"/>
                <w:lang w:val="cs-CZ"/>
              </w:rPr>
            </w:pPr>
            <w:r w:rsidRPr="00EA4952">
              <w:rPr>
                <w:rFonts w:eastAsia="Calibri" w:cs="Times New Roman"/>
                <w:bCs/>
                <w:sz w:val="20"/>
                <w:szCs w:val="20"/>
                <w:lang w:val="cs-CZ"/>
              </w:rPr>
              <w:t>2 669 850</w:t>
            </w:r>
          </w:p>
        </w:tc>
        <w:tc>
          <w:tcPr>
            <w:tcW w:w="1220" w:type="dxa"/>
            <w:tcBorders>
              <w:top w:val="single" w:sz="4" w:space="0" w:color="auto"/>
              <w:left w:val="single" w:sz="4" w:space="0" w:color="auto"/>
              <w:bottom w:val="single" w:sz="4" w:space="0" w:color="auto"/>
              <w:right w:val="single" w:sz="4" w:space="0" w:color="auto"/>
            </w:tcBorders>
            <w:vAlign w:val="center"/>
            <w:hideMark/>
          </w:tcPr>
          <w:p w14:paraId="137070F8" w14:textId="77777777" w:rsidR="003E0F58" w:rsidRPr="00EA4952" w:rsidRDefault="003E0F58" w:rsidP="00EA4952">
            <w:pPr>
              <w:jc w:val="right"/>
              <w:rPr>
                <w:rFonts w:eastAsia="Calibri" w:cs="Times New Roman"/>
                <w:bCs/>
                <w:sz w:val="20"/>
                <w:szCs w:val="20"/>
                <w:lang w:val="cs-CZ"/>
              </w:rPr>
            </w:pPr>
            <w:r w:rsidRPr="00EA4952">
              <w:rPr>
                <w:rFonts w:eastAsia="Calibri" w:cs="Times New Roman"/>
                <w:bCs/>
                <w:sz w:val="20"/>
                <w:szCs w:val="20"/>
                <w:lang w:val="cs-CZ"/>
              </w:rPr>
              <w:t>2 671 659</w:t>
            </w:r>
          </w:p>
        </w:tc>
      </w:tr>
    </w:tbl>
    <w:p w14:paraId="5C969121" w14:textId="2725C53A" w:rsidR="003E0F58" w:rsidRPr="00CD26E4" w:rsidRDefault="003E0F58" w:rsidP="00CD26E4">
      <w:pPr>
        <w:pStyle w:val="UZEIZdroj"/>
      </w:pPr>
      <w:r w:rsidRPr="007C705C">
        <w:t>Zdroj: ČÚZK, resp. Zelená zpráva 2017</w:t>
      </w:r>
    </w:p>
    <w:p w14:paraId="174A8A97" w14:textId="429BDC4A" w:rsidR="003E0F58" w:rsidRPr="007C705C" w:rsidRDefault="00CD26E4" w:rsidP="00CD26E4">
      <w:pPr>
        <w:pStyle w:val="UZEITaB"/>
      </w:pPr>
      <w:bookmarkStart w:id="339" w:name="_Toc77245838"/>
      <w:r>
        <w:t xml:space="preserve"> </w:t>
      </w:r>
      <w:bookmarkStart w:id="340" w:name="_Toc94181602"/>
      <w:r w:rsidR="003E0F58" w:rsidRPr="007C705C">
        <w:t>Výměry lesní půdy a lesnatost podle krajů (v ha)</w:t>
      </w:r>
      <w:bookmarkEnd w:id="339"/>
      <w:bookmarkEnd w:id="340"/>
    </w:p>
    <w:tbl>
      <w:tblPr>
        <w:tblW w:w="9132" w:type="dxa"/>
        <w:tblInd w:w="80" w:type="dxa"/>
        <w:tblCellMar>
          <w:left w:w="70" w:type="dxa"/>
          <w:right w:w="70" w:type="dxa"/>
        </w:tblCellMar>
        <w:tblLook w:val="04A0" w:firstRow="1" w:lastRow="0" w:firstColumn="1" w:lastColumn="0" w:noHBand="0" w:noVBand="1"/>
      </w:tblPr>
      <w:tblGrid>
        <w:gridCol w:w="2031"/>
        <w:gridCol w:w="1134"/>
        <w:gridCol w:w="1152"/>
        <w:gridCol w:w="1171"/>
        <w:gridCol w:w="1248"/>
        <w:gridCol w:w="865"/>
        <w:gridCol w:w="799"/>
        <w:gridCol w:w="732"/>
      </w:tblGrid>
      <w:tr w:rsidR="003E0F58" w:rsidRPr="00CD26E4" w14:paraId="2C293735" w14:textId="77777777" w:rsidTr="004D2249">
        <w:trPr>
          <w:trHeight w:val="276"/>
        </w:trPr>
        <w:tc>
          <w:tcPr>
            <w:tcW w:w="2031" w:type="dxa"/>
            <w:vMerge w:val="restart"/>
            <w:tcBorders>
              <w:top w:val="single" w:sz="8" w:space="0" w:color="auto"/>
              <w:left w:val="single" w:sz="8" w:space="0" w:color="auto"/>
              <w:bottom w:val="single" w:sz="4" w:space="0" w:color="000000"/>
              <w:right w:val="single" w:sz="4" w:space="0" w:color="auto"/>
            </w:tcBorders>
            <w:noWrap/>
            <w:vAlign w:val="center"/>
            <w:hideMark/>
          </w:tcPr>
          <w:p w14:paraId="21B3700A" w14:textId="77777777" w:rsidR="003E0F58" w:rsidRPr="00CD26E4" w:rsidRDefault="003E0F58" w:rsidP="004D2249">
            <w:pPr>
              <w:spacing w:after="200" w:line="276" w:lineRule="auto"/>
              <w:ind w:firstLineChars="100" w:firstLine="200"/>
              <w:jc w:val="left"/>
              <w:rPr>
                <w:rFonts w:cs="Times New Roman"/>
                <w:color w:val="000000"/>
                <w:sz w:val="20"/>
                <w:szCs w:val="20"/>
                <w:lang w:val="cs-CZ"/>
              </w:rPr>
            </w:pPr>
            <w:r w:rsidRPr="00CD26E4">
              <w:rPr>
                <w:rFonts w:cs="Times New Roman"/>
                <w:color w:val="000000"/>
                <w:sz w:val="20"/>
                <w:szCs w:val="20"/>
                <w:lang w:val="cs-CZ"/>
              </w:rPr>
              <w:t>Kraje</w:t>
            </w:r>
          </w:p>
        </w:tc>
        <w:tc>
          <w:tcPr>
            <w:tcW w:w="1134" w:type="dxa"/>
            <w:tcBorders>
              <w:top w:val="single" w:sz="8" w:space="0" w:color="auto"/>
              <w:left w:val="nil"/>
              <w:bottom w:val="nil"/>
              <w:right w:val="single" w:sz="4" w:space="0" w:color="auto"/>
            </w:tcBorders>
            <w:noWrap/>
            <w:vAlign w:val="bottom"/>
            <w:hideMark/>
          </w:tcPr>
          <w:p w14:paraId="7BDDF769" w14:textId="77777777" w:rsidR="003E0F58" w:rsidRPr="00CD26E4" w:rsidRDefault="003E0F58" w:rsidP="004D2249">
            <w:pPr>
              <w:spacing w:after="200" w:line="276" w:lineRule="auto"/>
              <w:jc w:val="center"/>
              <w:rPr>
                <w:rFonts w:cs="Times New Roman"/>
                <w:color w:val="000000"/>
                <w:sz w:val="20"/>
                <w:szCs w:val="20"/>
                <w:lang w:val="cs-CZ"/>
              </w:rPr>
            </w:pPr>
            <w:r w:rsidRPr="00CD26E4">
              <w:rPr>
                <w:rFonts w:cs="Times New Roman"/>
                <w:color w:val="000000"/>
                <w:sz w:val="20"/>
                <w:szCs w:val="20"/>
                <w:lang w:val="cs-CZ"/>
              </w:rPr>
              <w:t xml:space="preserve">Výměra </w:t>
            </w:r>
          </w:p>
        </w:tc>
        <w:tc>
          <w:tcPr>
            <w:tcW w:w="1152" w:type="dxa"/>
            <w:tcBorders>
              <w:top w:val="single" w:sz="8" w:space="0" w:color="auto"/>
              <w:left w:val="nil"/>
              <w:bottom w:val="nil"/>
              <w:right w:val="single" w:sz="4" w:space="0" w:color="auto"/>
            </w:tcBorders>
            <w:noWrap/>
            <w:vAlign w:val="bottom"/>
            <w:hideMark/>
          </w:tcPr>
          <w:p w14:paraId="0D6977CD" w14:textId="77777777" w:rsidR="003E0F58" w:rsidRPr="00CD26E4" w:rsidRDefault="003E0F58" w:rsidP="004D2249">
            <w:pPr>
              <w:spacing w:after="200" w:line="276" w:lineRule="auto"/>
              <w:jc w:val="center"/>
              <w:rPr>
                <w:rFonts w:cs="Times New Roman"/>
                <w:color w:val="000000"/>
                <w:sz w:val="20"/>
                <w:szCs w:val="20"/>
                <w:lang w:val="cs-CZ"/>
              </w:rPr>
            </w:pPr>
            <w:r w:rsidRPr="00CD26E4">
              <w:rPr>
                <w:rFonts w:cs="Times New Roman"/>
                <w:color w:val="000000"/>
                <w:sz w:val="20"/>
                <w:szCs w:val="20"/>
                <w:lang w:val="cs-CZ"/>
              </w:rPr>
              <w:t>ne-lesní</w:t>
            </w:r>
          </w:p>
        </w:tc>
        <w:tc>
          <w:tcPr>
            <w:tcW w:w="1171" w:type="dxa"/>
            <w:tcBorders>
              <w:top w:val="single" w:sz="8" w:space="0" w:color="auto"/>
              <w:left w:val="nil"/>
              <w:bottom w:val="nil"/>
              <w:right w:val="single" w:sz="4" w:space="0" w:color="auto"/>
            </w:tcBorders>
            <w:noWrap/>
            <w:vAlign w:val="bottom"/>
            <w:hideMark/>
          </w:tcPr>
          <w:p w14:paraId="2225A24E" w14:textId="77777777" w:rsidR="003E0F58" w:rsidRPr="00CD26E4" w:rsidRDefault="003E0F58" w:rsidP="004D2249">
            <w:pPr>
              <w:spacing w:after="200" w:line="276" w:lineRule="auto"/>
              <w:jc w:val="center"/>
              <w:rPr>
                <w:rFonts w:cs="Times New Roman"/>
                <w:color w:val="000000"/>
                <w:sz w:val="20"/>
                <w:szCs w:val="20"/>
                <w:lang w:val="cs-CZ"/>
              </w:rPr>
            </w:pPr>
            <w:r w:rsidRPr="00CD26E4">
              <w:rPr>
                <w:rFonts w:cs="Times New Roman"/>
                <w:color w:val="000000"/>
                <w:sz w:val="20"/>
                <w:szCs w:val="20"/>
                <w:lang w:val="cs-CZ"/>
              </w:rPr>
              <w:t>plocha</w:t>
            </w:r>
          </w:p>
        </w:tc>
        <w:tc>
          <w:tcPr>
            <w:tcW w:w="1248" w:type="dxa"/>
            <w:tcBorders>
              <w:top w:val="single" w:sz="8" w:space="0" w:color="auto"/>
              <w:left w:val="nil"/>
              <w:bottom w:val="nil"/>
              <w:right w:val="single" w:sz="4" w:space="0" w:color="auto"/>
            </w:tcBorders>
            <w:noWrap/>
            <w:vAlign w:val="bottom"/>
            <w:hideMark/>
          </w:tcPr>
          <w:p w14:paraId="18D051F8" w14:textId="77777777" w:rsidR="003E0F58" w:rsidRPr="00CD26E4" w:rsidRDefault="003E0F58" w:rsidP="004D2249">
            <w:pPr>
              <w:spacing w:after="200" w:line="276" w:lineRule="auto"/>
              <w:jc w:val="center"/>
              <w:rPr>
                <w:rFonts w:cs="Times New Roman"/>
                <w:color w:val="000000"/>
                <w:sz w:val="20"/>
                <w:szCs w:val="20"/>
                <w:lang w:val="cs-CZ"/>
              </w:rPr>
            </w:pPr>
            <w:r w:rsidRPr="00CD26E4">
              <w:rPr>
                <w:rFonts w:cs="Times New Roman"/>
                <w:color w:val="000000"/>
                <w:sz w:val="20"/>
                <w:szCs w:val="20"/>
                <w:lang w:val="cs-CZ"/>
              </w:rPr>
              <w:t>por.</w:t>
            </w:r>
          </w:p>
        </w:tc>
        <w:tc>
          <w:tcPr>
            <w:tcW w:w="865" w:type="dxa"/>
            <w:tcBorders>
              <w:top w:val="single" w:sz="8" w:space="0" w:color="auto"/>
              <w:left w:val="nil"/>
              <w:bottom w:val="nil"/>
              <w:right w:val="nil"/>
            </w:tcBorders>
            <w:noWrap/>
            <w:vAlign w:val="bottom"/>
            <w:hideMark/>
          </w:tcPr>
          <w:p w14:paraId="0AE56373" w14:textId="77777777" w:rsidR="003E0F58" w:rsidRPr="00CD26E4" w:rsidRDefault="003E0F58" w:rsidP="004D2249">
            <w:pPr>
              <w:spacing w:after="200" w:line="276" w:lineRule="auto"/>
              <w:jc w:val="center"/>
              <w:rPr>
                <w:rFonts w:cs="Times New Roman"/>
                <w:color w:val="000000"/>
                <w:sz w:val="20"/>
                <w:szCs w:val="20"/>
                <w:lang w:val="cs-CZ"/>
              </w:rPr>
            </w:pPr>
            <w:r w:rsidRPr="00CD26E4">
              <w:rPr>
                <w:rFonts w:cs="Times New Roman"/>
                <w:color w:val="000000"/>
                <w:sz w:val="20"/>
                <w:szCs w:val="20"/>
                <w:lang w:val="cs-CZ"/>
              </w:rPr>
              <w:t>bezlesí</w:t>
            </w:r>
          </w:p>
        </w:tc>
        <w:tc>
          <w:tcPr>
            <w:tcW w:w="1531" w:type="dxa"/>
            <w:gridSpan w:val="2"/>
            <w:tcBorders>
              <w:top w:val="single" w:sz="8" w:space="0" w:color="auto"/>
              <w:left w:val="single" w:sz="8" w:space="0" w:color="auto"/>
              <w:bottom w:val="single" w:sz="4" w:space="0" w:color="auto"/>
              <w:right w:val="single" w:sz="8" w:space="0" w:color="000000"/>
            </w:tcBorders>
            <w:noWrap/>
            <w:vAlign w:val="bottom"/>
            <w:hideMark/>
          </w:tcPr>
          <w:p w14:paraId="1D24E9C7" w14:textId="77777777" w:rsidR="003E0F58" w:rsidRPr="00CD26E4" w:rsidRDefault="003E0F58" w:rsidP="004D2249">
            <w:pPr>
              <w:spacing w:after="200" w:line="276" w:lineRule="auto"/>
              <w:jc w:val="center"/>
              <w:rPr>
                <w:rFonts w:cs="Times New Roman"/>
                <w:color w:val="000000"/>
                <w:sz w:val="20"/>
                <w:szCs w:val="20"/>
                <w:lang w:val="cs-CZ"/>
              </w:rPr>
            </w:pPr>
            <w:r w:rsidRPr="00CD26E4">
              <w:rPr>
                <w:rFonts w:cs="Times New Roman"/>
                <w:color w:val="000000"/>
                <w:sz w:val="20"/>
                <w:szCs w:val="20"/>
                <w:lang w:val="cs-CZ"/>
              </w:rPr>
              <w:t>lesnatost</w:t>
            </w:r>
          </w:p>
        </w:tc>
      </w:tr>
      <w:tr w:rsidR="003E0F58" w:rsidRPr="00CD26E4" w14:paraId="3DFE7D07" w14:textId="77777777" w:rsidTr="004D2249">
        <w:trPr>
          <w:trHeight w:val="276"/>
        </w:trPr>
        <w:tc>
          <w:tcPr>
            <w:tcW w:w="0" w:type="auto"/>
            <w:vMerge/>
            <w:tcBorders>
              <w:top w:val="single" w:sz="8" w:space="0" w:color="auto"/>
              <w:left w:val="single" w:sz="8" w:space="0" w:color="auto"/>
              <w:bottom w:val="single" w:sz="4" w:space="0" w:color="000000"/>
              <w:right w:val="single" w:sz="4" w:space="0" w:color="auto"/>
            </w:tcBorders>
            <w:vAlign w:val="center"/>
            <w:hideMark/>
          </w:tcPr>
          <w:p w14:paraId="4437C3C5" w14:textId="77777777" w:rsidR="003E0F58" w:rsidRPr="00CD26E4" w:rsidRDefault="003E0F58" w:rsidP="004D2249">
            <w:pPr>
              <w:jc w:val="left"/>
              <w:rPr>
                <w:rFonts w:cs="Times New Roman"/>
                <w:color w:val="000000"/>
                <w:sz w:val="20"/>
                <w:szCs w:val="20"/>
                <w:lang w:val="cs-CZ"/>
              </w:rPr>
            </w:pPr>
          </w:p>
        </w:tc>
        <w:tc>
          <w:tcPr>
            <w:tcW w:w="1134" w:type="dxa"/>
            <w:tcBorders>
              <w:top w:val="nil"/>
              <w:left w:val="nil"/>
              <w:bottom w:val="single" w:sz="4" w:space="0" w:color="auto"/>
              <w:right w:val="single" w:sz="4" w:space="0" w:color="auto"/>
            </w:tcBorders>
            <w:noWrap/>
            <w:vAlign w:val="bottom"/>
            <w:hideMark/>
          </w:tcPr>
          <w:p w14:paraId="2A5E3C67" w14:textId="77777777" w:rsidR="003E0F58" w:rsidRPr="00CD26E4" w:rsidRDefault="003E0F58" w:rsidP="004D2249">
            <w:pPr>
              <w:spacing w:after="200" w:line="276" w:lineRule="auto"/>
              <w:jc w:val="center"/>
              <w:rPr>
                <w:rFonts w:cs="Times New Roman"/>
                <w:color w:val="000000"/>
                <w:sz w:val="20"/>
                <w:szCs w:val="20"/>
                <w:lang w:val="cs-CZ"/>
              </w:rPr>
            </w:pPr>
            <w:r w:rsidRPr="00CD26E4">
              <w:rPr>
                <w:rFonts w:cs="Times New Roman"/>
                <w:color w:val="000000"/>
                <w:sz w:val="20"/>
                <w:szCs w:val="20"/>
                <w:lang w:val="cs-CZ"/>
              </w:rPr>
              <w:t>celkem</w:t>
            </w:r>
          </w:p>
        </w:tc>
        <w:tc>
          <w:tcPr>
            <w:tcW w:w="1152" w:type="dxa"/>
            <w:tcBorders>
              <w:top w:val="nil"/>
              <w:left w:val="nil"/>
              <w:bottom w:val="single" w:sz="4" w:space="0" w:color="auto"/>
              <w:right w:val="single" w:sz="4" w:space="0" w:color="auto"/>
            </w:tcBorders>
            <w:noWrap/>
            <w:vAlign w:val="bottom"/>
            <w:hideMark/>
          </w:tcPr>
          <w:p w14:paraId="7C3FFB1B" w14:textId="77777777" w:rsidR="003E0F58" w:rsidRPr="00CD26E4" w:rsidRDefault="003E0F58" w:rsidP="004D2249">
            <w:pPr>
              <w:spacing w:after="200" w:line="276" w:lineRule="auto"/>
              <w:jc w:val="center"/>
              <w:rPr>
                <w:rFonts w:cs="Times New Roman"/>
                <w:color w:val="000000"/>
                <w:sz w:val="20"/>
                <w:szCs w:val="20"/>
                <w:lang w:val="cs-CZ"/>
              </w:rPr>
            </w:pPr>
            <w:r w:rsidRPr="00CD26E4">
              <w:rPr>
                <w:rFonts w:cs="Times New Roman"/>
                <w:color w:val="000000"/>
                <w:sz w:val="20"/>
                <w:szCs w:val="20"/>
                <w:lang w:val="cs-CZ"/>
              </w:rPr>
              <w:t>půda (*)</w:t>
            </w:r>
          </w:p>
        </w:tc>
        <w:tc>
          <w:tcPr>
            <w:tcW w:w="1171" w:type="dxa"/>
            <w:tcBorders>
              <w:top w:val="nil"/>
              <w:left w:val="nil"/>
              <w:bottom w:val="single" w:sz="4" w:space="0" w:color="auto"/>
              <w:right w:val="single" w:sz="4" w:space="0" w:color="auto"/>
            </w:tcBorders>
            <w:noWrap/>
            <w:vAlign w:val="bottom"/>
            <w:hideMark/>
          </w:tcPr>
          <w:p w14:paraId="3D9123C9" w14:textId="77777777" w:rsidR="003E0F58" w:rsidRPr="00CD26E4" w:rsidRDefault="003E0F58" w:rsidP="004D2249">
            <w:pPr>
              <w:spacing w:after="200" w:line="276" w:lineRule="auto"/>
              <w:jc w:val="center"/>
              <w:rPr>
                <w:rFonts w:cs="Times New Roman"/>
                <w:color w:val="000000"/>
                <w:sz w:val="20"/>
                <w:szCs w:val="20"/>
                <w:lang w:val="cs-CZ"/>
              </w:rPr>
            </w:pPr>
            <w:r w:rsidRPr="00CD26E4">
              <w:rPr>
                <w:rFonts w:cs="Times New Roman"/>
                <w:color w:val="000000"/>
                <w:sz w:val="20"/>
                <w:szCs w:val="20"/>
                <w:lang w:val="cs-CZ"/>
              </w:rPr>
              <w:t>PUPFL(**)</w:t>
            </w:r>
          </w:p>
        </w:tc>
        <w:tc>
          <w:tcPr>
            <w:tcW w:w="1248" w:type="dxa"/>
            <w:tcBorders>
              <w:top w:val="nil"/>
              <w:left w:val="nil"/>
              <w:bottom w:val="single" w:sz="4" w:space="0" w:color="auto"/>
              <w:right w:val="single" w:sz="4" w:space="0" w:color="auto"/>
            </w:tcBorders>
            <w:noWrap/>
            <w:vAlign w:val="bottom"/>
            <w:hideMark/>
          </w:tcPr>
          <w:p w14:paraId="04169BEE" w14:textId="77777777" w:rsidR="003E0F58" w:rsidRPr="00CD26E4" w:rsidRDefault="003E0F58" w:rsidP="004D2249">
            <w:pPr>
              <w:spacing w:after="200" w:line="276" w:lineRule="auto"/>
              <w:jc w:val="center"/>
              <w:rPr>
                <w:rFonts w:cs="Times New Roman"/>
                <w:color w:val="000000"/>
                <w:sz w:val="20"/>
                <w:szCs w:val="20"/>
                <w:lang w:val="cs-CZ"/>
              </w:rPr>
            </w:pPr>
            <w:r w:rsidRPr="00CD26E4">
              <w:rPr>
                <w:rFonts w:cs="Times New Roman"/>
                <w:color w:val="000000"/>
                <w:sz w:val="20"/>
                <w:szCs w:val="20"/>
                <w:lang w:val="cs-CZ"/>
              </w:rPr>
              <w:t>půda</w:t>
            </w:r>
          </w:p>
        </w:tc>
        <w:tc>
          <w:tcPr>
            <w:tcW w:w="865" w:type="dxa"/>
            <w:tcBorders>
              <w:top w:val="nil"/>
              <w:left w:val="nil"/>
              <w:bottom w:val="single" w:sz="4" w:space="0" w:color="auto"/>
              <w:right w:val="nil"/>
            </w:tcBorders>
            <w:noWrap/>
            <w:vAlign w:val="bottom"/>
            <w:hideMark/>
          </w:tcPr>
          <w:p w14:paraId="7268BEFE" w14:textId="77777777" w:rsidR="003E0F58" w:rsidRPr="00CD26E4" w:rsidRDefault="003E0F58" w:rsidP="004D2249">
            <w:pPr>
              <w:spacing w:after="200" w:line="276" w:lineRule="auto"/>
              <w:jc w:val="center"/>
              <w:rPr>
                <w:rFonts w:cs="Times New Roman"/>
                <w:color w:val="000000"/>
                <w:sz w:val="20"/>
                <w:szCs w:val="20"/>
                <w:lang w:val="cs-CZ"/>
              </w:rPr>
            </w:pPr>
            <w:r w:rsidRPr="00CD26E4">
              <w:rPr>
                <w:rFonts w:cs="Times New Roman"/>
                <w:color w:val="000000"/>
                <w:sz w:val="20"/>
                <w:szCs w:val="20"/>
                <w:lang w:val="cs-CZ"/>
              </w:rPr>
              <w:t>atp. (***)</w:t>
            </w:r>
          </w:p>
        </w:tc>
        <w:tc>
          <w:tcPr>
            <w:tcW w:w="799" w:type="dxa"/>
            <w:tcBorders>
              <w:top w:val="nil"/>
              <w:left w:val="single" w:sz="8" w:space="0" w:color="auto"/>
              <w:bottom w:val="single" w:sz="4" w:space="0" w:color="auto"/>
              <w:right w:val="single" w:sz="4" w:space="0" w:color="auto"/>
            </w:tcBorders>
            <w:noWrap/>
            <w:vAlign w:val="bottom"/>
            <w:hideMark/>
          </w:tcPr>
          <w:p w14:paraId="377405B1" w14:textId="77777777" w:rsidR="003E0F58" w:rsidRPr="00CD26E4" w:rsidRDefault="003E0F58" w:rsidP="004D2249">
            <w:pPr>
              <w:spacing w:after="200" w:line="276" w:lineRule="auto"/>
              <w:jc w:val="center"/>
              <w:rPr>
                <w:rFonts w:cs="Times New Roman"/>
                <w:color w:val="000000"/>
                <w:sz w:val="20"/>
                <w:szCs w:val="20"/>
                <w:lang w:val="cs-CZ"/>
              </w:rPr>
            </w:pPr>
            <w:r w:rsidRPr="00CD26E4">
              <w:rPr>
                <w:rFonts w:cs="Times New Roman"/>
                <w:color w:val="000000"/>
                <w:sz w:val="20"/>
                <w:szCs w:val="20"/>
                <w:lang w:val="cs-CZ"/>
              </w:rPr>
              <w:t>PUPFL</w:t>
            </w:r>
          </w:p>
        </w:tc>
        <w:tc>
          <w:tcPr>
            <w:tcW w:w="732" w:type="dxa"/>
            <w:tcBorders>
              <w:top w:val="nil"/>
              <w:left w:val="nil"/>
              <w:bottom w:val="single" w:sz="4" w:space="0" w:color="auto"/>
              <w:right w:val="single" w:sz="8" w:space="0" w:color="auto"/>
            </w:tcBorders>
            <w:noWrap/>
            <w:vAlign w:val="bottom"/>
            <w:hideMark/>
          </w:tcPr>
          <w:p w14:paraId="790B3508" w14:textId="77777777" w:rsidR="003E0F58" w:rsidRPr="00CD26E4" w:rsidRDefault="003E0F58" w:rsidP="004D2249">
            <w:pPr>
              <w:spacing w:after="200" w:line="276" w:lineRule="auto"/>
              <w:jc w:val="center"/>
              <w:rPr>
                <w:rFonts w:cs="Times New Roman"/>
                <w:color w:val="000000"/>
                <w:sz w:val="20"/>
                <w:szCs w:val="20"/>
                <w:lang w:val="cs-CZ"/>
              </w:rPr>
            </w:pPr>
            <w:r w:rsidRPr="00CD26E4">
              <w:rPr>
                <w:rFonts w:cs="Times New Roman"/>
                <w:color w:val="000000"/>
                <w:sz w:val="20"/>
                <w:szCs w:val="20"/>
                <w:lang w:val="cs-CZ"/>
              </w:rPr>
              <w:t>por. půda</w:t>
            </w:r>
          </w:p>
        </w:tc>
      </w:tr>
      <w:tr w:rsidR="003E0F58" w:rsidRPr="00CD26E4" w14:paraId="5B04CB88" w14:textId="77777777" w:rsidTr="004D2249">
        <w:trPr>
          <w:trHeight w:val="276"/>
        </w:trPr>
        <w:tc>
          <w:tcPr>
            <w:tcW w:w="0" w:type="auto"/>
            <w:vMerge/>
            <w:tcBorders>
              <w:top w:val="single" w:sz="8" w:space="0" w:color="auto"/>
              <w:left w:val="single" w:sz="8" w:space="0" w:color="auto"/>
              <w:bottom w:val="single" w:sz="4" w:space="0" w:color="000000"/>
              <w:right w:val="single" w:sz="4" w:space="0" w:color="auto"/>
            </w:tcBorders>
            <w:vAlign w:val="center"/>
            <w:hideMark/>
          </w:tcPr>
          <w:p w14:paraId="670F389A" w14:textId="77777777" w:rsidR="003E0F58" w:rsidRPr="00CD26E4" w:rsidRDefault="003E0F58" w:rsidP="004D2249">
            <w:pPr>
              <w:jc w:val="left"/>
              <w:rPr>
                <w:rFonts w:cs="Times New Roman"/>
                <w:color w:val="000000"/>
                <w:sz w:val="20"/>
                <w:szCs w:val="20"/>
                <w:lang w:val="cs-CZ"/>
              </w:rPr>
            </w:pPr>
          </w:p>
        </w:tc>
        <w:tc>
          <w:tcPr>
            <w:tcW w:w="5570" w:type="dxa"/>
            <w:gridSpan w:val="5"/>
            <w:tcBorders>
              <w:top w:val="single" w:sz="4" w:space="0" w:color="auto"/>
              <w:left w:val="nil"/>
              <w:bottom w:val="single" w:sz="4" w:space="0" w:color="auto"/>
              <w:right w:val="nil"/>
            </w:tcBorders>
            <w:noWrap/>
            <w:vAlign w:val="bottom"/>
            <w:hideMark/>
          </w:tcPr>
          <w:p w14:paraId="4DFB5B97" w14:textId="77777777" w:rsidR="003E0F58" w:rsidRPr="00CD26E4" w:rsidRDefault="003E0F58" w:rsidP="004D2249">
            <w:pPr>
              <w:spacing w:after="200" w:line="276" w:lineRule="auto"/>
              <w:jc w:val="center"/>
              <w:rPr>
                <w:rFonts w:cs="Times New Roman"/>
                <w:color w:val="000000"/>
                <w:sz w:val="20"/>
                <w:szCs w:val="20"/>
                <w:lang w:val="cs-CZ"/>
              </w:rPr>
            </w:pPr>
            <w:r w:rsidRPr="00CD26E4">
              <w:rPr>
                <w:rFonts w:cs="Times New Roman"/>
                <w:color w:val="000000"/>
                <w:sz w:val="20"/>
                <w:szCs w:val="20"/>
                <w:lang w:val="cs-CZ"/>
              </w:rPr>
              <w:t>ha</w:t>
            </w:r>
          </w:p>
        </w:tc>
        <w:tc>
          <w:tcPr>
            <w:tcW w:w="799" w:type="dxa"/>
            <w:tcBorders>
              <w:top w:val="nil"/>
              <w:left w:val="single" w:sz="8" w:space="0" w:color="auto"/>
              <w:bottom w:val="single" w:sz="4" w:space="0" w:color="auto"/>
              <w:right w:val="single" w:sz="4" w:space="0" w:color="auto"/>
            </w:tcBorders>
            <w:noWrap/>
            <w:vAlign w:val="bottom"/>
            <w:hideMark/>
          </w:tcPr>
          <w:p w14:paraId="3EF57C0F" w14:textId="77777777" w:rsidR="003E0F58" w:rsidRPr="00CD26E4" w:rsidRDefault="003E0F58" w:rsidP="004D2249">
            <w:pPr>
              <w:spacing w:after="200" w:line="276" w:lineRule="auto"/>
              <w:jc w:val="center"/>
              <w:rPr>
                <w:rFonts w:cs="Times New Roman"/>
                <w:color w:val="000000"/>
                <w:sz w:val="20"/>
                <w:szCs w:val="20"/>
                <w:lang w:val="cs-CZ"/>
              </w:rPr>
            </w:pPr>
            <w:r w:rsidRPr="00CD26E4">
              <w:rPr>
                <w:rFonts w:cs="Times New Roman"/>
                <w:color w:val="000000"/>
                <w:sz w:val="20"/>
                <w:szCs w:val="20"/>
                <w:lang w:val="cs-CZ"/>
              </w:rPr>
              <w:t>%</w:t>
            </w:r>
          </w:p>
        </w:tc>
        <w:tc>
          <w:tcPr>
            <w:tcW w:w="732" w:type="dxa"/>
            <w:tcBorders>
              <w:top w:val="nil"/>
              <w:left w:val="nil"/>
              <w:bottom w:val="single" w:sz="4" w:space="0" w:color="auto"/>
              <w:right w:val="single" w:sz="8" w:space="0" w:color="auto"/>
            </w:tcBorders>
            <w:noWrap/>
            <w:vAlign w:val="bottom"/>
            <w:hideMark/>
          </w:tcPr>
          <w:p w14:paraId="6AA51ADF" w14:textId="77777777" w:rsidR="003E0F58" w:rsidRPr="00CD26E4" w:rsidRDefault="003E0F58" w:rsidP="004D2249">
            <w:pPr>
              <w:spacing w:after="200" w:line="276" w:lineRule="auto"/>
              <w:jc w:val="center"/>
              <w:rPr>
                <w:rFonts w:cs="Times New Roman"/>
                <w:color w:val="000000"/>
                <w:sz w:val="20"/>
                <w:szCs w:val="20"/>
                <w:lang w:val="cs-CZ"/>
              </w:rPr>
            </w:pPr>
            <w:r w:rsidRPr="00CD26E4">
              <w:rPr>
                <w:rFonts w:cs="Times New Roman"/>
                <w:color w:val="000000"/>
                <w:sz w:val="20"/>
                <w:szCs w:val="20"/>
                <w:lang w:val="cs-CZ"/>
              </w:rPr>
              <w:t> </w:t>
            </w:r>
          </w:p>
        </w:tc>
      </w:tr>
      <w:tr w:rsidR="003E0F58" w:rsidRPr="00CD26E4" w14:paraId="1DD38056" w14:textId="77777777" w:rsidTr="004D2249">
        <w:trPr>
          <w:trHeight w:hRule="exact" w:val="284"/>
        </w:trPr>
        <w:tc>
          <w:tcPr>
            <w:tcW w:w="2031" w:type="dxa"/>
            <w:tcBorders>
              <w:top w:val="nil"/>
              <w:left w:val="single" w:sz="8" w:space="0" w:color="auto"/>
              <w:bottom w:val="single" w:sz="4" w:space="0" w:color="auto"/>
              <w:right w:val="single" w:sz="4" w:space="0" w:color="auto"/>
            </w:tcBorders>
            <w:noWrap/>
            <w:vAlign w:val="bottom"/>
            <w:hideMark/>
          </w:tcPr>
          <w:p w14:paraId="6200F72C" w14:textId="77777777" w:rsidR="003E0F58" w:rsidRPr="00CD26E4" w:rsidRDefault="003E0F58" w:rsidP="004D2249">
            <w:pPr>
              <w:spacing w:after="200" w:line="276" w:lineRule="auto"/>
              <w:jc w:val="left"/>
              <w:rPr>
                <w:rFonts w:cs="Times New Roman"/>
                <w:color w:val="000000"/>
                <w:sz w:val="20"/>
                <w:szCs w:val="20"/>
                <w:lang w:val="cs-CZ"/>
              </w:rPr>
            </w:pPr>
            <w:r w:rsidRPr="00CD26E4">
              <w:rPr>
                <w:rFonts w:cs="Times New Roman"/>
                <w:color w:val="000000"/>
                <w:sz w:val="20"/>
                <w:szCs w:val="20"/>
                <w:lang w:val="cs-CZ"/>
              </w:rPr>
              <w:t>Hlavní město Praha</w:t>
            </w:r>
          </w:p>
        </w:tc>
        <w:tc>
          <w:tcPr>
            <w:tcW w:w="1134" w:type="dxa"/>
            <w:tcBorders>
              <w:top w:val="nil"/>
              <w:left w:val="nil"/>
              <w:bottom w:val="single" w:sz="4" w:space="0" w:color="auto"/>
              <w:right w:val="single" w:sz="4" w:space="0" w:color="auto"/>
            </w:tcBorders>
            <w:noWrap/>
            <w:vAlign w:val="bottom"/>
            <w:hideMark/>
          </w:tcPr>
          <w:p w14:paraId="5A1739DC"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49 621 </w:t>
            </w:r>
          </w:p>
        </w:tc>
        <w:tc>
          <w:tcPr>
            <w:tcW w:w="1152" w:type="dxa"/>
            <w:tcBorders>
              <w:top w:val="nil"/>
              <w:left w:val="nil"/>
              <w:bottom w:val="single" w:sz="4" w:space="0" w:color="auto"/>
              <w:right w:val="single" w:sz="4" w:space="0" w:color="auto"/>
            </w:tcBorders>
            <w:noWrap/>
            <w:vAlign w:val="bottom"/>
            <w:hideMark/>
          </w:tcPr>
          <w:p w14:paraId="481395D2"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44 423 </w:t>
            </w:r>
          </w:p>
        </w:tc>
        <w:tc>
          <w:tcPr>
            <w:tcW w:w="1171" w:type="dxa"/>
            <w:tcBorders>
              <w:top w:val="nil"/>
              <w:left w:val="nil"/>
              <w:bottom w:val="single" w:sz="4" w:space="0" w:color="auto"/>
              <w:right w:val="single" w:sz="4" w:space="0" w:color="auto"/>
            </w:tcBorders>
            <w:noWrap/>
            <w:vAlign w:val="bottom"/>
            <w:hideMark/>
          </w:tcPr>
          <w:p w14:paraId="32677E85"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5 198 </w:t>
            </w:r>
          </w:p>
        </w:tc>
        <w:tc>
          <w:tcPr>
            <w:tcW w:w="1248" w:type="dxa"/>
            <w:tcBorders>
              <w:top w:val="nil"/>
              <w:left w:val="nil"/>
              <w:bottom w:val="single" w:sz="4" w:space="0" w:color="auto"/>
              <w:right w:val="single" w:sz="4" w:space="0" w:color="auto"/>
            </w:tcBorders>
            <w:noWrap/>
            <w:vAlign w:val="bottom"/>
            <w:hideMark/>
          </w:tcPr>
          <w:p w14:paraId="476D7701"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4 775 </w:t>
            </w:r>
          </w:p>
        </w:tc>
        <w:tc>
          <w:tcPr>
            <w:tcW w:w="865" w:type="dxa"/>
            <w:tcBorders>
              <w:top w:val="nil"/>
              <w:left w:val="nil"/>
              <w:bottom w:val="single" w:sz="4" w:space="0" w:color="auto"/>
              <w:right w:val="nil"/>
            </w:tcBorders>
            <w:noWrap/>
            <w:vAlign w:val="bottom"/>
            <w:hideMark/>
          </w:tcPr>
          <w:p w14:paraId="4D7B2E2A"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423 </w:t>
            </w:r>
          </w:p>
        </w:tc>
        <w:tc>
          <w:tcPr>
            <w:tcW w:w="799" w:type="dxa"/>
            <w:tcBorders>
              <w:top w:val="nil"/>
              <w:left w:val="single" w:sz="8" w:space="0" w:color="auto"/>
              <w:bottom w:val="single" w:sz="4" w:space="0" w:color="auto"/>
              <w:right w:val="single" w:sz="4" w:space="0" w:color="auto"/>
            </w:tcBorders>
            <w:noWrap/>
            <w:vAlign w:val="bottom"/>
            <w:hideMark/>
          </w:tcPr>
          <w:p w14:paraId="09A6E212"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10,5 </w:t>
            </w:r>
          </w:p>
        </w:tc>
        <w:tc>
          <w:tcPr>
            <w:tcW w:w="732" w:type="dxa"/>
            <w:tcBorders>
              <w:top w:val="nil"/>
              <w:left w:val="nil"/>
              <w:bottom w:val="single" w:sz="4" w:space="0" w:color="auto"/>
              <w:right w:val="single" w:sz="8" w:space="0" w:color="auto"/>
            </w:tcBorders>
            <w:noWrap/>
            <w:vAlign w:val="bottom"/>
            <w:hideMark/>
          </w:tcPr>
          <w:p w14:paraId="623B73BA"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9,6 </w:t>
            </w:r>
          </w:p>
        </w:tc>
      </w:tr>
      <w:tr w:rsidR="003E0F58" w:rsidRPr="00CD26E4" w14:paraId="63099378" w14:textId="77777777" w:rsidTr="004D2249">
        <w:trPr>
          <w:trHeight w:hRule="exact" w:val="284"/>
        </w:trPr>
        <w:tc>
          <w:tcPr>
            <w:tcW w:w="2031" w:type="dxa"/>
            <w:tcBorders>
              <w:top w:val="nil"/>
              <w:left w:val="single" w:sz="8" w:space="0" w:color="auto"/>
              <w:bottom w:val="single" w:sz="4" w:space="0" w:color="auto"/>
              <w:right w:val="single" w:sz="4" w:space="0" w:color="auto"/>
            </w:tcBorders>
            <w:noWrap/>
            <w:vAlign w:val="bottom"/>
            <w:hideMark/>
          </w:tcPr>
          <w:p w14:paraId="55EF2DF2" w14:textId="77777777" w:rsidR="003E0F58" w:rsidRPr="00CD26E4" w:rsidRDefault="003E0F58" w:rsidP="004D2249">
            <w:pPr>
              <w:spacing w:after="200" w:line="276" w:lineRule="auto"/>
              <w:jc w:val="left"/>
              <w:rPr>
                <w:rFonts w:cs="Times New Roman"/>
                <w:color w:val="000000"/>
                <w:sz w:val="20"/>
                <w:szCs w:val="20"/>
                <w:lang w:val="cs-CZ"/>
              </w:rPr>
            </w:pPr>
            <w:r w:rsidRPr="00CD26E4">
              <w:rPr>
                <w:rFonts w:cs="Times New Roman"/>
                <w:color w:val="000000"/>
                <w:sz w:val="20"/>
                <w:szCs w:val="20"/>
                <w:lang w:val="cs-CZ"/>
              </w:rPr>
              <w:t>Středočeský</w:t>
            </w:r>
          </w:p>
        </w:tc>
        <w:tc>
          <w:tcPr>
            <w:tcW w:w="1134" w:type="dxa"/>
            <w:tcBorders>
              <w:top w:val="nil"/>
              <w:left w:val="nil"/>
              <w:bottom w:val="single" w:sz="4" w:space="0" w:color="auto"/>
              <w:right w:val="single" w:sz="4" w:space="0" w:color="auto"/>
            </w:tcBorders>
            <w:noWrap/>
            <w:vAlign w:val="bottom"/>
            <w:hideMark/>
          </w:tcPr>
          <w:p w14:paraId="53C27A6C"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1 092 841 </w:t>
            </w:r>
          </w:p>
        </w:tc>
        <w:tc>
          <w:tcPr>
            <w:tcW w:w="1152" w:type="dxa"/>
            <w:tcBorders>
              <w:top w:val="nil"/>
              <w:left w:val="nil"/>
              <w:bottom w:val="single" w:sz="4" w:space="0" w:color="auto"/>
              <w:right w:val="single" w:sz="4" w:space="0" w:color="auto"/>
            </w:tcBorders>
            <w:noWrap/>
            <w:vAlign w:val="bottom"/>
            <w:hideMark/>
          </w:tcPr>
          <w:p w14:paraId="66DF7572"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792 082 </w:t>
            </w:r>
          </w:p>
        </w:tc>
        <w:tc>
          <w:tcPr>
            <w:tcW w:w="1171" w:type="dxa"/>
            <w:tcBorders>
              <w:top w:val="nil"/>
              <w:left w:val="nil"/>
              <w:bottom w:val="single" w:sz="4" w:space="0" w:color="auto"/>
              <w:right w:val="single" w:sz="4" w:space="0" w:color="auto"/>
            </w:tcBorders>
            <w:noWrap/>
            <w:vAlign w:val="bottom"/>
            <w:hideMark/>
          </w:tcPr>
          <w:p w14:paraId="25A98C0E"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300 759 </w:t>
            </w:r>
          </w:p>
        </w:tc>
        <w:tc>
          <w:tcPr>
            <w:tcW w:w="1248" w:type="dxa"/>
            <w:tcBorders>
              <w:top w:val="nil"/>
              <w:left w:val="nil"/>
              <w:bottom w:val="single" w:sz="4" w:space="0" w:color="auto"/>
              <w:right w:val="single" w:sz="4" w:space="0" w:color="auto"/>
            </w:tcBorders>
            <w:noWrap/>
            <w:vAlign w:val="bottom"/>
            <w:hideMark/>
          </w:tcPr>
          <w:p w14:paraId="746EAF4D"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293 117 </w:t>
            </w:r>
          </w:p>
        </w:tc>
        <w:tc>
          <w:tcPr>
            <w:tcW w:w="865" w:type="dxa"/>
            <w:tcBorders>
              <w:top w:val="nil"/>
              <w:left w:val="nil"/>
              <w:bottom w:val="single" w:sz="4" w:space="0" w:color="auto"/>
              <w:right w:val="nil"/>
            </w:tcBorders>
            <w:noWrap/>
            <w:vAlign w:val="bottom"/>
            <w:hideMark/>
          </w:tcPr>
          <w:p w14:paraId="55482258"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7 643 </w:t>
            </w:r>
          </w:p>
        </w:tc>
        <w:tc>
          <w:tcPr>
            <w:tcW w:w="799" w:type="dxa"/>
            <w:tcBorders>
              <w:top w:val="nil"/>
              <w:left w:val="single" w:sz="8" w:space="0" w:color="auto"/>
              <w:bottom w:val="single" w:sz="4" w:space="0" w:color="auto"/>
              <w:right w:val="single" w:sz="4" w:space="0" w:color="auto"/>
            </w:tcBorders>
            <w:noWrap/>
            <w:vAlign w:val="bottom"/>
            <w:hideMark/>
          </w:tcPr>
          <w:p w14:paraId="4B5A7018"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27,5 </w:t>
            </w:r>
          </w:p>
        </w:tc>
        <w:tc>
          <w:tcPr>
            <w:tcW w:w="732" w:type="dxa"/>
            <w:tcBorders>
              <w:top w:val="nil"/>
              <w:left w:val="nil"/>
              <w:bottom w:val="single" w:sz="4" w:space="0" w:color="auto"/>
              <w:right w:val="single" w:sz="8" w:space="0" w:color="auto"/>
            </w:tcBorders>
            <w:noWrap/>
            <w:vAlign w:val="bottom"/>
            <w:hideMark/>
          </w:tcPr>
          <w:p w14:paraId="678B38A9"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26,8 </w:t>
            </w:r>
          </w:p>
        </w:tc>
      </w:tr>
      <w:tr w:rsidR="003E0F58" w:rsidRPr="00CD26E4" w14:paraId="3D374F20" w14:textId="77777777" w:rsidTr="004D2249">
        <w:trPr>
          <w:trHeight w:hRule="exact" w:val="284"/>
        </w:trPr>
        <w:tc>
          <w:tcPr>
            <w:tcW w:w="2031" w:type="dxa"/>
            <w:tcBorders>
              <w:top w:val="nil"/>
              <w:left w:val="single" w:sz="8" w:space="0" w:color="auto"/>
              <w:bottom w:val="single" w:sz="4" w:space="0" w:color="auto"/>
              <w:right w:val="single" w:sz="4" w:space="0" w:color="auto"/>
            </w:tcBorders>
            <w:noWrap/>
            <w:vAlign w:val="bottom"/>
            <w:hideMark/>
          </w:tcPr>
          <w:p w14:paraId="016B47E7" w14:textId="77777777" w:rsidR="003E0F58" w:rsidRPr="00CD26E4" w:rsidRDefault="003E0F58" w:rsidP="004D2249">
            <w:pPr>
              <w:spacing w:after="200" w:line="276" w:lineRule="auto"/>
              <w:jc w:val="left"/>
              <w:rPr>
                <w:rFonts w:cs="Times New Roman"/>
                <w:color w:val="000000"/>
                <w:sz w:val="20"/>
                <w:szCs w:val="20"/>
                <w:lang w:val="cs-CZ"/>
              </w:rPr>
            </w:pPr>
            <w:r w:rsidRPr="00CD26E4">
              <w:rPr>
                <w:rFonts w:cs="Times New Roman"/>
                <w:color w:val="000000"/>
                <w:sz w:val="20"/>
                <w:szCs w:val="20"/>
                <w:lang w:val="cs-CZ"/>
              </w:rPr>
              <w:t>Jihočeský</w:t>
            </w:r>
          </w:p>
        </w:tc>
        <w:tc>
          <w:tcPr>
            <w:tcW w:w="1134" w:type="dxa"/>
            <w:tcBorders>
              <w:top w:val="nil"/>
              <w:left w:val="nil"/>
              <w:bottom w:val="single" w:sz="4" w:space="0" w:color="auto"/>
              <w:right w:val="single" w:sz="4" w:space="0" w:color="auto"/>
            </w:tcBorders>
            <w:noWrap/>
            <w:vAlign w:val="bottom"/>
            <w:hideMark/>
          </w:tcPr>
          <w:p w14:paraId="0BB20C36"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1 005 798 </w:t>
            </w:r>
          </w:p>
        </w:tc>
        <w:tc>
          <w:tcPr>
            <w:tcW w:w="1152" w:type="dxa"/>
            <w:tcBorders>
              <w:top w:val="nil"/>
              <w:left w:val="nil"/>
              <w:bottom w:val="single" w:sz="4" w:space="0" w:color="auto"/>
              <w:right w:val="single" w:sz="4" w:space="0" w:color="auto"/>
            </w:tcBorders>
            <w:noWrap/>
            <w:vAlign w:val="bottom"/>
            <w:hideMark/>
          </w:tcPr>
          <w:p w14:paraId="488B3C4C"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623 026 </w:t>
            </w:r>
          </w:p>
        </w:tc>
        <w:tc>
          <w:tcPr>
            <w:tcW w:w="1171" w:type="dxa"/>
            <w:tcBorders>
              <w:top w:val="nil"/>
              <w:left w:val="nil"/>
              <w:bottom w:val="single" w:sz="4" w:space="0" w:color="auto"/>
              <w:right w:val="single" w:sz="4" w:space="0" w:color="auto"/>
            </w:tcBorders>
            <w:noWrap/>
            <w:vAlign w:val="bottom"/>
            <w:hideMark/>
          </w:tcPr>
          <w:p w14:paraId="20951C4C"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382 771 </w:t>
            </w:r>
          </w:p>
        </w:tc>
        <w:tc>
          <w:tcPr>
            <w:tcW w:w="1248" w:type="dxa"/>
            <w:tcBorders>
              <w:top w:val="nil"/>
              <w:left w:val="nil"/>
              <w:bottom w:val="single" w:sz="4" w:space="0" w:color="auto"/>
              <w:right w:val="single" w:sz="4" w:space="0" w:color="auto"/>
            </w:tcBorders>
            <w:noWrap/>
            <w:vAlign w:val="bottom"/>
            <w:hideMark/>
          </w:tcPr>
          <w:p w14:paraId="136B41F7"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372 365 </w:t>
            </w:r>
          </w:p>
        </w:tc>
        <w:tc>
          <w:tcPr>
            <w:tcW w:w="865" w:type="dxa"/>
            <w:tcBorders>
              <w:top w:val="nil"/>
              <w:left w:val="nil"/>
              <w:bottom w:val="single" w:sz="4" w:space="0" w:color="auto"/>
              <w:right w:val="nil"/>
            </w:tcBorders>
            <w:noWrap/>
            <w:vAlign w:val="bottom"/>
            <w:hideMark/>
          </w:tcPr>
          <w:p w14:paraId="14CE569B"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10 407 </w:t>
            </w:r>
          </w:p>
        </w:tc>
        <w:tc>
          <w:tcPr>
            <w:tcW w:w="799" w:type="dxa"/>
            <w:tcBorders>
              <w:top w:val="nil"/>
              <w:left w:val="single" w:sz="8" w:space="0" w:color="auto"/>
              <w:bottom w:val="single" w:sz="4" w:space="0" w:color="auto"/>
              <w:right w:val="single" w:sz="4" w:space="0" w:color="auto"/>
            </w:tcBorders>
            <w:noWrap/>
            <w:vAlign w:val="bottom"/>
            <w:hideMark/>
          </w:tcPr>
          <w:p w14:paraId="4ADD42C9"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38,1 </w:t>
            </w:r>
          </w:p>
        </w:tc>
        <w:tc>
          <w:tcPr>
            <w:tcW w:w="732" w:type="dxa"/>
            <w:tcBorders>
              <w:top w:val="nil"/>
              <w:left w:val="nil"/>
              <w:bottom w:val="single" w:sz="4" w:space="0" w:color="auto"/>
              <w:right w:val="single" w:sz="8" w:space="0" w:color="auto"/>
            </w:tcBorders>
            <w:noWrap/>
            <w:vAlign w:val="bottom"/>
            <w:hideMark/>
          </w:tcPr>
          <w:p w14:paraId="255807FE"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37,0 </w:t>
            </w:r>
          </w:p>
        </w:tc>
      </w:tr>
      <w:tr w:rsidR="003E0F58" w:rsidRPr="00CD26E4" w14:paraId="4E6CC6CD" w14:textId="77777777" w:rsidTr="004D2249">
        <w:trPr>
          <w:trHeight w:hRule="exact" w:val="284"/>
        </w:trPr>
        <w:tc>
          <w:tcPr>
            <w:tcW w:w="2031" w:type="dxa"/>
            <w:tcBorders>
              <w:top w:val="nil"/>
              <w:left w:val="single" w:sz="8" w:space="0" w:color="auto"/>
              <w:bottom w:val="single" w:sz="4" w:space="0" w:color="auto"/>
              <w:right w:val="single" w:sz="4" w:space="0" w:color="auto"/>
            </w:tcBorders>
            <w:noWrap/>
            <w:vAlign w:val="bottom"/>
            <w:hideMark/>
          </w:tcPr>
          <w:p w14:paraId="0DE34CC7" w14:textId="77777777" w:rsidR="003E0F58" w:rsidRPr="00CD26E4" w:rsidRDefault="003E0F58" w:rsidP="004D2249">
            <w:pPr>
              <w:spacing w:after="200" w:line="276" w:lineRule="auto"/>
              <w:jc w:val="left"/>
              <w:rPr>
                <w:rFonts w:cs="Times New Roman"/>
                <w:color w:val="000000"/>
                <w:sz w:val="20"/>
                <w:szCs w:val="20"/>
                <w:lang w:val="cs-CZ"/>
              </w:rPr>
            </w:pPr>
            <w:r w:rsidRPr="00CD26E4">
              <w:rPr>
                <w:rFonts w:cs="Times New Roman"/>
                <w:color w:val="000000"/>
                <w:sz w:val="20"/>
                <w:szCs w:val="20"/>
                <w:lang w:val="cs-CZ"/>
              </w:rPr>
              <w:t>Plzeňský</w:t>
            </w:r>
          </w:p>
        </w:tc>
        <w:tc>
          <w:tcPr>
            <w:tcW w:w="1134" w:type="dxa"/>
            <w:tcBorders>
              <w:top w:val="nil"/>
              <w:left w:val="nil"/>
              <w:bottom w:val="single" w:sz="4" w:space="0" w:color="auto"/>
              <w:right w:val="single" w:sz="4" w:space="0" w:color="auto"/>
            </w:tcBorders>
            <w:noWrap/>
            <w:vAlign w:val="bottom"/>
            <w:hideMark/>
          </w:tcPr>
          <w:p w14:paraId="64053313"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764 900 </w:t>
            </w:r>
          </w:p>
        </w:tc>
        <w:tc>
          <w:tcPr>
            <w:tcW w:w="1152" w:type="dxa"/>
            <w:tcBorders>
              <w:top w:val="nil"/>
              <w:left w:val="nil"/>
              <w:bottom w:val="single" w:sz="4" w:space="0" w:color="auto"/>
              <w:right w:val="single" w:sz="4" w:space="0" w:color="auto"/>
            </w:tcBorders>
            <w:noWrap/>
            <w:vAlign w:val="bottom"/>
            <w:hideMark/>
          </w:tcPr>
          <w:p w14:paraId="3685565D"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454 535 </w:t>
            </w:r>
          </w:p>
        </w:tc>
        <w:tc>
          <w:tcPr>
            <w:tcW w:w="1171" w:type="dxa"/>
            <w:tcBorders>
              <w:top w:val="nil"/>
              <w:left w:val="nil"/>
              <w:bottom w:val="single" w:sz="4" w:space="0" w:color="auto"/>
              <w:right w:val="single" w:sz="4" w:space="0" w:color="auto"/>
            </w:tcBorders>
            <w:noWrap/>
            <w:vAlign w:val="bottom"/>
            <w:hideMark/>
          </w:tcPr>
          <w:p w14:paraId="344F0E4B"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310 365 </w:t>
            </w:r>
          </w:p>
        </w:tc>
        <w:tc>
          <w:tcPr>
            <w:tcW w:w="1248" w:type="dxa"/>
            <w:tcBorders>
              <w:top w:val="nil"/>
              <w:left w:val="nil"/>
              <w:bottom w:val="single" w:sz="4" w:space="0" w:color="auto"/>
              <w:right w:val="single" w:sz="4" w:space="0" w:color="auto"/>
            </w:tcBorders>
            <w:noWrap/>
            <w:vAlign w:val="bottom"/>
            <w:hideMark/>
          </w:tcPr>
          <w:p w14:paraId="57E42B49"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303 859 </w:t>
            </w:r>
          </w:p>
        </w:tc>
        <w:tc>
          <w:tcPr>
            <w:tcW w:w="865" w:type="dxa"/>
            <w:tcBorders>
              <w:top w:val="nil"/>
              <w:left w:val="nil"/>
              <w:bottom w:val="single" w:sz="4" w:space="0" w:color="auto"/>
              <w:right w:val="nil"/>
            </w:tcBorders>
            <w:noWrap/>
            <w:vAlign w:val="bottom"/>
            <w:hideMark/>
          </w:tcPr>
          <w:p w14:paraId="675D79C4"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6 506 </w:t>
            </w:r>
          </w:p>
        </w:tc>
        <w:tc>
          <w:tcPr>
            <w:tcW w:w="799" w:type="dxa"/>
            <w:tcBorders>
              <w:top w:val="nil"/>
              <w:left w:val="single" w:sz="8" w:space="0" w:color="auto"/>
              <w:bottom w:val="single" w:sz="4" w:space="0" w:color="auto"/>
              <w:right w:val="single" w:sz="4" w:space="0" w:color="auto"/>
            </w:tcBorders>
            <w:noWrap/>
            <w:vAlign w:val="bottom"/>
            <w:hideMark/>
          </w:tcPr>
          <w:p w14:paraId="081543C6"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40,6 </w:t>
            </w:r>
          </w:p>
        </w:tc>
        <w:tc>
          <w:tcPr>
            <w:tcW w:w="732" w:type="dxa"/>
            <w:tcBorders>
              <w:top w:val="nil"/>
              <w:left w:val="nil"/>
              <w:bottom w:val="single" w:sz="4" w:space="0" w:color="auto"/>
              <w:right w:val="single" w:sz="8" w:space="0" w:color="auto"/>
            </w:tcBorders>
            <w:noWrap/>
            <w:vAlign w:val="bottom"/>
            <w:hideMark/>
          </w:tcPr>
          <w:p w14:paraId="32D5C82A"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39,7 </w:t>
            </w:r>
          </w:p>
        </w:tc>
      </w:tr>
      <w:tr w:rsidR="003E0F58" w:rsidRPr="00CD26E4" w14:paraId="7B5528F8" w14:textId="77777777" w:rsidTr="004D2249">
        <w:trPr>
          <w:trHeight w:hRule="exact" w:val="284"/>
        </w:trPr>
        <w:tc>
          <w:tcPr>
            <w:tcW w:w="2031" w:type="dxa"/>
            <w:tcBorders>
              <w:top w:val="nil"/>
              <w:left w:val="single" w:sz="8" w:space="0" w:color="auto"/>
              <w:bottom w:val="single" w:sz="4" w:space="0" w:color="auto"/>
              <w:right w:val="single" w:sz="4" w:space="0" w:color="auto"/>
            </w:tcBorders>
            <w:noWrap/>
            <w:vAlign w:val="bottom"/>
            <w:hideMark/>
          </w:tcPr>
          <w:p w14:paraId="3E13949E" w14:textId="77777777" w:rsidR="003E0F58" w:rsidRPr="00CD26E4" w:rsidRDefault="003E0F58" w:rsidP="004D2249">
            <w:pPr>
              <w:spacing w:after="200" w:line="276" w:lineRule="auto"/>
              <w:jc w:val="left"/>
              <w:rPr>
                <w:rFonts w:cs="Times New Roman"/>
                <w:color w:val="000000"/>
                <w:sz w:val="20"/>
                <w:szCs w:val="20"/>
                <w:lang w:val="cs-CZ"/>
              </w:rPr>
            </w:pPr>
            <w:r w:rsidRPr="00CD26E4">
              <w:rPr>
                <w:rFonts w:cs="Times New Roman"/>
                <w:color w:val="000000"/>
                <w:sz w:val="20"/>
                <w:szCs w:val="20"/>
                <w:lang w:val="cs-CZ"/>
              </w:rPr>
              <w:t>Karlovarský</w:t>
            </w:r>
          </w:p>
        </w:tc>
        <w:tc>
          <w:tcPr>
            <w:tcW w:w="1134" w:type="dxa"/>
            <w:tcBorders>
              <w:top w:val="nil"/>
              <w:left w:val="nil"/>
              <w:bottom w:val="single" w:sz="4" w:space="0" w:color="auto"/>
              <w:right w:val="single" w:sz="4" w:space="0" w:color="auto"/>
            </w:tcBorders>
            <w:noWrap/>
            <w:vAlign w:val="bottom"/>
            <w:hideMark/>
          </w:tcPr>
          <w:p w14:paraId="10394BB1"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331 037 </w:t>
            </w:r>
          </w:p>
        </w:tc>
        <w:tc>
          <w:tcPr>
            <w:tcW w:w="1152" w:type="dxa"/>
            <w:tcBorders>
              <w:top w:val="nil"/>
              <w:left w:val="nil"/>
              <w:bottom w:val="single" w:sz="4" w:space="0" w:color="auto"/>
              <w:right w:val="single" w:sz="4" w:space="0" w:color="auto"/>
            </w:tcBorders>
            <w:noWrap/>
            <w:vAlign w:val="bottom"/>
            <w:hideMark/>
          </w:tcPr>
          <w:p w14:paraId="0119740F"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185 447 </w:t>
            </w:r>
          </w:p>
        </w:tc>
        <w:tc>
          <w:tcPr>
            <w:tcW w:w="1171" w:type="dxa"/>
            <w:tcBorders>
              <w:top w:val="nil"/>
              <w:left w:val="nil"/>
              <w:bottom w:val="single" w:sz="4" w:space="0" w:color="auto"/>
              <w:right w:val="single" w:sz="4" w:space="0" w:color="auto"/>
            </w:tcBorders>
            <w:noWrap/>
            <w:vAlign w:val="bottom"/>
            <w:hideMark/>
          </w:tcPr>
          <w:p w14:paraId="4886241D"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145 590 </w:t>
            </w:r>
          </w:p>
        </w:tc>
        <w:tc>
          <w:tcPr>
            <w:tcW w:w="1248" w:type="dxa"/>
            <w:tcBorders>
              <w:top w:val="nil"/>
              <w:left w:val="nil"/>
              <w:bottom w:val="single" w:sz="4" w:space="0" w:color="auto"/>
              <w:right w:val="single" w:sz="4" w:space="0" w:color="auto"/>
            </w:tcBorders>
            <w:noWrap/>
            <w:vAlign w:val="bottom"/>
            <w:hideMark/>
          </w:tcPr>
          <w:p w14:paraId="5D243D02"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140 619 </w:t>
            </w:r>
          </w:p>
        </w:tc>
        <w:tc>
          <w:tcPr>
            <w:tcW w:w="865" w:type="dxa"/>
            <w:tcBorders>
              <w:top w:val="nil"/>
              <w:left w:val="nil"/>
              <w:bottom w:val="single" w:sz="4" w:space="0" w:color="auto"/>
              <w:right w:val="nil"/>
            </w:tcBorders>
            <w:noWrap/>
            <w:vAlign w:val="bottom"/>
            <w:hideMark/>
          </w:tcPr>
          <w:p w14:paraId="52455E2D"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4 971 </w:t>
            </w:r>
          </w:p>
        </w:tc>
        <w:tc>
          <w:tcPr>
            <w:tcW w:w="799" w:type="dxa"/>
            <w:tcBorders>
              <w:top w:val="nil"/>
              <w:left w:val="single" w:sz="8" w:space="0" w:color="auto"/>
              <w:bottom w:val="single" w:sz="4" w:space="0" w:color="auto"/>
              <w:right w:val="single" w:sz="4" w:space="0" w:color="auto"/>
            </w:tcBorders>
            <w:noWrap/>
            <w:vAlign w:val="bottom"/>
            <w:hideMark/>
          </w:tcPr>
          <w:p w14:paraId="4A3AC621"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44,0 </w:t>
            </w:r>
          </w:p>
        </w:tc>
        <w:tc>
          <w:tcPr>
            <w:tcW w:w="732" w:type="dxa"/>
            <w:tcBorders>
              <w:top w:val="nil"/>
              <w:left w:val="nil"/>
              <w:bottom w:val="single" w:sz="4" w:space="0" w:color="auto"/>
              <w:right w:val="single" w:sz="8" w:space="0" w:color="auto"/>
            </w:tcBorders>
            <w:noWrap/>
            <w:vAlign w:val="bottom"/>
            <w:hideMark/>
          </w:tcPr>
          <w:p w14:paraId="4BCFBB67"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42,5 </w:t>
            </w:r>
          </w:p>
        </w:tc>
      </w:tr>
      <w:tr w:rsidR="003E0F58" w:rsidRPr="00CD26E4" w14:paraId="50835578" w14:textId="77777777" w:rsidTr="004D2249">
        <w:trPr>
          <w:trHeight w:hRule="exact" w:val="284"/>
        </w:trPr>
        <w:tc>
          <w:tcPr>
            <w:tcW w:w="2031" w:type="dxa"/>
            <w:tcBorders>
              <w:top w:val="nil"/>
              <w:left w:val="single" w:sz="8" w:space="0" w:color="auto"/>
              <w:bottom w:val="single" w:sz="4" w:space="0" w:color="auto"/>
              <w:right w:val="single" w:sz="4" w:space="0" w:color="auto"/>
            </w:tcBorders>
            <w:noWrap/>
            <w:vAlign w:val="bottom"/>
            <w:hideMark/>
          </w:tcPr>
          <w:p w14:paraId="0D11A809" w14:textId="77777777" w:rsidR="003E0F58" w:rsidRPr="00CD26E4" w:rsidRDefault="003E0F58" w:rsidP="004D2249">
            <w:pPr>
              <w:spacing w:after="200" w:line="276" w:lineRule="auto"/>
              <w:jc w:val="left"/>
              <w:rPr>
                <w:rFonts w:cs="Times New Roman"/>
                <w:color w:val="000000"/>
                <w:sz w:val="20"/>
                <w:szCs w:val="20"/>
                <w:lang w:val="cs-CZ"/>
              </w:rPr>
            </w:pPr>
            <w:r w:rsidRPr="00CD26E4">
              <w:rPr>
                <w:rFonts w:cs="Times New Roman"/>
                <w:color w:val="000000"/>
                <w:sz w:val="20"/>
                <w:szCs w:val="20"/>
                <w:lang w:val="cs-CZ"/>
              </w:rPr>
              <w:t>Ústecký</w:t>
            </w:r>
          </w:p>
        </w:tc>
        <w:tc>
          <w:tcPr>
            <w:tcW w:w="1134" w:type="dxa"/>
            <w:tcBorders>
              <w:top w:val="nil"/>
              <w:left w:val="nil"/>
              <w:bottom w:val="single" w:sz="4" w:space="0" w:color="auto"/>
              <w:right w:val="single" w:sz="4" w:space="0" w:color="auto"/>
            </w:tcBorders>
            <w:noWrap/>
            <w:vAlign w:val="bottom"/>
            <w:hideMark/>
          </w:tcPr>
          <w:p w14:paraId="79681125"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533 858 </w:t>
            </w:r>
          </w:p>
        </w:tc>
        <w:tc>
          <w:tcPr>
            <w:tcW w:w="1152" w:type="dxa"/>
            <w:tcBorders>
              <w:top w:val="nil"/>
              <w:left w:val="nil"/>
              <w:bottom w:val="single" w:sz="4" w:space="0" w:color="auto"/>
              <w:right w:val="single" w:sz="4" w:space="0" w:color="auto"/>
            </w:tcBorders>
            <w:noWrap/>
            <w:vAlign w:val="bottom"/>
            <w:hideMark/>
          </w:tcPr>
          <w:p w14:paraId="2866BB45"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369 443 </w:t>
            </w:r>
          </w:p>
        </w:tc>
        <w:tc>
          <w:tcPr>
            <w:tcW w:w="1171" w:type="dxa"/>
            <w:tcBorders>
              <w:top w:val="nil"/>
              <w:left w:val="nil"/>
              <w:bottom w:val="single" w:sz="4" w:space="0" w:color="auto"/>
              <w:right w:val="single" w:sz="4" w:space="0" w:color="auto"/>
            </w:tcBorders>
            <w:noWrap/>
            <w:vAlign w:val="bottom"/>
            <w:hideMark/>
          </w:tcPr>
          <w:p w14:paraId="082AFF3E"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164 415 </w:t>
            </w:r>
          </w:p>
        </w:tc>
        <w:tc>
          <w:tcPr>
            <w:tcW w:w="1248" w:type="dxa"/>
            <w:tcBorders>
              <w:top w:val="nil"/>
              <w:left w:val="nil"/>
              <w:bottom w:val="single" w:sz="4" w:space="0" w:color="auto"/>
              <w:right w:val="single" w:sz="4" w:space="0" w:color="auto"/>
            </w:tcBorders>
            <w:noWrap/>
            <w:vAlign w:val="bottom"/>
            <w:hideMark/>
          </w:tcPr>
          <w:p w14:paraId="748E9156"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158 013 </w:t>
            </w:r>
          </w:p>
        </w:tc>
        <w:tc>
          <w:tcPr>
            <w:tcW w:w="865" w:type="dxa"/>
            <w:tcBorders>
              <w:top w:val="nil"/>
              <w:left w:val="nil"/>
              <w:bottom w:val="single" w:sz="4" w:space="0" w:color="auto"/>
              <w:right w:val="nil"/>
            </w:tcBorders>
            <w:noWrap/>
            <w:vAlign w:val="bottom"/>
            <w:hideMark/>
          </w:tcPr>
          <w:p w14:paraId="1C6A89B4"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6 402 </w:t>
            </w:r>
          </w:p>
        </w:tc>
        <w:tc>
          <w:tcPr>
            <w:tcW w:w="799" w:type="dxa"/>
            <w:tcBorders>
              <w:top w:val="nil"/>
              <w:left w:val="single" w:sz="8" w:space="0" w:color="auto"/>
              <w:bottom w:val="single" w:sz="4" w:space="0" w:color="auto"/>
              <w:right w:val="single" w:sz="4" w:space="0" w:color="auto"/>
            </w:tcBorders>
            <w:noWrap/>
            <w:vAlign w:val="bottom"/>
            <w:hideMark/>
          </w:tcPr>
          <w:p w14:paraId="3E3182CD"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30,8 </w:t>
            </w:r>
          </w:p>
        </w:tc>
        <w:tc>
          <w:tcPr>
            <w:tcW w:w="732" w:type="dxa"/>
            <w:tcBorders>
              <w:top w:val="nil"/>
              <w:left w:val="nil"/>
              <w:bottom w:val="single" w:sz="4" w:space="0" w:color="auto"/>
              <w:right w:val="single" w:sz="8" w:space="0" w:color="auto"/>
            </w:tcBorders>
            <w:noWrap/>
            <w:vAlign w:val="bottom"/>
            <w:hideMark/>
          </w:tcPr>
          <w:p w14:paraId="0C73C619"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29,6 </w:t>
            </w:r>
          </w:p>
        </w:tc>
      </w:tr>
      <w:tr w:rsidR="003E0F58" w:rsidRPr="00CD26E4" w14:paraId="1019D74B" w14:textId="77777777" w:rsidTr="004D2249">
        <w:trPr>
          <w:trHeight w:hRule="exact" w:val="284"/>
        </w:trPr>
        <w:tc>
          <w:tcPr>
            <w:tcW w:w="2031" w:type="dxa"/>
            <w:tcBorders>
              <w:top w:val="nil"/>
              <w:left w:val="single" w:sz="8" w:space="0" w:color="auto"/>
              <w:bottom w:val="single" w:sz="4" w:space="0" w:color="auto"/>
              <w:right w:val="single" w:sz="4" w:space="0" w:color="auto"/>
            </w:tcBorders>
            <w:noWrap/>
            <w:vAlign w:val="bottom"/>
            <w:hideMark/>
          </w:tcPr>
          <w:p w14:paraId="5972B2C3" w14:textId="77777777" w:rsidR="003E0F58" w:rsidRPr="00CD26E4" w:rsidRDefault="003E0F58" w:rsidP="004D2249">
            <w:pPr>
              <w:spacing w:after="200" w:line="276" w:lineRule="auto"/>
              <w:jc w:val="left"/>
              <w:rPr>
                <w:rFonts w:cs="Times New Roman"/>
                <w:color w:val="000000"/>
                <w:sz w:val="20"/>
                <w:szCs w:val="20"/>
                <w:lang w:val="cs-CZ"/>
              </w:rPr>
            </w:pPr>
            <w:r w:rsidRPr="00CD26E4">
              <w:rPr>
                <w:rFonts w:cs="Times New Roman"/>
                <w:color w:val="000000"/>
                <w:sz w:val="20"/>
                <w:szCs w:val="20"/>
                <w:lang w:val="cs-CZ"/>
              </w:rPr>
              <w:t>Liberecký</w:t>
            </w:r>
          </w:p>
        </w:tc>
        <w:tc>
          <w:tcPr>
            <w:tcW w:w="1134" w:type="dxa"/>
            <w:tcBorders>
              <w:top w:val="nil"/>
              <w:left w:val="nil"/>
              <w:bottom w:val="single" w:sz="4" w:space="0" w:color="auto"/>
              <w:right w:val="single" w:sz="4" w:space="0" w:color="auto"/>
            </w:tcBorders>
            <w:noWrap/>
            <w:vAlign w:val="bottom"/>
            <w:hideMark/>
          </w:tcPr>
          <w:p w14:paraId="2040B856"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316 339 </w:t>
            </w:r>
          </w:p>
        </w:tc>
        <w:tc>
          <w:tcPr>
            <w:tcW w:w="1152" w:type="dxa"/>
            <w:tcBorders>
              <w:top w:val="nil"/>
              <w:left w:val="nil"/>
              <w:bottom w:val="single" w:sz="4" w:space="0" w:color="auto"/>
              <w:right w:val="single" w:sz="4" w:space="0" w:color="auto"/>
            </w:tcBorders>
            <w:noWrap/>
            <w:vAlign w:val="bottom"/>
            <w:hideMark/>
          </w:tcPr>
          <w:p w14:paraId="6DEC7862"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174 089 </w:t>
            </w:r>
          </w:p>
        </w:tc>
        <w:tc>
          <w:tcPr>
            <w:tcW w:w="1171" w:type="dxa"/>
            <w:tcBorders>
              <w:top w:val="nil"/>
              <w:left w:val="nil"/>
              <w:bottom w:val="single" w:sz="4" w:space="0" w:color="auto"/>
              <w:right w:val="single" w:sz="4" w:space="0" w:color="auto"/>
            </w:tcBorders>
            <w:noWrap/>
            <w:vAlign w:val="bottom"/>
            <w:hideMark/>
          </w:tcPr>
          <w:p w14:paraId="23D329D6"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142 250 </w:t>
            </w:r>
          </w:p>
        </w:tc>
        <w:tc>
          <w:tcPr>
            <w:tcW w:w="1248" w:type="dxa"/>
            <w:tcBorders>
              <w:top w:val="nil"/>
              <w:left w:val="nil"/>
              <w:bottom w:val="single" w:sz="4" w:space="0" w:color="auto"/>
              <w:right w:val="single" w:sz="4" w:space="0" w:color="auto"/>
            </w:tcBorders>
            <w:noWrap/>
            <w:vAlign w:val="bottom"/>
            <w:hideMark/>
          </w:tcPr>
          <w:p w14:paraId="76F8AF4F"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136 492 </w:t>
            </w:r>
          </w:p>
        </w:tc>
        <w:tc>
          <w:tcPr>
            <w:tcW w:w="865" w:type="dxa"/>
            <w:tcBorders>
              <w:top w:val="nil"/>
              <w:left w:val="nil"/>
              <w:bottom w:val="single" w:sz="4" w:space="0" w:color="auto"/>
              <w:right w:val="nil"/>
            </w:tcBorders>
            <w:noWrap/>
            <w:vAlign w:val="bottom"/>
            <w:hideMark/>
          </w:tcPr>
          <w:p w14:paraId="3D6A6F39"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5 759 </w:t>
            </w:r>
          </w:p>
        </w:tc>
        <w:tc>
          <w:tcPr>
            <w:tcW w:w="799" w:type="dxa"/>
            <w:tcBorders>
              <w:top w:val="nil"/>
              <w:left w:val="single" w:sz="8" w:space="0" w:color="auto"/>
              <w:bottom w:val="single" w:sz="4" w:space="0" w:color="auto"/>
              <w:right w:val="single" w:sz="4" w:space="0" w:color="auto"/>
            </w:tcBorders>
            <w:noWrap/>
            <w:vAlign w:val="bottom"/>
            <w:hideMark/>
          </w:tcPr>
          <w:p w14:paraId="3739AB8F"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45,0 </w:t>
            </w:r>
          </w:p>
        </w:tc>
        <w:tc>
          <w:tcPr>
            <w:tcW w:w="732" w:type="dxa"/>
            <w:tcBorders>
              <w:top w:val="nil"/>
              <w:left w:val="nil"/>
              <w:bottom w:val="single" w:sz="4" w:space="0" w:color="auto"/>
              <w:right w:val="single" w:sz="8" w:space="0" w:color="auto"/>
            </w:tcBorders>
            <w:noWrap/>
            <w:vAlign w:val="bottom"/>
            <w:hideMark/>
          </w:tcPr>
          <w:p w14:paraId="3A775C39"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43,2 </w:t>
            </w:r>
          </w:p>
        </w:tc>
      </w:tr>
      <w:tr w:rsidR="003E0F58" w:rsidRPr="00CD26E4" w14:paraId="7D09BD48" w14:textId="77777777" w:rsidTr="004D2249">
        <w:trPr>
          <w:trHeight w:hRule="exact" w:val="284"/>
        </w:trPr>
        <w:tc>
          <w:tcPr>
            <w:tcW w:w="2031" w:type="dxa"/>
            <w:tcBorders>
              <w:top w:val="nil"/>
              <w:left w:val="single" w:sz="8" w:space="0" w:color="auto"/>
              <w:bottom w:val="single" w:sz="4" w:space="0" w:color="auto"/>
              <w:right w:val="single" w:sz="4" w:space="0" w:color="auto"/>
            </w:tcBorders>
            <w:noWrap/>
            <w:vAlign w:val="bottom"/>
            <w:hideMark/>
          </w:tcPr>
          <w:p w14:paraId="4A6510E4" w14:textId="77777777" w:rsidR="003E0F58" w:rsidRPr="00CD26E4" w:rsidRDefault="003E0F58" w:rsidP="004D2249">
            <w:pPr>
              <w:spacing w:after="200" w:line="276" w:lineRule="auto"/>
              <w:jc w:val="left"/>
              <w:rPr>
                <w:rFonts w:cs="Times New Roman"/>
                <w:color w:val="000000"/>
                <w:sz w:val="20"/>
                <w:szCs w:val="20"/>
                <w:lang w:val="cs-CZ"/>
              </w:rPr>
            </w:pPr>
            <w:r w:rsidRPr="00CD26E4">
              <w:rPr>
                <w:rFonts w:cs="Times New Roman"/>
                <w:color w:val="000000"/>
                <w:sz w:val="20"/>
                <w:szCs w:val="20"/>
                <w:lang w:val="cs-CZ"/>
              </w:rPr>
              <w:t>Královéhradecký</w:t>
            </w:r>
          </w:p>
        </w:tc>
        <w:tc>
          <w:tcPr>
            <w:tcW w:w="1134" w:type="dxa"/>
            <w:tcBorders>
              <w:top w:val="nil"/>
              <w:left w:val="nil"/>
              <w:bottom w:val="single" w:sz="4" w:space="0" w:color="auto"/>
              <w:right w:val="single" w:sz="4" w:space="0" w:color="auto"/>
            </w:tcBorders>
            <w:noWrap/>
            <w:vAlign w:val="bottom"/>
            <w:hideMark/>
          </w:tcPr>
          <w:p w14:paraId="2245E0F5"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475 901 </w:t>
            </w:r>
          </w:p>
        </w:tc>
        <w:tc>
          <w:tcPr>
            <w:tcW w:w="1152" w:type="dxa"/>
            <w:tcBorders>
              <w:top w:val="nil"/>
              <w:left w:val="nil"/>
              <w:bottom w:val="single" w:sz="4" w:space="0" w:color="auto"/>
              <w:right w:val="single" w:sz="4" w:space="0" w:color="auto"/>
            </w:tcBorders>
            <w:noWrap/>
            <w:vAlign w:val="bottom"/>
            <w:hideMark/>
          </w:tcPr>
          <w:p w14:paraId="6DD3E095"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326 825 </w:t>
            </w:r>
          </w:p>
        </w:tc>
        <w:tc>
          <w:tcPr>
            <w:tcW w:w="1171" w:type="dxa"/>
            <w:tcBorders>
              <w:top w:val="nil"/>
              <w:left w:val="nil"/>
              <w:bottom w:val="single" w:sz="4" w:space="0" w:color="auto"/>
              <w:right w:val="single" w:sz="4" w:space="0" w:color="auto"/>
            </w:tcBorders>
            <w:noWrap/>
            <w:vAlign w:val="bottom"/>
            <w:hideMark/>
          </w:tcPr>
          <w:p w14:paraId="745B9C34"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149 076 </w:t>
            </w:r>
          </w:p>
        </w:tc>
        <w:tc>
          <w:tcPr>
            <w:tcW w:w="1248" w:type="dxa"/>
            <w:tcBorders>
              <w:top w:val="nil"/>
              <w:left w:val="nil"/>
              <w:bottom w:val="single" w:sz="4" w:space="0" w:color="auto"/>
              <w:right w:val="single" w:sz="4" w:space="0" w:color="auto"/>
            </w:tcBorders>
            <w:noWrap/>
            <w:vAlign w:val="bottom"/>
            <w:hideMark/>
          </w:tcPr>
          <w:p w14:paraId="79845C44"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145 032 </w:t>
            </w:r>
          </w:p>
        </w:tc>
        <w:tc>
          <w:tcPr>
            <w:tcW w:w="865" w:type="dxa"/>
            <w:tcBorders>
              <w:top w:val="nil"/>
              <w:left w:val="nil"/>
              <w:bottom w:val="single" w:sz="4" w:space="0" w:color="auto"/>
              <w:right w:val="nil"/>
            </w:tcBorders>
            <w:noWrap/>
            <w:vAlign w:val="bottom"/>
            <w:hideMark/>
          </w:tcPr>
          <w:p w14:paraId="65D493C3"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4 044 </w:t>
            </w:r>
          </w:p>
        </w:tc>
        <w:tc>
          <w:tcPr>
            <w:tcW w:w="799" w:type="dxa"/>
            <w:tcBorders>
              <w:top w:val="nil"/>
              <w:left w:val="single" w:sz="8" w:space="0" w:color="auto"/>
              <w:bottom w:val="single" w:sz="4" w:space="0" w:color="auto"/>
              <w:right w:val="single" w:sz="4" w:space="0" w:color="auto"/>
            </w:tcBorders>
            <w:noWrap/>
            <w:vAlign w:val="bottom"/>
            <w:hideMark/>
          </w:tcPr>
          <w:p w14:paraId="273591CF"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31,3 </w:t>
            </w:r>
          </w:p>
        </w:tc>
        <w:tc>
          <w:tcPr>
            <w:tcW w:w="732" w:type="dxa"/>
            <w:tcBorders>
              <w:top w:val="nil"/>
              <w:left w:val="nil"/>
              <w:bottom w:val="single" w:sz="4" w:space="0" w:color="auto"/>
              <w:right w:val="single" w:sz="8" w:space="0" w:color="auto"/>
            </w:tcBorders>
            <w:noWrap/>
            <w:vAlign w:val="bottom"/>
            <w:hideMark/>
          </w:tcPr>
          <w:p w14:paraId="4D27703D"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30,5 </w:t>
            </w:r>
          </w:p>
        </w:tc>
      </w:tr>
      <w:tr w:rsidR="003E0F58" w:rsidRPr="00CD26E4" w14:paraId="1CCFA5DE" w14:textId="77777777" w:rsidTr="004D2249">
        <w:trPr>
          <w:trHeight w:hRule="exact" w:val="284"/>
        </w:trPr>
        <w:tc>
          <w:tcPr>
            <w:tcW w:w="2031" w:type="dxa"/>
            <w:tcBorders>
              <w:top w:val="nil"/>
              <w:left w:val="single" w:sz="8" w:space="0" w:color="auto"/>
              <w:bottom w:val="single" w:sz="4" w:space="0" w:color="auto"/>
              <w:right w:val="single" w:sz="4" w:space="0" w:color="auto"/>
            </w:tcBorders>
            <w:noWrap/>
            <w:vAlign w:val="bottom"/>
            <w:hideMark/>
          </w:tcPr>
          <w:p w14:paraId="79AF6D49" w14:textId="77777777" w:rsidR="003E0F58" w:rsidRPr="00CD26E4" w:rsidRDefault="003E0F58" w:rsidP="004D2249">
            <w:pPr>
              <w:spacing w:after="200" w:line="276" w:lineRule="auto"/>
              <w:jc w:val="left"/>
              <w:rPr>
                <w:rFonts w:cs="Times New Roman"/>
                <w:color w:val="000000"/>
                <w:sz w:val="20"/>
                <w:szCs w:val="20"/>
                <w:lang w:val="cs-CZ"/>
              </w:rPr>
            </w:pPr>
            <w:r w:rsidRPr="00CD26E4">
              <w:rPr>
                <w:rFonts w:cs="Times New Roman"/>
                <w:color w:val="000000"/>
                <w:sz w:val="20"/>
                <w:szCs w:val="20"/>
                <w:lang w:val="cs-CZ"/>
              </w:rPr>
              <w:t>Pardubický</w:t>
            </w:r>
          </w:p>
        </w:tc>
        <w:tc>
          <w:tcPr>
            <w:tcW w:w="1134" w:type="dxa"/>
            <w:tcBorders>
              <w:top w:val="nil"/>
              <w:left w:val="nil"/>
              <w:bottom w:val="single" w:sz="4" w:space="0" w:color="auto"/>
              <w:right w:val="single" w:sz="4" w:space="0" w:color="auto"/>
            </w:tcBorders>
            <w:noWrap/>
            <w:vAlign w:val="bottom"/>
            <w:hideMark/>
          </w:tcPr>
          <w:p w14:paraId="5A008CB8"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451 911 </w:t>
            </w:r>
          </w:p>
        </w:tc>
        <w:tc>
          <w:tcPr>
            <w:tcW w:w="1152" w:type="dxa"/>
            <w:tcBorders>
              <w:top w:val="nil"/>
              <w:left w:val="nil"/>
              <w:bottom w:val="single" w:sz="4" w:space="0" w:color="auto"/>
              <w:right w:val="single" w:sz="4" w:space="0" w:color="auto"/>
            </w:tcBorders>
            <w:noWrap/>
            <w:vAlign w:val="bottom"/>
            <w:hideMark/>
          </w:tcPr>
          <w:p w14:paraId="62234AC7"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316 998 </w:t>
            </w:r>
          </w:p>
        </w:tc>
        <w:tc>
          <w:tcPr>
            <w:tcW w:w="1171" w:type="dxa"/>
            <w:tcBorders>
              <w:top w:val="nil"/>
              <w:left w:val="nil"/>
              <w:bottom w:val="single" w:sz="4" w:space="0" w:color="auto"/>
              <w:right w:val="single" w:sz="4" w:space="0" w:color="auto"/>
            </w:tcBorders>
            <w:noWrap/>
            <w:vAlign w:val="bottom"/>
            <w:hideMark/>
          </w:tcPr>
          <w:p w14:paraId="7EF8AF9F"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134 914 </w:t>
            </w:r>
          </w:p>
        </w:tc>
        <w:tc>
          <w:tcPr>
            <w:tcW w:w="1248" w:type="dxa"/>
            <w:tcBorders>
              <w:top w:val="nil"/>
              <w:left w:val="nil"/>
              <w:bottom w:val="single" w:sz="4" w:space="0" w:color="auto"/>
              <w:right w:val="single" w:sz="4" w:space="0" w:color="auto"/>
            </w:tcBorders>
            <w:noWrap/>
            <w:vAlign w:val="bottom"/>
            <w:hideMark/>
          </w:tcPr>
          <w:p w14:paraId="25766637"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131 104 </w:t>
            </w:r>
          </w:p>
        </w:tc>
        <w:tc>
          <w:tcPr>
            <w:tcW w:w="865" w:type="dxa"/>
            <w:tcBorders>
              <w:top w:val="nil"/>
              <w:left w:val="nil"/>
              <w:bottom w:val="single" w:sz="4" w:space="0" w:color="auto"/>
              <w:right w:val="nil"/>
            </w:tcBorders>
            <w:noWrap/>
            <w:vAlign w:val="bottom"/>
            <w:hideMark/>
          </w:tcPr>
          <w:p w14:paraId="4A3C24C5"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3 809 </w:t>
            </w:r>
          </w:p>
        </w:tc>
        <w:tc>
          <w:tcPr>
            <w:tcW w:w="799" w:type="dxa"/>
            <w:tcBorders>
              <w:top w:val="nil"/>
              <w:left w:val="single" w:sz="8" w:space="0" w:color="auto"/>
              <w:bottom w:val="single" w:sz="4" w:space="0" w:color="auto"/>
              <w:right w:val="single" w:sz="4" w:space="0" w:color="auto"/>
            </w:tcBorders>
            <w:noWrap/>
            <w:vAlign w:val="bottom"/>
            <w:hideMark/>
          </w:tcPr>
          <w:p w14:paraId="005B7CC7"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29,9 </w:t>
            </w:r>
          </w:p>
        </w:tc>
        <w:tc>
          <w:tcPr>
            <w:tcW w:w="732" w:type="dxa"/>
            <w:tcBorders>
              <w:top w:val="nil"/>
              <w:left w:val="nil"/>
              <w:bottom w:val="single" w:sz="4" w:space="0" w:color="auto"/>
              <w:right w:val="single" w:sz="8" w:space="0" w:color="auto"/>
            </w:tcBorders>
            <w:noWrap/>
            <w:vAlign w:val="bottom"/>
            <w:hideMark/>
          </w:tcPr>
          <w:p w14:paraId="50CE7E49"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29,0 </w:t>
            </w:r>
          </w:p>
        </w:tc>
      </w:tr>
      <w:tr w:rsidR="003E0F58" w:rsidRPr="00CD26E4" w14:paraId="6B390739" w14:textId="77777777" w:rsidTr="004D2249">
        <w:trPr>
          <w:trHeight w:hRule="exact" w:val="284"/>
        </w:trPr>
        <w:tc>
          <w:tcPr>
            <w:tcW w:w="2031" w:type="dxa"/>
            <w:tcBorders>
              <w:top w:val="nil"/>
              <w:left w:val="single" w:sz="8" w:space="0" w:color="auto"/>
              <w:bottom w:val="single" w:sz="4" w:space="0" w:color="auto"/>
              <w:right w:val="single" w:sz="4" w:space="0" w:color="auto"/>
            </w:tcBorders>
            <w:noWrap/>
            <w:vAlign w:val="bottom"/>
            <w:hideMark/>
          </w:tcPr>
          <w:p w14:paraId="651AF45D" w14:textId="77777777" w:rsidR="003E0F58" w:rsidRPr="00CD26E4" w:rsidRDefault="003E0F58" w:rsidP="004D2249">
            <w:pPr>
              <w:spacing w:after="200" w:line="276" w:lineRule="auto"/>
              <w:jc w:val="left"/>
              <w:rPr>
                <w:rFonts w:cs="Times New Roman"/>
                <w:color w:val="000000"/>
                <w:sz w:val="20"/>
                <w:szCs w:val="20"/>
                <w:lang w:val="cs-CZ"/>
              </w:rPr>
            </w:pPr>
            <w:r w:rsidRPr="00CD26E4">
              <w:rPr>
                <w:rFonts w:cs="Times New Roman"/>
                <w:color w:val="000000"/>
                <w:sz w:val="20"/>
                <w:szCs w:val="20"/>
                <w:lang w:val="cs-CZ"/>
              </w:rPr>
              <w:t>Vysočina</w:t>
            </w:r>
          </w:p>
        </w:tc>
        <w:tc>
          <w:tcPr>
            <w:tcW w:w="1134" w:type="dxa"/>
            <w:tcBorders>
              <w:top w:val="nil"/>
              <w:left w:val="nil"/>
              <w:bottom w:val="single" w:sz="4" w:space="0" w:color="auto"/>
              <w:right w:val="single" w:sz="4" w:space="0" w:color="auto"/>
            </w:tcBorders>
            <w:noWrap/>
            <w:vAlign w:val="bottom"/>
            <w:hideMark/>
          </w:tcPr>
          <w:p w14:paraId="561D6EE6"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679 575 </w:t>
            </w:r>
          </w:p>
        </w:tc>
        <w:tc>
          <w:tcPr>
            <w:tcW w:w="1152" w:type="dxa"/>
            <w:tcBorders>
              <w:top w:val="nil"/>
              <w:left w:val="nil"/>
              <w:bottom w:val="single" w:sz="4" w:space="0" w:color="auto"/>
              <w:right w:val="single" w:sz="4" w:space="0" w:color="auto"/>
            </w:tcBorders>
            <w:noWrap/>
            <w:vAlign w:val="bottom"/>
            <w:hideMark/>
          </w:tcPr>
          <w:p w14:paraId="42344299"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471 673 </w:t>
            </w:r>
          </w:p>
        </w:tc>
        <w:tc>
          <w:tcPr>
            <w:tcW w:w="1171" w:type="dxa"/>
            <w:tcBorders>
              <w:top w:val="nil"/>
              <w:left w:val="nil"/>
              <w:bottom w:val="single" w:sz="4" w:space="0" w:color="auto"/>
              <w:right w:val="single" w:sz="4" w:space="0" w:color="auto"/>
            </w:tcBorders>
            <w:noWrap/>
            <w:vAlign w:val="bottom"/>
            <w:hideMark/>
          </w:tcPr>
          <w:p w14:paraId="69EBC7A3"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207 902 </w:t>
            </w:r>
          </w:p>
        </w:tc>
        <w:tc>
          <w:tcPr>
            <w:tcW w:w="1248" w:type="dxa"/>
            <w:tcBorders>
              <w:top w:val="nil"/>
              <w:left w:val="nil"/>
              <w:bottom w:val="single" w:sz="4" w:space="0" w:color="auto"/>
              <w:right w:val="single" w:sz="4" w:space="0" w:color="auto"/>
            </w:tcBorders>
            <w:noWrap/>
            <w:vAlign w:val="bottom"/>
            <w:hideMark/>
          </w:tcPr>
          <w:p w14:paraId="1556B32D"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202 992 </w:t>
            </w:r>
          </w:p>
        </w:tc>
        <w:tc>
          <w:tcPr>
            <w:tcW w:w="865" w:type="dxa"/>
            <w:tcBorders>
              <w:top w:val="nil"/>
              <w:left w:val="nil"/>
              <w:bottom w:val="single" w:sz="4" w:space="0" w:color="auto"/>
              <w:right w:val="nil"/>
            </w:tcBorders>
            <w:noWrap/>
            <w:vAlign w:val="bottom"/>
            <w:hideMark/>
          </w:tcPr>
          <w:p w14:paraId="3A247B99"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4 910 </w:t>
            </w:r>
          </w:p>
        </w:tc>
        <w:tc>
          <w:tcPr>
            <w:tcW w:w="799" w:type="dxa"/>
            <w:tcBorders>
              <w:top w:val="nil"/>
              <w:left w:val="single" w:sz="8" w:space="0" w:color="auto"/>
              <w:bottom w:val="single" w:sz="4" w:space="0" w:color="auto"/>
              <w:right w:val="single" w:sz="4" w:space="0" w:color="auto"/>
            </w:tcBorders>
            <w:noWrap/>
            <w:vAlign w:val="bottom"/>
            <w:hideMark/>
          </w:tcPr>
          <w:p w14:paraId="24A6638B"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30,6 </w:t>
            </w:r>
          </w:p>
        </w:tc>
        <w:tc>
          <w:tcPr>
            <w:tcW w:w="732" w:type="dxa"/>
            <w:tcBorders>
              <w:top w:val="nil"/>
              <w:left w:val="nil"/>
              <w:bottom w:val="single" w:sz="4" w:space="0" w:color="auto"/>
              <w:right w:val="single" w:sz="8" w:space="0" w:color="auto"/>
            </w:tcBorders>
            <w:noWrap/>
            <w:vAlign w:val="bottom"/>
            <w:hideMark/>
          </w:tcPr>
          <w:p w14:paraId="1E457F80"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29,9 </w:t>
            </w:r>
          </w:p>
        </w:tc>
      </w:tr>
      <w:tr w:rsidR="003E0F58" w:rsidRPr="00CD26E4" w14:paraId="33EA2902" w14:textId="77777777" w:rsidTr="004D2249">
        <w:trPr>
          <w:trHeight w:hRule="exact" w:val="284"/>
        </w:trPr>
        <w:tc>
          <w:tcPr>
            <w:tcW w:w="2031" w:type="dxa"/>
            <w:tcBorders>
              <w:top w:val="nil"/>
              <w:left w:val="single" w:sz="8" w:space="0" w:color="auto"/>
              <w:bottom w:val="single" w:sz="4" w:space="0" w:color="auto"/>
              <w:right w:val="single" w:sz="4" w:space="0" w:color="auto"/>
            </w:tcBorders>
            <w:noWrap/>
            <w:vAlign w:val="bottom"/>
            <w:hideMark/>
          </w:tcPr>
          <w:p w14:paraId="05D6F89E" w14:textId="77777777" w:rsidR="003E0F58" w:rsidRPr="00CD26E4" w:rsidRDefault="003E0F58" w:rsidP="004D2249">
            <w:pPr>
              <w:spacing w:after="200" w:line="276" w:lineRule="auto"/>
              <w:jc w:val="left"/>
              <w:rPr>
                <w:rFonts w:cs="Times New Roman"/>
                <w:color w:val="000000"/>
                <w:sz w:val="20"/>
                <w:szCs w:val="20"/>
                <w:lang w:val="cs-CZ"/>
              </w:rPr>
            </w:pPr>
            <w:r w:rsidRPr="00CD26E4">
              <w:rPr>
                <w:rFonts w:cs="Times New Roman"/>
                <w:color w:val="000000"/>
                <w:sz w:val="20"/>
                <w:szCs w:val="20"/>
                <w:lang w:val="cs-CZ"/>
              </w:rPr>
              <w:t>Jihomoravský</w:t>
            </w:r>
          </w:p>
        </w:tc>
        <w:tc>
          <w:tcPr>
            <w:tcW w:w="1134" w:type="dxa"/>
            <w:tcBorders>
              <w:top w:val="nil"/>
              <w:left w:val="nil"/>
              <w:bottom w:val="single" w:sz="4" w:space="0" w:color="auto"/>
              <w:right w:val="single" w:sz="4" w:space="0" w:color="auto"/>
            </w:tcBorders>
            <w:noWrap/>
            <w:vAlign w:val="bottom"/>
            <w:hideMark/>
          </w:tcPr>
          <w:p w14:paraId="230C6FE3"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718 797 </w:t>
            </w:r>
          </w:p>
        </w:tc>
        <w:tc>
          <w:tcPr>
            <w:tcW w:w="1152" w:type="dxa"/>
            <w:tcBorders>
              <w:top w:val="nil"/>
              <w:left w:val="nil"/>
              <w:bottom w:val="single" w:sz="4" w:space="0" w:color="auto"/>
              <w:right w:val="single" w:sz="4" w:space="0" w:color="auto"/>
            </w:tcBorders>
            <w:noWrap/>
            <w:vAlign w:val="bottom"/>
            <w:hideMark/>
          </w:tcPr>
          <w:p w14:paraId="2F2D0A91"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515 905 </w:t>
            </w:r>
          </w:p>
        </w:tc>
        <w:tc>
          <w:tcPr>
            <w:tcW w:w="1171" w:type="dxa"/>
            <w:tcBorders>
              <w:top w:val="nil"/>
              <w:left w:val="nil"/>
              <w:bottom w:val="single" w:sz="4" w:space="0" w:color="auto"/>
              <w:right w:val="single" w:sz="4" w:space="0" w:color="auto"/>
            </w:tcBorders>
            <w:noWrap/>
            <w:vAlign w:val="bottom"/>
            <w:hideMark/>
          </w:tcPr>
          <w:p w14:paraId="6DFB31DE"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202 892 </w:t>
            </w:r>
          </w:p>
        </w:tc>
        <w:tc>
          <w:tcPr>
            <w:tcW w:w="1248" w:type="dxa"/>
            <w:tcBorders>
              <w:top w:val="nil"/>
              <w:left w:val="nil"/>
              <w:bottom w:val="single" w:sz="4" w:space="0" w:color="auto"/>
              <w:right w:val="single" w:sz="4" w:space="0" w:color="auto"/>
            </w:tcBorders>
            <w:noWrap/>
            <w:vAlign w:val="bottom"/>
            <w:hideMark/>
          </w:tcPr>
          <w:p w14:paraId="58B4FFA4"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197 377 </w:t>
            </w:r>
          </w:p>
        </w:tc>
        <w:tc>
          <w:tcPr>
            <w:tcW w:w="865" w:type="dxa"/>
            <w:tcBorders>
              <w:top w:val="nil"/>
              <w:left w:val="nil"/>
              <w:bottom w:val="single" w:sz="4" w:space="0" w:color="auto"/>
              <w:right w:val="nil"/>
            </w:tcBorders>
            <w:noWrap/>
            <w:vAlign w:val="bottom"/>
            <w:hideMark/>
          </w:tcPr>
          <w:p w14:paraId="32C0294B"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5 516 </w:t>
            </w:r>
          </w:p>
        </w:tc>
        <w:tc>
          <w:tcPr>
            <w:tcW w:w="799" w:type="dxa"/>
            <w:tcBorders>
              <w:top w:val="nil"/>
              <w:left w:val="single" w:sz="8" w:space="0" w:color="auto"/>
              <w:bottom w:val="single" w:sz="4" w:space="0" w:color="auto"/>
              <w:right w:val="single" w:sz="4" w:space="0" w:color="auto"/>
            </w:tcBorders>
            <w:noWrap/>
            <w:vAlign w:val="bottom"/>
            <w:hideMark/>
          </w:tcPr>
          <w:p w14:paraId="10FCFF9C"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28,2 </w:t>
            </w:r>
          </w:p>
        </w:tc>
        <w:tc>
          <w:tcPr>
            <w:tcW w:w="732" w:type="dxa"/>
            <w:tcBorders>
              <w:top w:val="nil"/>
              <w:left w:val="nil"/>
              <w:bottom w:val="single" w:sz="4" w:space="0" w:color="auto"/>
              <w:right w:val="single" w:sz="8" w:space="0" w:color="auto"/>
            </w:tcBorders>
            <w:noWrap/>
            <w:vAlign w:val="bottom"/>
            <w:hideMark/>
          </w:tcPr>
          <w:p w14:paraId="54E6C396"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27,5 </w:t>
            </w:r>
          </w:p>
        </w:tc>
      </w:tr>
      <w:tr w:rsidR="003E0F58" w:rsidRPr="00CD26E4" w14:paraId="064582A6" w14:textId="77777777" w:rsidTr="004D2249">
        <w:trPr>
          <w:trHeight w:hRule="exact" w:val="284"/>
        </w:trPr>
        <w:tc>
          <w:tcPr>
            <w:tcW w:w="2031" w:type="dxa"/>
            <w:tcBorders>
              <w:top w:val="nil"/>
              <w:left w:val="single" w:sz="8" w:space="0" w:color="auto"/>
              <w:bottom w:val="single" w:sz="4" w:space="0" w:color="auto"/>
              <w:right w:val="single" w:sz="4" w:space="0" w:color="auto"/>
            </w:tcBorders>
            <w:noWrap/>
            <w:vAlign w:val="bottom"/>
            <w:hideMark/>
          </w:tcPr>
          <w:p w14:paraId="39341190" w14:textId="77777777" w:rsidR="003E0F58" w:rsidRPr="00CD26E4" w:rsidRDefault="003E0F58" w:rsidP="004D2249">
            <w:pPr>
              <w:spacing w:after="200" w:line="276" w:lineRule="auto"/>
              <w:jc w:val="left"/>
              <w:rPr>
                <w:rFonts w:cs="Times New Roman"/>
                <w:color w:val="000000"/>
                <w:sz w:val="20"/>
                <w:szCs w:val="20"/>
                <w:lang w:val="cs-CZ"/>
              </w:rPr>
            </w:pPr>
            <w:r w:rsidRPr="00CD26E4">
              <w:rPr>
                <w:rFonts w:cs="Times New Roman"/>
                <w:color w:val="000000"/>
                <w:sz w:val="20"/>
                <w:szCs w:val="20"/>
                <w:lang w:val="cs-CZ"/>
              </w:rPr>
              <w:t>Olomoucký</w:t>
            </w:r>
          </w:p>
        </w:tc>
        <w:tc>
          <w:tcPr>
            <w:tcW w:w="1134" w:type="dxa"/>
            <w:tcBorders>
              <w:top w:val="nil"/>
              <w:left w:val="nil"/>
              <w:bottom w:val="single" w:sz="4" w:space="0" w:color="auto"/>
              <w:right w:val="single" w:sz="4" w:space="0" w:color="auto"/>
            </w:tcBorders>
            <w:noWrap/>
            <w:vAlign w:val="bottom"/>
            <w:hideMark/>
          </w:tcPr>
          <w:p w14:paraId="1D928101"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527 155 </w:t>
            </w:r>
          </w:p>
        </w:tc>
        <w:tc>
          <w:tcPr>
            <w:tcW w:w="1152" w:type="dxa"/>
            <w:tcBorders>
              <w:top w:val="nil"/>
              <w:left w:val="nil"/>
              <w:bottom w:val="single" w:sz="4" w:space="0" w:color="auto"/>
              <w:right w:val="single" w:sz="4" w:space="0" w:color="auto"/>
            </w:tcBorders>
            <w:noWrap/>
            <w:vAlign w:val="bottom"/>
            <w:hideMark/>
          </w:tcPr>
          <w:p w14:paraId="186BC5FA"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339 993 </w:t>
            </w:r>
          </w:p>
        </w:tc>
        <w:tc>
          <w:tcPr>
            <w:tcW w:w="1171" w:type="dxa"/>
            <w:tcBorders>
              <w:top w:val="nil"/>
              <w:left w:val="nil"/>
              <w:bottom w:val="single" w:sz="4" w:space="0" w:color="auto"/>
              <w:right w:val="single" w:sz="4" w:space="0" w:color="auto"/>
            </w:tcBorders>
            <w:noWrap/>
            <w:vAlign w:val="bottom"/>
            <w:hideMark/>
          </w:tcPr>
          <w:p w14:paraId="7996CDA6"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187 162 </w:t>
            </w:r>
          </w:p>
        </w:tc>
        <w:tc>
          <w:tcPr>
            <w:tcW w:w="1248" w:type="dxa"/>
            <w:tcBorders>
              <w:top w:val="nil"/>
              <w:left w:val="nil"/>
              <w:bottom w:val="single" w:sz="4" w:space="0" w:color="auto"/>
              <w:right w:val="single" w:sz="4" w:space="0" w:color="auto"/>
            </w:tcBorders>
            <w:noWrap/>
            <w:vAlign w:val="bottom"/>
            <w:hideMark/>
          </w:tcPr>
          <w:p w14:paraId="295C6499"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179 258 </w:t>
            </w:r>
          </w:p>
        </w:tc>
        <w:tc>
          <w:tcPr>
            <w:tcW w:w="865" w:type="dxa"/>
            <w:tcBorders>
              <w:top w:val="nil"/>
              <w:left w:val="nil"/>
              <w:bottom w:val="single" w:sz="4" w:space="0" w:color="auto"/>
              <w:right w:val="nil"/>
            </w:tcBorders>
            <w:noWrap/>
            <w:vAlign w:val="bottom"/>
            <w:hideMark/>
          </w:tcPr>
          <w:p w14:paraId="588C0ED5"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7 904 </w:t>
            </w:r>
          </w:p>
        </w:tc>
        <w:tc>
          <w:tcPr>
            <w:tcW w:w="799" w:type="dxa"/>
            <w:tcBorders>
              <w:top w:val="nil"/>
              <w:left w:val="single" w:sz="8" w:space="0" w:color="auto"/>
              <w:bottom w:val="single" w:sz="4" w:space="0" w:color="auto"/>
              <w:right w:val="single" w:sz="4" w:space="0" w:color="auto"/>
            </w:tcBorders>
            <w:noWrap/>
            <w:vAlign w:val="bottom"/>
            <w:hideMark/>
          </w:tcPr>
          <w:p w14:paraId="1021E5A3"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35,5 </w:t>
            </w:r>
          </w:p>
        </w:tc>
        <w:tc>
          <w:tcPr>
            <w:tcW w:w="732" w:type="dxa"/>
            <w:tcBorders>
              <w:top w:val="nil"/>
              <w:left w:val="nil"/>
              <w:bottom w:val="single" w:sz="4" w:space="0" w:color="auto"/>
              <w:right w:val="single" w:sz="8" w:space="0" w:color="auto"/>
            </w:tcBorders>
            <w:noWrap/>
            <w:vAlign w:val="bottom"/>
            <w:hideMark/>
          </w:tcPr>
          <w:p w14:paraId="7F735309"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34,0 </w:t>
            </w:r>
          </w:p>
        </w:tc>
      </w:tr>
      <w:tr w:rsidR="003E0F58" w:rsidRPr="00CD26E4" w14:paraId="3FBBE57A" w14:textId="77777777" w:rsidTr="004D2249">
        <w:trPr>
          <w:trHeight w:hRule="exact" w:val="284"/>
        </w:trPr>
        <w:tc>
          <w:tcPr>
            <w:tcW w:w="2031" w:type="dxa"/>
            <w:tcBorders>
              <w:top w:val="nil"/>
              <w:left w:val="single" w:sz="8" w:space="0" w:color="auto"/>
              <w:bottom w:val="single" w:sz="4" w:space="0" w:color="auto"/>
              <w:right w:val="single" w:sz="4" w:space="0" w:color="auto"/>
            </w:tcBorders>
            <w:noWrap/>
            <w:vAlign w:val="bottom"/>
            <w:hideMark/>
          </w:tcPr>
          <w:p w14:paraId="33B1CFE1" w14:textId="77777777" w:rsidR="003E0F58" w:rsidRPr="00CD26E4" w:rsidRDefault="003E0F58" w:rsidP="004D2249">
            <w:pPr>
              <w:spacing w:after="200" w:line="276" w:lineRule="auto"/>
              <w:jc w:val="left"/>
              <w:rPr>
                <w:rFonts w:cs="Times New Roman"/>
                <w:color w:val="000000"/>
                <w:sz w:val="20"/>
                <w:szCs w:val="20"/>
                <w:lang w:val="cs-CZ"/>
              </w:rPr>
            </w:pPr>
            <w:r w:rsidRPr="00CD26E4">
              <w:rPr>
                <w:rFonts w:cs="Times New Roman"/>
                <w:color w:val="000000"/>
                <w:sz w:val="20"/>
                <w:szCs w:val="20"/>
                <w:lang w:val="cs-CZ"/>
              </w:rPr>
              <w:t>Zlínský</w:t>
            </w:r>
          </w:p>
        </w:tc>
        <w:tc>
          <w:tcPr>
            <w:tcW w:w="1134" w:type="dxa"/>
            <w:tcBorders>
              <w:top w:val="nil"/>
              <w:left w:val="nil"/>
              <w:bottom w:val="single" w:sz="4" w:space="0" w:color="auto"/>
              <w:right w:val="single" w:sz="4" w:space="0" w:color="auto"/>
            </w:tcBorders>
            <w:noWrap/>
            <w:vAlign w:val="bottom"/>
            <w:hideMark/>
          </w:tcPr>
          <w:p w14:paraId="4780BFB5"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396 248 </w:t>
            </w:r>
          </w:p>
        </w:tc>
        <w:tc>
          <w:tcPr>
            <w:tcW w:w="1152" w:type="dxa"/>
            <w:tcBorders>
              <w:top w:val="nil"/>
              <w:left w:val="nil"/>
              <w:bottom w:val="single" w:sz="4" w:space="0" w:color="auto"/>
              <w:right w:val="single" w:sz="4" w:space="0" w:color="auto"/>
            </w:tcBorders>
            <w:noWrap/>
            <w:vAlign w:val="bottom"/>
            <w:hideMark/>
          </w:tcPr>
          <w:p w14:paraId="31475BD8"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237 718 </w:t>
            </w:r>
          </w:p>
        </w:tc>
        <w:tc>
          <w:tcPr>
            <w:tcW w:w="1171" w:type="dxa"/>
            <w:tcBorders>
              <w:top w:val="nil"/>
              <w:left w:val="nil"/>
              <w:bottom w:val="single" w:sz="4" w:space="0" w:color="auto"/>
              <w:right w:val="single" w:sz="4" w:space="0" w:color="auto"/>
            </w:tcBorders>
            <w:noWrap/>
            <w:vAlign w:val="bottom"/>
            <w:hideMark/>
          </w:tcPr>
          <w:p w14:paraId="199B4630"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158 530 </w:t>
            </w:r>
          </w:p>
        </w:tc>
        <w:tc>
          <w:tcPr>
            <w:tcW w:w="1248" w:type="dxa"/>
            <w:tcBorders>
              <w:top w:val="nil"/>
              <w:left w:val="nil"/>
              <w:bottom w:val="single" w:sz="4" w:space="0" w:color="auto"/>
              <w:right w:val="single" w:sz="4" w:space="0" w:color="auto"/>
            </w:tcBorders>
            <w:noWrap/>
            <w:vAlign w:val="bottom"/>
            <w:hideMark/>
          </w:tcPr>
          <w:p w14:paraId="74E0554F"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155 045 </w:t>
            </w:r>
          </w:p>
        </w:tc>
        <w:tc>
          <w:tcPr>
            <w:tcW w:w="865" w:type="dxa"/>
            <w:tcBorders>
              <w:top w:val="nil"/>
              <w:left w:val="nil"/>
              <w:bottom w:val="single" w:sz="4" w:space="0" w:color="auto"/>
              <w:right w:val="nil"/>
            </w:tcBorders>
            <w:noWrap/>
            <w:vAlign w:val="bottom"/>
            <w:hideMark/>
          </w:tcPr>
          <w:p w14:paraId="5D35A88A"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3 485 </w:t>
            </w:r>
          </w:p>
        </w:tc>
        <w:tc>
          <w:tcPr>
            <w:tcW w:w="799" w:type="dxa"/>
            <w:tcBorders>
              <w:top w:val="nil"/>
              <w:left w:val="single" w:sz="8" w:space="0" w:color="auto"/>
              <w:bottom w:val="single" w:sz="4" w:space="0" w:color="auto"/>
              <w:right w:val="single" w:sz="4" w:space="0" w:color="auto"/>
            </w:tcBorders>
            <w:noWrap/>
            <w:vAlign w:val="bottom"/>
            <w:hideMark/>
          </w:tcPr>
          <w:p w14:paraId="6E8FA540"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40,0 </w:t>
            </w:r>
          </w:p>
        </w:tc>
        <w:tc>
          <w:tcPr>
            <w:tcW w:w="732" w:type="dxa"/>
            <w:tcBorders>
              <w:top w:val="nil"/>
              <w:left w:val="nil"/>
              <w:bottom w:val="single" w:sz="4" w:space="0" w:color="auto"/>
              <w:right w:val="single" w:sz="8" w:space="0" w:color="auto"/>
            </w:tcBorders>
            <w:noWrap/>
            <w:vAlign w:val="bottom"/>
            <w:hideMark/>
          </w:tcPr>
          <w:p w14:paraId="17C37067"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39,1 </w:t>
            </w:r>
          </w:p>
        </w:tc>
      </w:tr>
      <w:tr w:rsidR="003E0F58" w:rsidRPr="00CD26E4" w14:paraId="3C7066B1" w14:textId="77777777" w:rsidTr="004D2249">
        <w:trPr>
          <w:trHeight w:hRule="exact" w:val="284"/>
        </w:trPr>
        <w:tc>
          <w:tcPr>
            <w:tcW w:w="2031" w:type="dxa"/>
            <w:tcBorders>
              <w:top w:val="nil"/>
              <w:left w:val="single" w:sz="8" w:space="0" w:color="auto"/>
              <w:bottom w:val="nil"/>
              <w:right w:val="single" w:sz="4" w:space="0" w:color="auto"/>
            </w:tcBorders>
            <w:noWrap/>
            <w:vAlign w:val="bottom"/>
            <w:hideMark/>
          </w:tcPr>
          <w:p w14:paraId="265F4CCB" w14:textId="77777777" w:rsidR="003E0F58" w:rsidRPr="00CD26E4" w:rsidRDefault="003E0F58" w:rsidP="004D2249">
            <w:pPr>
              <w:spacing w:after="200" w:line="276" w:lineRule="auto"/>
              <w:jc w:val="left"/>
              <w:rPr>
                <w:rFonts w:cs="Times New Roman"/>
                <w:color w:val="000000"/>
                <w:sz w:val="20"/>
                <w:szCs w:val="20"/>
                <w:lang w:val="cs-CZ"/>
              </w:rPr>
            </w:pPr>
            <w:r w:rsidRPr="00CD26E4">
              <w:rPr>
                <w:rFonts w:cs="Times New Roman"/>
                <w:color w:val="000000"/>
                <w:sz w:val="20"/>
                <w:szCs w:val="20"/>
                <w:lang w:val="cs-CZ"/>
              </w:rPr>
              <w:t>Moravskoslezský</w:t>
            </w:r>
          </w:p>
        </w:tc>
        <w:tc>
          <w:tcPr>
            <w:tcW w:w="1134" w:type="dxa"/>
            <w:tcBorders>
              <w:top w:val="nil"/>
              <w:left w:val="nil"/>
              <w:bottom w:val="single" w:sz="8" w:space="0" w:color="auto"/>
              <w:right w:val="single" w:sz="4" w:space="0" w:color="auto"/>
            </w:tcBorders>
            <w:noWrap/>
            <w:vAlign w:val="bottom"/>
            <w:hideMark/>
          </w:tcPr>
          <w:p w14:paraId="3111C88F"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543 047 </w:t>
            </w:r>
          </w:p>
        </w:tc>
        <w:tc>
          <w:tcPr>
            <w:tcW w:w="1152" w:type="dxa"/>
            <w:tcBorders>
              <w:top w:val="nil"/>
              <w:left w:val="nil"/>
              <w:bottom w:val="single" w:sz="8" w:space="0" w:color="auto"/>
              <w:right w:val="single" w:sz="4" w:space="0" w:color="auto"/>
            </w:tcBorders>
            <w:noWrap/>
            <w:vAlign w:val="bottom"/>
            <w:hideMark/>
          </w:tcPr>
          <w:p w14:paraId="1247F45D"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348 226 </w:t>
            </w:r>
          </w:p>
        </w:tc>
        <w:tc>
          <w:tcPr>
            <w:tcW w:w="1171" w:type="dxa"/>
            <w:tcBorders>
              <w:top w:val="nil"/>
              <w:left w:val="nil"/>
              <w:bottom w:val="single" w:sz="8" w:space="0" w:color="auto"/>
              <w:right w:val="single" w:sz="4" w:space="0" w:color="auto"/>
            </w:tcBorders>
            <w:noWrap/>
            <w:vAlign w:val="bottom"/>
            <w:hideMark/>
          </w:tcPr>
          <w:p w14:paraId="6D76422A"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194 821 </w:t>
            </w:r>
          </w:p>
        </w:tc>
        <w:tc>
          <w:tcPr>
            <w:tcW w:w="1248" w:type="dxa"/>
            <w:tcBorders>
              <w:top w:val="nil"/>
              <w:left w:val="nil"/>
              <w:bottom w:val="single" w:sz="8" w:space="0" w:color="auto"/>
              <w:right w:val="single" w:sz="4" w:space="0" w:color="auto"/>
            </w:tcBorders>
            <w:noWrap/>
            <w:vAlign w:val="bottom"/>
            <w:hideMark/>
          </w:tcPr>
          <w:p w14:paraId="6CD52FCE"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187 794 </w:t>
            </w:r>
          </w:p>
        </w:tc>
        <w:tc>
          <w:tcPr>
            <w:tcW w:w="865" w:type="dxa"/>
            <w:noWrap/>
            <w:vAlign w:val="bottom"/>
            <w:hideMark/>
          </w:tcPr>
          <w:p w14:paraId="4997D710"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7 027 </w:t>
            </w:r>
          </w:p>
        </w:tc>
        <w:tc>
          <w:tcPr>
            <w:tcW w:w="799" w:type="dxa"/>
            <w:tcBorders>
              <w:top w:val="nil"/>
              <w:left w:val="single" w:sz="8" w:space="0" w:color="auto"/>
              <w:bottom w:val="nil"/>
              <w:right w:val="single" w:sz="4" w:space="0" w:color="auto"/>
            </w:tcBorders>
            <w:noWrap/>
            <w:vAlign w:val="bottom"/>
            <w:hideMark/>
          </w:tcPr>
          <w:p w14:paraId="612269EF"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35,9 </w:t>
            </w:r>
          </w:p>
        </w:tc>
        <w:tc>
          <w:tcPr>
            <w:tcW w:w="732" w:type="dxa"/>
            <w:tcBorders>
              <w:top w:val="nil"/>
              <w:left w:val="nil"/>
              <w:bottom w:val="nil"/>
              <w:right w:val="single" w:sz="8" w:space="0" w:color="auto"/>
            </w:tcBorders>
            <w:noWrap/>
            <w:vAlign w:val="bottom"/>
            <w:hideMark/>
          </w:tcPr>
          <w:p w14:paraId="0046EFF6"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34,6 </w:t>
            </w:r>
          </w:p>
        </w:tc>
      </w:tr>
      <w:tr w:rsidR="003E0F58" w:rsidRPr="00CD26E4" w14:paraId="4EF16085" w14:textId="77777777" w:rsidTr="004D2249">
        <w:trPr>
          <w:trHeight w:hRule="exact" w:val="284"/>
        </w:trPr>
        <w:tc>
          <w:tcPr>
            <w:tcW w:w="2031" w:type="dxa"/>
            <w:tcBorders>
              <w:top w:val="single" w:sz="8" w:space="0" w:color="auto"/>
              <w:left w:val="single" w:sz="8" w:space="0" w:color="auto"/>
              <w:bottom w:val="single" w:sz="8" w:space="0" w:color="auto"/>
              <w:right w:val="single" w:sz="4" w:space="0" w:color="auto"/>
            </w:tcBorders>
            <w:noWrap/>
            <w:vAlign w:val="center"/>
            <w:hideMark/>
          </w:tcPr>
          <w:p w14:paraId="3F20623A" w14:textId="77777777" w:rsidR="003E0F58" w:rsidRPr="00CD26E4" w:rsidRDefault="003E0F58" w:rsidP="004D2249">
            <w:pPr>
              <w:spacing w:after="200" w:line="276" w:lineRule="auto"/>
              <w:jc w:val="left"/>
              <w:rPr>
                <w:rFonts w:cs="Times New Roman"/>
                <w:color w:val="000000"/>
                <w:sz w:val="20"/>
                <w:szCs w:val="20"/>
                <w:lang w:val="cs-CZ"/>
              </w:rPr>
            </w:pPr>
            <w:r w:rsidRPr="00CD26E4">
              <w:rPr>
                <w:rFonts w:cs="Times New Roman"/>
                <w:color w:val="000000"/>
                <w:sz w:val="20"/>
                <w:szCs w:val="20"/>
                <w:lang w:val="cs-CZ"/>
              </w:rPr>
              <w:t>Česká republika</w:t>
            </w:r>
          </w:p>
        </w:tc>
        <w:tc>
          <w:tcPr>
            <w:tcW w:w="1134" w:type="dxa"/>
            <w:tcBorders>
              <w:top w:val="nil"/>
              <w:left w:val="nil"/>
              <w:bottom w:val="single" w:sz="8" w:space="0" w:color="auto"/>
              <w:right w:val="single" w:sz="4" w:space="0" w:color="auto"/>
            </w:tcBorders>
            <w:noWrap/>
            <w:vAlign w:val="bottom"/>
            <w:hideMark/>
          </w:tcPr>
          <w:p w14:paraId="58652FB3"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7 887 027 </w:t>
            </w:r>
          </w:p>
        </w:tc>
        <w:tc>
          <w:tcPr>
            <w:tcW w:w="1152" w:type="dxa"/>
            <w:tcBorders>
              <w:top w:val="nil"/>
              <w:left w:val="nil"/>
              <w:bottom w:val="single" w:sz="8" w:space="0" w:color="auto"/>
              <w:right w:val="single" w:sz="4" w:space="0" w:color="auto"/>
            </w:tcBorders>
            <w:noWrap/>
            <w:vAlign w:val="bottom"/>
            <w:hideMark/>
          </w:tcPr>
          <w:p w14:paraId="3CE3BDB2"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5 200 381 </w:t>
            </w:r>
          </w:p>
        </w:tc>
        <w:tc>
          <w:tcPr>
            <w:tcW w:w="1171" w:type="dxa"/>
            <w:tcBorders>
              <w:top w:val="nil"/>
              <w:left w:val="nil"/>
              <w:bottom w:val="single" w:sz="8" w:space="0" w:color="auto"/>
              <w:right w:val="single" w:sz="4" w:space="0" w:color="auto"/>
            </w:tcBorders>
            <w:noWrap/>
            <w:vAlign w:val="bottom"/>
            <w:hideMark/>
          </w:tcPr>
          <w:p w14:paraId="07F11D13"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2 686 645 </w:t>
            </w:r>
          </w:p>
        </w:tc>
        <w:tc>
          <w:tcPr>
            <w:tcW w:w="1248" w:type="dxa"/>
            <w:tcBorders>
              <w:top w:val="nil"/>
              <w:left w:val="nil"/>
              <w:bottom w:val="single" w:sz="8" w:space="0" w:color="auto"/>
              <w:right w:val="single" w:sz="4" w:space="0" w:color="auto"/>
            </w:tcBorders>
            <w:noWrap/>
            <w:vAlign w:val="bottom"/>
            <w:hideMark/>
          </w:tcPr>
          <w:p w14:paraId="47F51959"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2 607 841 </w:t>
            </w:r>
          </w:p>
        </w:tc>
        <w:tc>
          <w:tcPr>
            <w:tcW w:w="865" w:type="dxa"/>
            <w:tcBorders>
              <w:top w:val="single" w:sz="8" w:space="0" w:color="auto"/>
              <w:left w:val="nil"/>
              <w:bottom w:val="single" w:sz="8" w:space="0" w:color="auto"/>
              <w:right w:val="nil"/>
            </w:tcBorders>
            <w:noWrap/>
            <w:vAlign w:val="bottom"/>
            <w:hideMark/>
          </w:tcPr>
          <w:p w14:paraId="20DA550F"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78 805 </w:t>
            </w:r>
          </w:p>
        </w:tc>
        <w:tc>
          <w:tcPr>
            <w:tcW w:w="799" w:type="dxa"/>
            <w:tcBorders>
              <w:top w:val="single" w:sz="8" w:space="0" w:color="auto"/>
              <w:left w:val="single" w:sz="8" w:space="0" w:color="auto"/>
              <w:bottom w:val="single" w:sz="8" w:space="0" w:color="auto"/>
              <w:right w:val="single" w:sz="4" w:space="0" w:color="auto"/>
            </w:tcBorders>
            <w:noWrap/>
            <w:vAlign w:val="bottom"/>
            <w:hideMark/>
          </w:tcPr>
          <w:p w14:paraId="72FDDF3D"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34,1 </w:t>
            </w:r>
          </w:p>
        </w:tc>
        <w:tc>
          <w:tcPr>
            <w:tcW w:w="732" w:type="dxa"/>
            <w:tcBorders>
              <w:top w:val="single" w:sz="8" w:space="0" w:color="auto"/>
              <w:left w:val="nil"/>
              <w:bottom w:val="single" w:sz="8" w:space="0" w:color="auto"/>
              <w:right w:val="single" w:sz="8" w:space="0" w:color="auto"/>
            </w:tcBorders>
            <w:noWrap/>
            <w:vAlign w:val="bottom"/>
            <w:hideMark/>
          </w:tcPr>
          <w:p w14:paraId="106A093F" w14:textId="77777777" w:rsidR="003E0F58" w:rsidRPr="00CD26E4" w:rsidRDefault="003E0F58" w:rsidP="004D2249">
            <w:pPr>
              <w:spacing w:after="200" w:line="276" w:lineRule="auto"/>
              <w:jc w:val="right"/>
              <w:rPr>
                <w:rFonts w:cs="Times New Roman"/>
                <w:color w:val="000000"/>
                <w:sz w:val="20"/>
                <w:szCs w:val="20"/>
                <w:lang w:val="cs-CZ"/>
              </w:rPr>
            </w:pPr>
            <w:r w:rsidRPr="00CD26E4">
              <w:rPr>
                <w:rFonts w:cs="Times New Roman"/>
                <w:color w:val="000000"/>
                <w:sz w:val="20"/>
                <w:szCs w:val="20"/>
                <w:lang w:val="cs-CZ"/>
              </w:rPr>
              <w:t xml:space="preserve">33,1 </w:t>
            </w:r>
          </w:p>
        </w:tc>
      </w:tr>
    </w:tbl>
    <w:p w14:paraId="1D10B5B8" w14:textId="77777777" w:rsidR="003E0F58" w:rsidRPr="007C705C" w:rsidRDefault="003E0F58" w:rsidP="003E0F58">
      <w:pPr>
        <w:pStyle w:val="RadekPoznamka"/>
        <w:rPr>
          <w:rFonts w:ascii="Times New Roman" w:hAnsi="Times New Roman"/>
          <w:b/>
          <w:i/>
          <w:sz w:val="18"/>
          <w:szCs w:val="20"/>
        </w:rPr>
      </w:pPr>
      <w:r w:rsidRPr="007C705C">
        <w:rPr>
          <w:rFonts w:ascii="Times New Roman" w:hAnsi="Times New Roman"/>
          <w:b/>
          <w:i/>
          <w:sz w:val="18"/>
          <w:szCs w:val="20"/>
        </w:rPr>
        <w:t xml:space="preserve">Poznámka: </w:t>
      </w:r>
      <w:r w:rsidRPr="007C705C">
        <w:rPr>
          <w:rFonts w:ascii="Times New Roman" w:hAnsi="Times New Roman"/>
          <w:i/>
          <w:sz w:val="18"/>
          <w:szCs w:val="20"/>
        </w:rPr>
        <w:t>celková výměra a PUPFL převzaty z dat KN -  z databáze katastru nemovitostí ÚHÚL.</w:t>
      </w:r>
    </w:p>
    <w:p w14:paraId="251820CC" w14:textId="77777777" w:rsidR="003E0F58" w:rsidRPr="007C705C" w:rsidRDefault="003E0F58" w:rsidP="003E0F58">
      <w:pPr>
        <w:pStyle w:val="RadekPoznamka"/>
        <w:rPr>
          <w:rFonts w:ascii="Times New Roman" w:hAnsi="Times New Roman"/>
          <w:i/>
          <w:sz w:val="18"/>
          <w:szCs w:val="20"/>
        </w:rPr>
      </w:pPr>
      <w:r w:rsidRPr="007C705C">
        <w:rPr>
          <w:rFonts w:ascii="Times New Roman" w:hAnsi="Times New Roman"/>
          <w:i/>
          <w:sz w:val="18"/>
          <w:szCs w:val="20"/>
        </w:rPr>
        <w:tab/>
        <w:t>(*) veškerá půda mimo PUPFL.</w:t>
      </w:r>
    </w:p>
    <w:p w14:paraId="29AEFA7E" w14:textId="77777777" w:rsidR="003E0F58" w:rsidRPr="007C705C" w:rsidRDefault="003E0F58" w:rsidP="003E0F58">
      <w:pPr>
        <w:pStyle w:val="RadekPoznamka"/>
        <w:ind w:firstLine="708"/>
        <w:rPr>
          <w:rFonts w:ascii="Times New Roman" w:hAnsi="Times New Roman"/>
          <w:i/>
          <w:sz w:val="18"/>
          <w:szCs w:val="20"/>
        </w:rPr>
      </w:pPr>
      <w:r w:rsidRPr="007C705C">
        <w:rPr>
          <w:rFonts w:ascii="Times New Roman" w:hAnsi="Times New Roman"/>
          <w:i/>
          <w:sz w:val="18"/>
          <w:szCs w:val="20"/>
        </w:rPr>
        <w:t xml:space="preserve">(**) PUPFL </w:t>
      </w:r>
      <w:r w:rsidRPr="007C705C">
        <w:rPr>
          <w:rFonts w:ascii="Times New Roman" w:hAnsi="Times New Roman"/>
          <w:i/>
          <w:sz w:val="18"/>
          <w:szCs w:val="20"/>
        </w:rPr>
        <w:tab/>
        <w:t>a) z hlediska lesnického = bezlesí + porostní plocha + jiné pozemky.</w:t>
      </w:r>
    </w:p>
    <w:p w14:paraId="38CC7915" w14:textId="77777777" w:rsidR="003E0F58" w:rsidRPr="007C705C" w:rsidRDefault="003E0F58" w:rsidP="003E0F58">
      <w:pPr>
        <w:pStyle w:val="RadekPoznamka"/>
        <w:ind w:left="2124"/>
        <w:rPr>
          <w:rFonts w:ascii="Times New Roman" w:hAnsi="Times New Roman"/>
          <w:i/>
          <w:sz w:val="18"/>
          <w:szCs w:val="20"/>
        </w:rPr>
      </w:pPr>
      <w:r w:rsidRPr="007C705C">
        <w:rPr>
          <w:rFonts w:ascii="Times New Roman" w:hAnsi="Times New Roman"/>
          <w:i/>
          <w:sz w:val="18"/>
          <w:szCs w:val="20"/>
        </w:rPr>
        <w:t>b) z hlediska výpočtu z dat KN = kultura 10 + způsob ochrany pozemku RZO = 26 na jiných kulturách.</w:t>
      </w:r>
    </w:p>
    <w:p w14:paraId="174DF525" w14:textId="77777777" w:rsidR="003E0F58" w:rsidRPr="007C705C" w:rsidRDefault="003E0F58" w:rsidP="003E0F58">
      <w:pPr>
        <w:pStyle w:val="RadekPoznamka"/>
        <w:ind w:firstLine="708"/>
        <w:rPr>
          <w:rFonts w:ascii="Times New Roman" w:hAnsi="Times New Roman"/>
          <w:i/>
          <w:sz w:val="18"/>
          <w:szCs w:val="20"/>
        </w:rPr>
      </w:pPr>
      <w:r w:rsidRPr="007C705C">
        <w:rPr>
          <w:rFonts w:ascii="Times New Roman" w:hAnsi="Times New Roman"/>
          <w:i/>
          <w:sz w:val="18"/>
          <w:szCs w:val="20"/>
        </w:rPr>
        <w:t>(***) rozdíl evid. plochy z PUPFL a por. plochy z LHP.</w:t>
      </w:r>
    </w:p>
    <w:p w14:paraId="055B6B17" w14:textId="6E62516F" w:rsidR="00CD26E4" w:rsidRPr="00CD26E4" w:rsidRDefault="00CD26E4" w:rsidP="00CD26E4">
      <w:pPr>
        <w:spacing w:after="160" w:line="259" w:lineRule="auto"/>
        <w:jc w:val="left"/>
        <w:rPr>
          <w:rFonts w:eastAsiaTheme="minorEastAsia" w:cs="Times New Roman"/>
          <w:szCs w:val="24"/>
          <w:lang w:val="cs-CZ"/>
        </w:rPr>
      </w:pPr>
      <w:r>
        <w:rPr>
          <w:rFonts w:eastAsiaTheme="minorEastAsia"/>
        </w:rPr>
        <w:br w:type="page"/>
      </w:r>
    </w:p>
    <w:p w14:paraId="4D87D01C" w14:textId="77777777" w:rsidR="003E0F58" w:rsidRPr="00CD26E4" w:rsidRDefault="003E0F58" w:rsidP="00CD26E4">
      <w:pPr>
        <w:pStyle w:val="Nadpis1"/>
      </w:pPr>
      <w:bookmarkStart w:id="341" w:name="_Toc521315962"/>
      <w:bookmarkStart w:id="342" w:name="_Toc522523039"/>
      <w:bookmarkStart w:id="343" w:name="_Toc523143776"/>
      <w:bookmarkStart w:id="344" w:name="_Toc523146693"/>
      <w:bookmarkStart w:id="345" w:name="_Toc7429647"/>
      <w:bookmarkStart w:id="346" w:name="_Toc7429849"/>
      <w:bookmarkStart w:id="347" w:name="_Toc7430780"/>
      <w:bookmarkStart w:id="348" w:name="_Toc7432032"/>
      <w:bookmarkStart w:id="349" w:name="_Toc9611301"/>
      <w:bookmarkStart w:id="350" w:name="_Toc23326655"/>
      <w:bookmarkStart w:id="351" w:name="_Toc23327262"/>
      <w:bookmarkStart w:id="352" w:name="_Toc77245895"/>
      <w:bookmarkStart w:id="353" w:name="_Toc81343101"/>
      <w:bookmarkStart w:id="354" w:name="_Toc81343164"/>
      <w:bookmarkStart w:id="355" w:name="_Toc81343233"/>
      <w:bookmarkStart w:id="356" w:name="_Toc94181682"/>
      <w:r w:rsidRPr="00CD26E4">
        <w:lastRenderedPageBreak/>
        <w:t>Existence/neexistence možnosti efektivního řešení v rámci nástrojů SZP, které lze uvažovat v nových návrzích SZP (které příčiny lze ovlivnit, a které ne).</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4AFCBEFD" w14:textId="7F29D445" w:rsidR="003E0F58" w:rsidRPr="00CD26E4" w:rsidRDefault="003E0F58" w:rsidP="00CD26E4">
      <w:pPr>
        <w:pStyle w:val="UZEINormaln"/>
        <w:rPr>
          <w:rFonts w:eastAsiaTheme="minorEastAsia"/>
        </w:rPr>
      </w:pPr>
      <w:r w:rsidRPr="007C705C">
        <w:rPr>
          <w:rFonts w:eastAsiaTheme="minorEastAsia"/>
        </w:rPr>
        <w:t>V rámci nástrojů nové SZP lze uvažovat nástroje uvedené v článcích Nařízení Evropského parlamentu a Rady z 1. 6. 2018, 392/2018 (zejména čl</w:t>
      </w:r>
      <w:r w:rsidR="005602C0">
        <w:rPr>
          <w:rFonts w:eastAsiaTheme="minorEastAsia"/>
        </w:rPr>
        <w:t xml:space="preserve">. </w:t>
      </w:r>
      <w:r w:rsidRPr="007C705C">
        <w:rPr>
          <w:rFonts w:eastAsiaTheme="minorEastAsia"/>
        </w:rPr>
        <w:t>6 odst.1 písm</w:t>
      </w:r>
      <w:r w:rsidR="00A36BA9">
        <w:rPr>
          <w:rFonts w:eastAsiaTheme="minorEastAsia"/>
        </w:rPr>
        <w:t>.</w:t>
      </w:r>
      <w:r w:rsidRPr="007C705C">
        <w:rPr>
          <w:rFonts w:eastAsiaTheme="minorEastAsia"/>
        </w:rPr>
        <w:t xml:space="preserve"> d) a f), články 28, 65, 68, 70, 71. </w:t>
      </w:r>
    </w:p>
    <w:p w14:paraId="5D37C241" w14:textId="77777777" w:rsidR="003E0F58" w:rsidRPr="007C705C" w:rsidRDefault="003E0F58" w:rsidP="003E0F58">
      <w:pPr>
        <w:spacing w:line="276" w:lineRule="auto"/>
        <w:ind w:left="284"/>
        <w:rPr>
          <w:rFonts w:cs="Times New Roman"/>
          <w:szCs w:val="24"/>
          <w:lang w:val="cs-CZ"/>
        </w:rPr>
      </w:pPr>
      <w:r w:rsidRPr="007C705C">
        <w:rPr>
          <w:rFonts w:cs="Times New Roman"/>
          <w:b/>
          <w:lang w:val="cs-CZ"/>
        </w:rPr>
        <w:t>KLIMA:</w:t>
      </w:r>
    </w:p>
    <w:p w14:paraId="3F24295B" w14:textId="77777777" w:rsidR="003E0F58" w:rsidRPr="007C705C" w:rsidRDefault="003E0F58" w:rsidP="008A1AE3">
      <w:pPr>
        <w:pStyle w:val="Odstavecseseznamem"/>
        <w:numPr>
          <w:ilvl w:val="0"/>
          <w:numId w:val="18"/>
        </w:numPr>
        <w:spacing w:before="60" w:line="360" w:lineRule="atLeast"/>
        <w:rPr>
          <w:rFonts w:eastAsiaTheme="minorEastAsia"/>
          <w:b/>
          <w:bCs/>
        </w:rPr>
      </w:pPr>
      <w:r w:rsidRPr="007C705C">
        <w:rPr>
          <w:rFonts w:eastAsiaTheme="minorEastAsia"/>
          <w:b/>
          <w:bCs/>
        </w:rPr>
        <w:t>Nízká odolnost zemědělských podniků vůči klimatickým změnám</w:t>
      </w:r>
    </w:p>
    <w:p w14:paraId="6953578E" w14:textId="59B49879" w:rsidR="003E0F58" w:rsidRPr="007C705C" w:rsidRDefault="003E0F58" w:rsidP="0040227B">
      <w:pPr>
        <w:pStyle w:val="UZEIOdrky"/>
        <w:rPr>
          <w:rFonts w:eastAsiaTheme="minorEastAsia"/>
        </w:rPr>
      </w:pPr>
      <w:r w:rsidRPr="007C705C">
        <w:rPr>
          <w:rFonts w:eastAsiaTheme="minorEastAsia"/>
        </w:rPr>
        <w:t>Narůstající teploty a klesající výnosy zemědělských plodin</w:t>
      </w:r>
    </w:p>
    <w:p w14:paraId="3D52D813" w14:textId="77777777" w:rsidR="003E0F58" w:rsidRPr="00E842EA" w:rsidRDefault="003E0F58" w:rsidP="00E842EA">
      <w:pPr>
        <w:pStyle w:val="UZEINormaln"/>
        <w:rPr>
          <w:rFonts w:eastAsiaTheme="minorEastAsia"/>
        </w:rPr>
      </w:pPr>
      <w:r w:rsidRPr="00E842EA">
        <w:rPr>
          <w:rFonts w:eastAsiaTheme="minorEastAsia"/>
        </w:rPr>
        <w:t xml:space="preserve">První skupina opatření je definována v části Sekvestrace uhlíku a jedná se o opatření zvyšující obsah organického uhlíku v půdě a zvyšující retenční schopnost půdy. </w:t>
      </w:r>
    </w:p>
    <w:p w14:paraId="3AB8991C" w14:textId="4A80D32D" w:rsidR="003E0F58" w:rsidRPr="00E842EA" w:rsidRDefault="003E0F58" w:rsidP="00E842EA">
      <w:pPr>
        <w:pStyle w:val="UZEINormaln"/>
        <w:rPr>
          <w:rFonts w:eastAsiaTheme="minorEastAsia"/>
        </w:rPr>
      </w:pPr>
      <w:r w:rsidRPr="00E842EA">
        <w:rPr>
          <w:rFonts w:eastAsiaTheme="minorEastAsia"/>
        </w:rPr>
        <w:t>Druhá skupina opatření musí být zaměřena na podporu šlechtění a testování odrůd. V současné době v sortimentu chybí odrůdy, které by se vyznačovaly odolností k suchu a vysokým teplotám, zejména proto, že neexistují nástroje pro vyhodnocení hloubky zakořenění a osmotického přizpůsobení. Tyto dva znaky by měly být primární pro odolnost k suchu bez ohledu na termín, ve kterém sucho nastává. Současně by ale měly být v sortimentu odrůdy s dalšími znaky, které jsou výhodné pro specifický typ sucha. Například pro letní terminální sucho jsou vhodné odrůdy s únikovou strategií, tedy odrůdy velmi rané, naopak pro sucho, které nastává dříve, má význam šlechtění na dlouhé udržení zelené plochy tedy tzv. stay-green odrůdy. Je tedy důležité, aby existovala podpora různých směrů šlechtění na odolnost k suchu a vysokým teplotám, které by rozložily rizika působení různých typů stresových podmínek. Šlechtění je společně s adaptačními technologiemi (bezorebné setí do mulče) mnohonásobně levnější než závlahy.</w:t>
      </w:r>
    </w:p>
    <w:p w14:paraId="56D6AC8C" w14:textId="2134C30A" w:rsidR="003E0F58" w:rsidRPr="007C705C" w:rsidRDefault="0040227B" w:rsidP="0040227B">
      <w:pPr>
        <w:pStyle w:val="UZEITaB"/>
      </w:pPr>
      <w:bookmarkStart w:id="357" w:name="_Toc77245839"/>
      <w:r>
        <w:t xml:space="preserve"> </w:t>
      </w:r>
      <w:bookmarkStart w:id="358" w:name="_Toc94181603"/>
      <w:r w:rsidR="003E0F58" w:rsidRPr="007C705C">
        <w:t>Možnosti efektivního řešení problému v rámci nástrojů SZP - Narůstající teploty a klesající výnosy zemědělských plodin</w:t>
      </w:r>
      <w:bookmarkEnd w:id="357"/>
      <w:bookmarkEnd w:id="358"/>
    </w:p>
    <w:tbl>
      <w:tblPr>
        <w:tblStyle w:val="Mkatabulky1"/>
        <w:tblpPr w:leftFromText="141" w:rightFromText="141" w:vertAnchor="text" w:horzAnchor="margin" w:tblpY="18"/>
        <w:tblW w:w="9180" w:type="dxa"/>
        <w:tblLayout w:type="fixed"/>
        <w:tblLook w:val="04A0" w:firstRow="1" w:lastRow="0" w:firstColumn="1" w:lastColumn="0" w:noHBand="0" w:noVBand="1"/>
      </w:tblPr>
      <w:tblGrid>
        <w:gridCol w:w="1384"/>
        <w:gridCol w:w="1418"/>
        <w:gridCol w:w="2268"/>
        <w:gridCol w:w="1701"/>
        <w:gridCol w:w="1275"/>
        <w:gridCol w:w="1134"/>
      </w:tblGrid>
      <w:tr w:rsidR="003E0F58" w:rsidRPr="0040227B" w14:paraId="2F0F7AEA" w14:textId="77777777" w:rsidTr="004D2249">
        <w:tc>
          <w:tcPr>
            <w:tcW w:w="1384" w:type="dxa"/>
            <w:shd w:val="clear" w:color="auto" w:fill="E7E6E6" w:themeFill="background2"/>
          </w:tcPr>
          <w:p w14:paraId="04A66DD9" w14:textId="77777777" w:rsidR="003E0F58" w:rsidRPr="0040227B" w:rsidRDefault="003E0F58" w:rsidP="004D2249">
            <w:pPr>
              <w:jc w:val="left"/>
              <w:rPr>
                <w:rFonts w:eastAsia="Calibri" w:cs="Times New Roman"/>
                <w:b/>
                <w:sz w:val="20"/>
                <w:szCs w:val="20"/>
              </w:rPr>
            </w:pPr>
            <w:r w:rsidRPr="0040227B">
              <w:rPr>
                <w:rFonts w:eastAsia="Calibri" w:cs="Times New Roman"/>
                <w:b/>
                <w:sz w:val="20"/>
                <w:szCs w:val="20"/>
              </w:rPr>
              <w:t>Problém</w:t>
            </w:r>
          </w:p>
        </w:tc>
        <w:tc>
          <w:tcPr>
            <w:tcW w:w="1418" w:type="dxa"/>
            <w:shd w:val="clear" w:color="auto" w:fill="E7E6E6" w:themeFill="background2"/>
          </w:tcPr>
          <w:p w14:paraId="7FD0E263" w14:textId="77777777" w:rsidR="003E0F58" w:rsidRPr="0040227B" w:rsidRDefault="003E0F58" w:rsidP="004D2249">
            <w:pPr>
              <w:jc w:val="left"/>
              <w:rPr>
                <w:rFonts w:eastAsia="Calibri" w:cs="Times New Roman"/>
                <w:b/>
                <w:sz w:val="20"/>
                <w:szCs w:val="20"/>
              </w:rPr>
            </w:pPr>
            <w:r w:rsidRPr="0040227B">
              <w:rPr>
                <w:rFonts w:eastAsia="Calibri" w:cs="Times New Roman"/>
                <w:b/>
                <w:sz w:val="20"/>
                <w:szCs w:val="20"/>
              </w:rPr>
              <w:t>Příčiny</w:t>
            </w:r>
          </w:p>
        </w:tc>
        <w:tc>
          <w:tcPr>
            <w:tcW w:w="2268" w:type="dxa"/>
            <w:shd w:val="clear" w:color="auto" w:fill="E7E6E6" w:themeFill="background2"/>
          </w:tcPr>
          <w:p w14:paraId="0B89F7E3" w14:textId="77777777" w:rsidR="003E0F58" w:rsidRPr="0040227B" w:rsidRDefault="003E0F58" w:rsidP="004D2249">
            <w:pPr>
              <w:jc w:val="left"/>
              <w:rPr>
                <w:rFonts w:eastAsia="Calibri" w:cs="Times New Roman"/>
                <w:b/>
                <w:sz w:val="20"/>
                <w:szCs w:val="20"/>
              </w:rPr>
            </w:pPr>
            <w:r w:rsidRPr="0040227B">
              <w:rPr>
                <w:rFonts w:eastAsia="Calibri" w:cs="Times New Roman"/>
                <w:b/>
                <w:sz w:val="20"/>
                <w:szCs w:val="20"/>
              </w:rPr>
              <w:t>Převládající chování/reakce zemědělců</w:t>
            </w:r>
          </w:p>
        </w:tc>
        <w:tc>
          <w:tcPr>
            <w:tcW w:w="1701" w:type="dxa"/>
            <w:shd w:val="clear" w:color="auto" w:fill="E7E6E6" w:themeFill="background2"/>
          </w:tcPr>
          <w:p w14:paraId="46F7861F" w14:textId="77777777" w:rsidR="003E0F58" w:rsidRPr="0040227B" w:rsidRDefault="003E0F58" w:rsidP="004D2249">
            <w:pPr>
              <w:jc w:val="left"/>
              <w:rPr>
                <w:rFonts w:eastAsia="Calibri" w:cs="Times New Roman"/>
                <w:b/>
                <w:sz w:val="20"/>
                <w:szCs w:val="20"/>
              </w:rPr>
            </w:pPr>
            <w:r w:rsidRPr="0040227B">
              <w:rPr>
                <w:rFonts w:eastAsia="Calibri" w:cs="Times New Roman"/>
                <w:b/>
                <w:sz w:val="20"/>
                <w:szCs w:val="20"/>
              </w:rPr>
              <w:t>Nutná změna</w:t>
            </w:r>
          </w:p>
        </w:tc>
        <w:tc>
          <w:tcPr>
            <w:tcW w:w="1275" w:type="dxa"/>
            <w:shd w:val="clear" w:color="auto" w:fill="E7E6E6" w:themeFill="background2"/>
          </w:tcPr>
          <w:p w14:paraId="20E1381E" w14:textId="77777777" w:rsidR="003E0F58" w:rsidRPr="0040227B" w:rsidRDefault="003E0F58" w:rsidP="004D2249">
            <w:pPr>
              <w:jc w:val="left"/>
              <w:rPr>
                <w:rFonts w:eastAsia="Calibri" w:cs="Times New Roman"/>
                <w:b/>
                <w:sz w:val="20"/>
                <w:szCs w:val="20"/>
              </w:rPr>
            </w:pPr>
            <w:r w:rsidRPr="0040227B">
              <w:rPr>
                <w:rFonts w:eastAsia="Calibri" w:cs="Times New Roman"/>
                <w:b/>
                <w:sz w:val="20"/>
                <w:szCs w:val="20"/>
              </w:rPr>
              <w:t>Prvek intervence</w:t>
            </w:r>
          </w:p>
        </w:tc>
        <w:tc>
          <w:tcPr>
            <w:tcW w:w="1134" w:type="dxa"/>
            <w:shd w:val="clear" w:color="auto" w:fill="E7E6E6" w:themeFill="background2"/>
          </w:tcPr>
          <w:p w14:paraId="7B329D1A" w14:textId="77777777" w:rsidR="003E0F58" w:rsidRPr="0040227B" w:rsidRDefault="003E0F58" w:rsidP="004D2249">
            <w:pPr>
              <w:jc w:val="left"/>
              <w:rPr>
                <w:rFonts w:eastAsia="Calibri" w:cs="Times New Roman"/>
                <w:b/>
                <w:sz w:val="20"/>
                <w:szCs w:val="20"/>
              </w:rPr>
            </w:pPr>
            <w:r w:rsidRPr="0040227B">
              <w:rPr>
                <w:rFonts w:eastAsia="Calibri" w:cs="Times New Roman"/>
                <w:b/>
                <w:sz w:val="20"/>
                <w:szCs w:val="20"/>
              </w:rPr>
              <w:t>Intervence</w:t>
            </w:r>
          </w:p>
          <w:p w14:paraId="5FC1F637" w14:textId="77777777" w:rsidR="003E0F58" w:rsidRPr="0040227B" w:rsidRDefault="003E0F58" w:rsidP="004D2249">
            <w:pPr>
              <w:jc w:val="left"/>
              <w:rPr>
                <w:rFonts w:eastAsia="Calibri" w:cs="Times New Roman"/>
                <w:b/>
                <w:sz w:val="20"/>
                <w:szCs w:val="20"/>
              </w:rPr>
            </w:pPr>
          </w:p>
        </w:tc>
      </w:tr>
      <w:tr w:rsidR="003E0F58" w:rsidRPr="0040227B" w14:paraId="4EC69C23" w14:textId="77777777" w:rsidTr="004D2249">
        <w:tc>
          <w:tcPr>
            <w:tcW w:w="1384" w:type="dxa"/>
          </w:tcPr>
          <w:p w14:paraId="7FEB422A" w14:textId="77777777" w:rsidR="003E0F58" w:rsidRPr="0040227B" w:rsidRDefault="003E0F58" w:rsidP="004D2249">
            <w:pPr>
              <w:jc w:val="left"/>
              <w:rPr>
                <w:rFonts w:eastAsia="Calibri" w:cs="Times New Roman"/>
                <w:sz w:val="20"/>
                <w:szCs w:val="20"/>
              </w:rPr>
            </w:pPr>
            <w:r w:rsidRPr="0040227B">
              <w:rPr>
                <w:rFonts w:cs="Times New Roman"/>
                <w:sz w:val="20"/>
                <w:szCs w:val="20"/>
              </w:rPr>
              <w:t>Narůstající teploty a klesající výnosy zemědělských plodin</w:t>
            </w:r>
          </w:p>
        </w:tc>
        <w:tc>
          <w:tcPr>
            <w:tcW w:w="1418" w:type="dxa"/>
          </w:tcPr>
          <w:p w14:paraId="7F563951" w14:textId="77777777" w:rsidR="003E0F58" w:rsidRPr="002C3E3C" w:rsidRDefault="003E0F58" w:rsidP="004D2249">
            <w:pPr>
              <w:jc w:val="left"/>
              <w:rPr>
                <w:rFonts w:eastAsia="Calibri" w:cs="Times New Roman"/>
                <w:color w:val="FF0000"/>
                <w:sz w:val="20"/>
                <w:szCs w:val="20"/>
              </w:rPr>
            </w:pPr>
            <w:r w:rsidRPr="002C3E3C">
              <w:rPr>
                <w:rFonts w:eastAsia="Calibri" w:cs="Times New Roman"/>
                <w:color w:val="FF0000"/>
                <w:sz w:val="20"/>
                <w:szCs w:val="20"/>
              </w:rPr>
              <w:t>Častější periody vys. teplot a sucha</w:t>
            </w:r>
          </w:p>
          <w:p w14:paraId="29E1E691" w14:textId="77777777" w:rsidR="003E0F58" w:rsidRPr="002C3E3C" w:rsidRDefault="003E0F58" w:rsidP="004D2249">
            <w:pPr>
              <w:jc w:val="left"/>
              <w:rPr>
                <w:rFonts w:eastAsia="Calibri" w:cs="Times New Roman"/>
                <w:sz w:val="20"/>
                <w:szCs w:val="20"/>
              </w:rPr>
            </w:pPr>
          </w:p>
          <w:p w14:paraId="5A57122E" w14:textId="77777777" w:rsidR="003E0F58" w:rsidRPr="0040227B" w:rsidRDefault="003E0F58" w:rsidP="004D2249">
            <w:pPr>
              <w:jc w:val="left"/>
              <w:rPr>
                <w:rFonts w:eastAsia="Calibri" w:cs="Times New Roman"/>
                <w:sz w:val="20"/>
                <w:szCs w:val="20"/>
              </w:rPr>
            </w:pPr>
            <w:r w:rsidRPr="0040227B">
              <w:rPr>
                <w:rFonts w:eastAsia="Calibri" w:cs="Times New Roman"/>
                <w:sz w:val="20"/>
                <w:szCs w:val="20"/>
              </w:rPr>
              <w:t>Nižší sch. zachytit vodu</w:t>
            </w:r>
          </w:p>
          <w:p w14:paraId="59614FD1" w14:textId="77777777" w:rsidR="003E0F58" w:rsidRPr="0040227B" w:rsidRDefault="003E0F58" w:rsidP="004D2249">
            <w:pPr>
              <w:jc w:val="left"/>
              <w:rPr>
                <w:rFonts w:eastAsia="Calibri" w:cs="Times New Roman"/>
                <w:sz w:val="20"/>
                <w:szCs w:val="20"/>
              </w:rPr>
            </w:pPr>
          </w:p>
          <w:p w14:paraId="053FEE5B" w14:textId="77777777" w:rsidR="003E0F58" w:rsidRPr="0040227B" w:rsidRDefault="003E0F58" w:rsidP="004D2249">
            <w:pPr>
              <w:jc w:val="left"/>
              <w:rPr>
                <w:rFonts w:eastAsia="Calibri" w:cs="Times New Roman"/>
                <w:sz w:val="20"/>
                <w:szCs w:val="20"/>
              </w:rPr>
            </w:pPr>
            <w:r w:rsidRPr="0040227B">
              <w:rPr>
                <w:rFonts w:eastAsia="Calibri" w:cs="Times New Roman"/>
                <w:sz w:val="20"/>
                <w:szCs w:val="20"/>
              </w:rPr>
              <w:t>Odvodnění pozemků</w:t>
            </w:r>
          </w:p>
          <w:p w14:paraId="00A7BBFB" w14:textId="77777777" w:rsidR="003E0F58" w:rsidRPr="0040227B" w:rsidRDefault="003E0F58" w:rsidP="004D2249">
            <w:pPr>
              <w:jc w:val="left"/>
              <w:rPr>
                <w:rFonts w:eastAsia="Calibri" w:cs="Times New Roman"/>
                <w:sz w:val="20"/>
                <w:szCs w:val="20"/>
              </w:rPr>
            </w:pPr>
          </w:p>
          <w:p w14:paraId="3DE33206" w14:textId="77777777" w:rsidR="003E0F58" w:rsidRPr="0040227B" w:rsidRDefault="003E0F58" w:rsidP="004D2249">
            <w:pPr>
              <w:jc w:val="left"/>
              <w:rPr>
                <w:rFonts w:eastAsia="Calibri" w:cs="Times New Roman"/>
                <w:sz w:val="20"/>
                <w:szCs w:val="20"/>
              </w:rPr>
            </w:pPr>
            <w:r w:rsidRPr="0040227B">
              <w:rPr>
                <w:rFonts w:eastAsia="Calibri" w:cs="Times New Roman"/>
                <w:sz w:val="20"/>
                <w:szCs w:val="20"/>
              </w:rPr>
              <w:t>Nízký přísun org. hmoty</w:t>
            </w:r>
          </w:p>
        </w:tc>
        <w:tc>
          <w:tcPr>
            <w:tcW w:w="2268" w:type="dxa"/>
          </w:tcPr>
          <w:p w14:paraId="5002DF9B" w14:textId="77777777" w:rsidR="003E0F58" w:rsidRPr="0040227B" w:rsidRDefault="003E0F58" w:rsidP="004D2249">
            <w:pPr>
              <w:jc w:val="left"/>
              <w:rPr>
                <w:rFonts w:eastAsia="Calibri" w:cs="Times New Roman"/>
                <w:sz w:val="20"/>
                <w:szCs w:val="20"/>
              </w:rPr>
            </w:pPr>
            <w:r w:rsidRPr="0040227B">
              <w:rPr>
                <w:rFonts w:eastAsia="Calibri" w:cs="Times New Roman"/>
                <w:sz w:val="20"/>
                <w:szCs w:val="20"/>
              </w:rPr>
              <w:t xml:space="preserve">Tento faktor není ovlivnitelný </w:t>
            </w:r>
          </w:p>
          <w:p w14:paraId="194910EE" w14:textId="77777777" w:rsidR="003E0F58" w:rsidRPr="0040227B" w:rsidRDefault="003E0F58" w:rsidP="004D2249">
            <w:pPr>
              <w:jc w:val="left"/>
              <w:rPr>
                <w:rFonts w:eastAsia="Calibri" w:cs="Times New Roman"/>
                <w:sz w:val="20"/>
                <w:szCs w:val="20"/>
              </w:rPr>
            </w:pPr>
          </w:p>
          <w:p w14:paraId="231B4936" w14:textId="77777777" w:rsidR="003E0F58" w:rsidRPr="0040227B" w:rsidRDefault="003E0F58" w:rsidP="004D2249">
            <w:pPr>
              <w:jc w:val="left"/>
              <w:rPr>
                <w:rFonts w:eastAsia="Calibri" w:cs="Times New Roman"/>
                <w:sz w:val="20"/>
                <w:szCs w:val="20"/>
              </w:rPr>
            </w:pPr>
          </w:p>
          <w:p w14:paraId="68D472C8" w14:textId="77777777" w:rsidR="003E0F58" w:rsidRPr="0040227B" w:rsidRDefault="003E0F58" w:rsidP="004D2249">
            <w:pPr>
              <w:jc w:val="left"/>
              <w:rPr>
                <w:rFonts w:eastAsia="Calibri" w:cs="Times New Roman"/>
                <w:sz w:val="20"/>
                <w:szCs w:val="20"/>
              </w:rPr>
            </w:pPr>
            <w:r w:rsidRPr="0040227B">
              <w:rPr>
                <w:rFonts w:eastAsia="Calibri" w:cs="Times New Roman"/>
                <w:sz w:val="20"/>
                <w:szCs w:val="20"/>
              </w:rPr>
              <w:t>Orba</w:t>
            </w:r>
          </w:p>
          <w:p w14:paraId="39445E83" w14:textId="77777777" w:rsidR="003E0F58" w:rsidRPr="0040227B" w:rsidRDefault="003E0F58" w:rsidP="004D2249">
            <w:pPr>
              <w:jc w:val="left"/>
              <w:rPr>
                <w:rFonts w:eastAsia="Calibri" w:cs="Times New Roman"/>
                <w:sz w:val="20"/>
                <w:szCs w:val="20"/>
              </w:rPr>
            </w:pPr>
          </w:p>
          <w:p w14:paraId="0EEAAB19" w14:textId="77777777" w:rsidR="003E0F58" w:rsidRPr="0040227B" w:rsidRDefault="003E0F58" w:rsidP="004D2249">
            <w:pPr>
              <w:jc w:val="left"/>
              <w:rPr>
                <w:rFonts w:eastAsia="Calibri" w:cs="Times New Roman"/>
                <w:sz w:val="20"/>
                <w:szCs w:val="20"/>
              </w:rPr>
            </w:pPr>
            <w:r w:rsidRPr="0040227B">
              <w:rPr>
                <w:rFonts w:eastAsia="Calibri" w:cs="Times New Roman"/>
                <w:sz w:val="20"/>
                <w:szCs w:val="20"/>
              </w:rPr>
              <w:t>Zrušili ž.v.</w:t>
            </w:r>
          </w:p>
          <w:p w14:paraId="5BB299F3" w14:textId="77777777" w:rsidR="003E0F58" w:rsidRPr="0040227B" w:rsidRDefault="003E0F58" w:rsidP="004D2249">
            <w:pPr>
              <w:jc w:val="left"/>
              <w:rPr>
                <w:rFonts w:eastAsia="Calibri" w:cs="Times New Roman"/>
                <w:sz w:val="20"/>
                <w:szCs w:val="20"/>
              </w:rPr>
            </w:pPr>
          </w:p>
          <w:p w14:paraId="6DC8DE22" w14:textId="77777777" w:rsidR="003E0F58" w:rsidRPr="0040227B" w:rsidRDefault="003E0F58" w:rsidP="004D2249">
            <w:pPr>
              <w:jc w:val="left"/>
              <w:rPr>
                <w:rFonts w:eastAsia="Calibri" w:cs="Times New Roman"/>
                <w:sz w:val="20"/>
                <w:szCs w:val="20"/>
              </w:rPr>
            </w:pPr>
            <w:r w:rsidRPr="0040227B">
              <w:rPr>
                <w:rFonts w:eastAsia="Calibri" w:cs="Times New Roman"/>
                <w:sz w:val="20"/>
                <w:szCs w:val="20"/>
              </w:rPr>
              <w:t>Vys. dávky prům „N“ hnojiv</w:t>
            </w:r>
          </w:p>
          <w:p w14:paraId="4DFEBCE8" w14:textId="77777777" w:rsidR="003E0F58" w:rsidRPr="0040227B" w:rsidRDefault="003E0F58" w:rsidP="004D2249">
            <w:pPr>
              <w:jc w:val="left"/>
              <w:rPr>
                <w:rFonts w:eastAsia="Calibri" w:cs="Times New Roman"/>
                <w:sz w:val="20"/>
                <w:szCs w:val="20"/>
              </w:rPr>
            </w:pPr>
          </w:p>
          <w:p w14:paraId="40A1E22E" w14:textId="77777777" w:rsidR="003E0F58" w:rsidRPr="0040227B" w:rsidRDefault="003E0F58" w:rsidP="004D2249">
            <w:pPr>
              <w:jc w:val="left"/>
              <w:rPr>
                <w:rFonts w:eastAsia="Calibri" w:cs="Times New Roman"/>
                <w:sz w:val="20"/>
                <w:szCs w:val="20"/>
              </w:rPr>
            </w:pPr>
            <w:r w:rsidRPr="0040227B">
              <w:rPr>
                <w:rFonts w:eastAsia="Calibri" w:cs="Times New Roman"/>
                <w:sz w:val="20"/>
                <w:szCs w:val="20"/>
              </w:rPr>
              <w:t>Příliš 1-letých plodin</w:t>
            </w:r>
          </w:p>
          <w:p w14:paraId="1D6EC6A5" w14:textId="77777777" w:rsidR="003E0F58" w:rsidRPr="0040227B" w:rsidRDefault="003E0F58" w:rsidP="004D2249">
            <w:pPr>
              <w:jc w:val="left"/>
              <w:rPr>
                <w:rFonts w:eastAsia="Calibri" w:cs="Times New Roman"/>
                <w:sz w:val="20"/>
                <w:szCs w:val="20"/>
              </w:rPr>
            </w:pPr>
          </w:p>
          <w:p w14:paraId="3DC769CE" w14:textId="77777777" w:rsidR="003E0F58" w:rsidRPr="0040227B" w:rsidRDefault="003E0F58" w:rsidP="004D2249">
            <w:pPr>
              <w:jc w:val="left"/>
              <w:rPr>
                <w:rFonts w:eastAsia="Calibri" w:cs="Times New Roman"/>
                <w:sz w:val="20"/>
                <w:szCs w:val="20"/>
              </w:rPr>
            </w:pPr>
            <w:r w:rsidRPr="0040227B">
              <w:rPr>
                <w:rFonts w:eastAsia="Calibri" w:cs="Times New Roman"/>
                <w:sz w:val="20"/>
                <w:szCs w:val="20"/>
              </w:rPr>
              <w:t>Nepěstují víceleté plodiny</w:t>
            </w:r>
          </w:p>
          <w:p w14:paraId="2632D0B7" w14:textId="77777777" w:rsidR="003E0F58" w:rsidRPr="0040227B" w:rsidRDefault="003E0F58" w:rsidP="004D2249">
            <w:pPr>
              <w:jc w:val="left"/>
              <w:rPr>
                <w:rFonts w:eastAsia="Calibri" w:cs="Times New Roman"/>
                <w:sz w:val="20"/>
                <w:szCs w:val="20"/>
              </w:rPr>
            </w:pPr>
          </w:p>
          <w:p w14:paraId="067DBDE6" w14:textId="77777777" w:rsidR="003E0F58" w:rsidRPr="0040227B" w:rsidRDefault="003E0F58" w:rsidP="004D2249">
            <w:pPr>
              <w:jc w:val="left"/>
              <w:rPr>
                <w:rFonts w:eastAsia="Calibri" w:cs="Times New Roman"/>
                <w:sz w:val="20"/>
                <w:szCs w:val="20"/>
              </w:rPr>
            </w:pPr>
            <w:r w:rsidRPr="0040227B">
              <w:rPr>
                <w:rFonts w:eastAsia="Calibri" w:cs="Times New Roman"/>
                <w:sz w:val="20"/>
                <w:szCs w:val="20"/>
              </w:rPr>
              <w:t>Nevyužívají meziplodiny</w:t>
            </w:r>
          </w:p>
          <w:p w14:paraId="20EAC3A0" w14:textId="77777777" w:rsidR="003E0F58" w:rsidRPr="0040227B" w:rsidRDefault="003E0F58" w:rsidP="004D2249">
            <w:pPr>
              <w:jc w:val="left"/>
              <w:rPr>
                <w:rFonts w:eastAsia="Calibri" w:cs="Times New Roman"/>
                <w:sz w:val="20"/>
                <w:szCs w:val="20"/>
              </w:rPr>
            </w:pPr>
          </w:p>
        </w:tc>
        <w:tc>
          <w:tcPr>
            <w:tcW w:w="1701" w:type="dxa"/>
          </w:tcPr>
          <w:p w14:paraId="695F84E6" w14:textId="77777777" w:rsidR="003E0F58" w:rsidRPr="0040227B" w:rsidRDefault="003E0F58" w:rsidP="004D2249">
            <w:pPr>
              <w:jc w:val="left"/>
              <w:rPr>
                <w:rFonts w:eastAsia="Calibri" w:cs="Times New Roman"/>
                <w:sz w:val="20"/>
                <w:szCs w:val="20"/>
              </w:rPr>
            </w:pPr>
            <w:r w:rsidRPr="0040227B">
              <w:rPr>
                <w:rFonts w:eastAsia="Calibri" w:cs="Times New Roman"/>
                <w:sz w:val="20"/>
                <w:szCs w:val="20"/>
              </w:rPr>
              <w:t>Omezit orbu</w:t>
            </w:r>
          </w:p>
          <w:p w14:paraId="107A591A" w14:textId="77777777" w:rsidR="003E0F58" w:rsidRPr="0040227B" w:rsidRDefault="003E0F58" w:rsidP="004D2249">
            <w:pPr>
              <w:jc w:val="left"/>
              <w:rPr>
                <w:rFonts w:eastAsia="Calibri" w:cs="Times New Roman"/>
                <w:sz w:val="20"/>
                <w:szCs w:val="20"/>
              </w:rPr>
            </w:pPr>
          </w:p>
          <w:p w14:paraId="40B9035A" w14:textId="77777777" w:rsidR="003E0F58" w:rsidRPr="0040227B" w:rsidRDefault="003E0F58" w:rsidP="004D2249">
            <w:pPr>
              <w:jc w:val="left"/>
              <w:rPr>
                <w:rFonts w:eastAsia="Calibri" w:cs="Times New Roman"/>
                <w:sz w:val="20"/>
                <w:szCs w:val="20"/>
              </w:rPr>
            </w:pPr>
            <w:r w:rsidRPr="0040227B">
              <w:rPr>
                <w:rFonts w:eastAsia="Calibri" w:cs="Times New Roman"/>
                <w:sz w:val="20"/>
                <w:szCs w:val="20"/>
              </w:rPr>
              <w:t>Zvýšit stavy h.z.</w:t>
            </w:r>
          </w:p>
          <w:p w14:paraId="14C2636C" w14:textId="77777777" w:rsidR="003E0F58" w:rsidRPr="0040227B" w:rsidRDefault="003E0F58" w:rsidP="004D2249">
            <w:pPr>
              <w:jc w:val="left"/>
              <w:rPr>
                <w:rFonts w:eastAsia="Calibri" w:cs="Times New Roman"/>
                <w:sz w:val="20"/>
                <w:szCs w:val="20"/>
              </w:rPr>
            </w:pPr>
          </w:p>
          <w:p w14:paraId="006CE3E8" w14:textId="77777777" w:rsidR="003E0F58" w:rsidRPr="0040227B" w:rsidRDefault="003E0F58" w:rsidP="004D2249">
            <w:pPr>
              <w:jc w:val="left"/>
              <w:rPr>
                <w:rFonts w:eastAsia="Calibri" w:cs="Times New Roman"/>
                <w:sz w:val="20"/>
                <w:szCs w:val="20"/>
              </w:rPr>
            </w:pPr>
            <w:r w:rsidRPr="0040227B">
              <w:rPr>
                <w:rFonts w:eastAsia="Calibri" w:cs="Times New Roman"/>
                <w:sz w:val="20"/>
                <w:szCs w:val="20"/>
              </w:rPr>
              <w:t>Snížit dávky prům. „N“</w:t>
            </w:r>
          </w:p>
          <w:p w14:paraId="6C6FDB33" w14:textId="77777777" w:rsidR="003E0F58" w:rsidRPr="0040227B" w:rsidRDefault="003E0F58" w:rsidP="004D2249">
            <w:pPr>
              <w:jc w:val="left"/>
              <w:rPr>
                <w:rFonts w:eastAsia="Calibri" w:cs="Times New Roman"/>
                <w:sz w:val="20"/>
                <w:szCs w:val="20"/>
              </w:rPr>
            </w:pPr>
          </w:p>
          <w:p w14:paraId="1A391BE8" w14:textId="77777777" w:rsidR="003E0F58" w:rsidRPr="0040227B" w:rsidRDefault="003E0F58" w:rsidP="004D2249">
            <w:pPr>
              <w:jc w:val="left"/>
              <w:rPr>
                <w:rFonts w:eastAsia="Calibri" w:cs="Times New Roman"/>
                <w:sz w:val="20"/>
                <w:szCs w:val="20"/>
              </w:rPr>
            </w:pPr>
            <w:r w:rsidRPr="0040227B">
              <w:rPr>
                <w:rFonts w:eastAsia="Calibri" w:cs="Times New Roman"/>
                <w:sz w:val="20"/>
                <w:szCs w:val="20"/>
              </w:rPr>
              <w:t>Omezit 1 leté plodiny</w:t>
            </w:r>
          </w:p>
          <w:p w14:paraId="1BF05359" w14:textId="77777777" w:rsidR="003E0F58" w:rsidRPr="0040227B" w:rsidRDefault="003E0F58" w:rsidP="004D2249">
            <w:pPr>
              <w:jc w:val="left"/>
              <w:rPr>
                <w:rFonts w:eastAsia="Calibri" w:cs="Times New Roman"/>
                <w:sz w:val="20"/>
                <w:szCs w:val="20"/>
              </w:rPr>
            </w:pPr>
          </w:p>
          <w:p w14:paraId="6DBA3C6B" w14:textId="77777777" w:rsidR="003E0F58" w:rsidRPr="0040227B" w:rsidRDefault="003E0F58" w:rsidP="004D2249">
            <w:pPr>
              <w:jc w:val="left"/>
              <w:rPr>
                <w:rFonts w:eastAsia="Calibri" w:cs="Times New Roman"/>
                <w:sz w:val="20"/>
                <w:szCs w:val="20"/>
              </w:rPr>
            </w:pPr>
            <w:r w:rsidRPr="0040227B">
              <w:rPr>
                <w:rFonts w:eastAsia="Calibri" w:cs="Times New Roman"/>
                <w:sz w:val="20"/>
                <w:szCs w:val="20"/>
              </w:rPr>
              <w:t>Zvýšit podíl víceletých</w:t>
            </w:r>
          </w:p>
          <w:p w14:paraId="1CACD2D4" w14:textId="77777777" w:rsidR="003E0F58" w:rsidRPr="0040227B" w:rsidRDefault="003E0F58" w:rsidP="004D2249">
            <w:pPr>
              <w:jc w:val="left"/>
              <w:rPr>
                <w:rFonts w:eastAsia="Calibri" w:cs="Times New Roman"/>
                <w:sz w:val="20"/>
                <w:szCs w:val="20"/>
              </w:rPr>
            </w:pPr>
          </w:p>
          <w:p w14:paraId="2D20CF88" w14:textId="77777777" w:rsidR="003E0F58" w:rsidRPr="0040227B" w:rsidRDefault="003E0F58" w:rsidP="004D2249">
            <w:pPr>
              <w:jc w:val="left"/>
              <w:rPr>
                <w:rFonts w:eastAsia="Calibri" w:cs="Times New Roman"/>
                <w:sz w:val="20"/>
                <w:szCs w:val="20"/>
              </w:rPr>
            </w:pPr>
            <w:r w:rsidRPr="0040227B">
              <w:rPr>
                <w:rFonts w:eastAsia="Calibri" w:cs="Times New Roman"/>
                <w:sz w:val="20"/>
                <w:szCs w:val="20"/>
              </w:rPr>
              <w:t>Zvýšit pěstování meziplodin</w:t>
            </w:r>
          </w:p>
          <w:p w14:paraId="5EC656F1" w14:textId="77777777" w:rsidR="003E0F58" w:rsidRPr="0040227B" w:rsidRDefault="003E0F58" w:rsidP="004D2249">
            <w:pPr>
              <w:jc w:val="left"/>
              <w:rPr>
                <w:rFonts w:eastAsia="Calibri" w:cs="Times New Roman"/>
                <w:sz w:val="20"/>
                <w:szCs w:val="20"/>
              </w:rPr>
            </w:pPr>
          </w:p>
          <w:p w14:paraId="7A0240C7" w14:textId="77777777" w:rsidR="003E0F58" w:rsidRPr="0040227B" w:rsidRDefault="003E0F58" w:rsidP="004D2249">
            <w:pPr>
              <w:jc w:val="left"/>
              <w:rPr>
                <w:rFonts w:eastAsia="Calibri" w:cs="Times New Roman"/>
                <w:sz w:val="20"/>
                <w:szCs w:val="20"/>
              </w:rPr>
            </w:pPr>
            <w:r w:rsidRPr="0040227B">
              <w:rPr>
                <w:rFonts w:eastAsia="Calibri" w:cs="Times New Roman"/>
                <w:sz w:val="20"/>
                <w:szCs w:val="20"/>
              </w:rPr>
              <w:t>Změna pěstovaných odrůd</w:t>
            </w:r>
          </w:p>
        </w:tc>
        <w:tc>
          <w:tcPr>
            <w:tcW w:w="1275" w:type="dxa"/>
          </w:tcPr>
          <w:p w14:paraId="437BFB58" w14:textId="77777777" w:rsidR="003E0F58" w:rsidRPr="0040227B" w:rsidRDefault="003E0F58" w:rsidP="004D2249">
            <w:pPr>
              <w:jc w:val="left"/>
              <w:rPr>
                <w:rFonts w:eastAsia="Calibri" w:cs="Times New Roman"/>
                <w:sz w:val="20"/>
                <w:szCs w:val="20"/>
              </w:rPr>
            </w:pPr>
            <w:r w:rsidRPr="0040227B">
              <w:rPr>
                <w:rFonts w:eastAsia="Calibri" w:cs="Times New Roman"/>
                <w:sz w:val="20"/>
                <w:szCs w:val="20"/>
              </w:rPr>
              <w:t>DZES</w:t>
            </w:r>
          </w:p>
          <w:p w14:paraId="06662BED" w14:textId="77777777" w:rsidR="003E0F58" w:rsidRPr="0040227B" w:rsidRDefault="003E0F58" w:rsidP="004D2249">
            <w:pPr>
              <w:jc w:val="left"/>
              <w:rPr>
                <w:rFonts w:cs="Times New Roman"/>
                <w:sz w:val="20"/>
                <w:szCs w:val="20"/>
              </w:rPr>
            </w:pPr>
          </w:p>
          <w:p w14:paraId="18AFC51E" w14:textId="77777777" w:rsidR="003E0F58" w:rsidRPr="0040227B" w:rsidRDefault="003E0F58" w:rsidP="004D2249">
            <w:pPr>
              <w:jc w:val="left"/>
              <w:rPr>
                <w:rFonts w:cs="Times New Roman"/>
                <w:sz w:val="20"/>
                <w:szCs w:val="20"/>
              </w:rPr>
            </w:pPr>
            <w:r w:rsidRPr="0040227B">
              <w:rPr>
                <w:rFonts w:cs="Times New Roman"/>
                <w:sz w:val="20"/>
                <w:szCs w:val="20"/>
              </w:rPr>
              <w:t>Bezorebné setí do mulče</w:t>
            </w:r>
          </w:p>
          <w:p w14:paraId="2A29D535" w14:textId="77777777" w:rsidR="003E0F58" w:rsidRPr="0040227B" w:rsidRDefault="003E0F58" w:rsidP="004D2249">
            <w:pPr>
              <w:jc w:val="left"/>
              <w:rPr>
                <w:rFonts w:cs="Times New Roman"/>
                <w:sz w:val="20"/>
                <w:szCs w:val="20"/>
              </w:rPr>
            </w:pPr>
          </w:p>
          <w:p w14:paraId="21E52CC5" w14:textId="77777777" w:rsidR="003E0F58" w:rsidRPr="0040227B" w:rsidRDefault="003E0F58" w:rsidP="004D2249">
            <w:pPr>
              <w:jc w:val="left"/>
              <w:rPr>
                <w:rFonts w:cs="Times New Roman"/>
                <w:sz w:val="20"/>
                <w:szCs w:val="20"/>
              </w:rPr>
            </w:pPr>
            <w:r w:rsidRPr="0040227B">
              <w:rPr>
                <w:rFonts w:cs="Times New Roman"/>
                <w:sz w:val="20"/>
                <w:szCs w:val="20"/>
              </w:rPr>
              <w:t>podpora aplikace organických hnojiv</w:t>
            </w:r>
            <w:r w:rsidRPr="0040227B" w:rsidDel="00284508">
              <w:rPr>
                <w:rFonts w:cs="Times New Roman"/>
                <w:sz w:val="20"/>
                <w:szCs w:val="20"/>
              </w:rPr>
              <w:t xml:space="preserve"> </w:t>
            </w:r>
          </w:p>
          <w:p w14:paraId="6FF34539" w14:textId="77777777" w:rsidR="003E0F58" w:rsidRPr="0040227B" w:rsidRDefault="003E0F58" w:rsidP="004D2249">
            <w:pPr>
              <w:jc w:val="left"/>
              <w:rPr>
                <w:rFonts w:cs="Times New Roman"/>
                <w:sz w:val="20"/>
                <w:szCs w:val="20"/>
              </w:rPr>
            </w:pPr>
          </w:p>
          <w:p w14:paraId="62B39CBB" w14:textId="77777777" w:rsidR="003E0F58" w:rsidRPr="0040227B" w:rsidRDefault="003E0F58" w:rsidP="004D2249">
            <w:pPr>
              <w:jc w:val="left"/>
              <w:rPr>
                <w:rFonts w:eastAsia="Calibri" w:cs="Times New Roman"/>
                <w:sz w:val="20"/>
                <w:szCs w:val="20"/>
              </w:rPr>
            </w:pPr>
            <w:r w:rsidRPr="0040227B">
              <w:rPr>
                <w:rFonts w:eastAsia="Calibri" w:cs="Times New Roman"/>
                <w:sz w:val="20"/>
                <w:szCs w:val="20"/>
              </w:rPr>
              <w:t>Podpora investic vybraných technologií</w:t>
            </w:r>
          </w:p>
          <w:p w14:paraId="1F90AA0C" w14:textId="77777777" w:rsidR="003E0F58" w:rsidRPr="0040227B" w:rsidRDefault="003E0F58" w:rsidP="004D2249">
            <w:pPr>
              <w:jc w:val="left"/>
              <w:rPr>
                <w:rFonts w:eastAsia="Calibri" w:cs="Times New Roman"/>
                <w:sz w:val="20"/>
                <w:szCs w:val="20"/>
              </w:rPr>
            </w:pPr>
          </w:p>
          <w:p w14:paraId="0BD8485B" w14:textId="77777777" w:rsidR="003E0F58" w:rsidRPr="0040227B" w:rsidRDefault="003E0F58" w:rsidP="004D2249">
            <w:pPr>
              <w:jc w:val="left"/>
              <w:rPr>
                <w:rFonts w:eastAsia="Calibri" w:cs="Times New Roman"/>
                <w:sz w:val="20"/>
                <w:szCs w:val="20"/>
              </w:rPr>
            </w:pPr>
            <w:r w:rsidRPr="0040227B">
              <w:rPr>
                <w:rFonts w:eastAsia="Calibri" w:cs="Times New Roman"/>
                <w:sz w:val="20"/>
                <w:szCs w:val="20"/>
              </w:rPr>
              <w:t>Náhrada 1letých víceletými plodinami</w:t>
            </w:r>
          </w:p>
          <w:p w14:paraId="035C952B" w14:textId="77777777" w:rsidR="003E0F58" w:rsidRPr="0040227B" w:rsidRDefault="003E0F58" w:rsidP="004D2249">
            <w:pPr>
              <w:jc w:val="left"/>
              <w:rPr>
                <w:rFonts w:eastAsia="Calibri" w:cs="Times New Roman"/>
                <w:sz w:val="20"/>
                <w:szCs w:val="20"/>
              </w:rPr>
            </w:pPr>
          </w:p>
          <w:p w14:paraId="11D33863" w14:textId="77777777" w:rsidR="003E0F58" w:rsidRPr="0040227B" w:rsidRDefault="003E0F58" w:rsidP="004D2249">
            <w:pPr>
              <w:jc w:val="left"/>
              <w:rPr>
                <w:rFonts w:eastAsia="Calibri" w:cs="Times New Roman"/>
                <w:sz w:val="20"/>
                <w:szCs w:val="20"/>
              </w:rPr>
            </w:pPr>
            <w:r w:rsidRPr="0040227B">
              <w:rPr>
                <w:rFonts w:eastAsia="Calibri" w:cs="Times New Roman"/>
                <w:sz w:val="20"/>
                <w:szCs w:val="20"/>
              </w:rPr>
              <w:t>Meziplodiny</w:t>
            </w:r>
          </w:p>
          <w:p w14:paraId="6F26F66B" w14:textId="77777777" w:rsidR="003E0F58" w:rsidRPr="0040227B" w:rsidRDefault="003E0F58" w:rsidP="004D2249">
            <w:pPr>
              <w:jc w:val="left"/>
              <w:rPr>
                <w:rFonts w:eastAsia="Calibri" w:cs="Times New Roman"/>
                <w:sz w:val="20"/>
                <w:szCs w:val="20"/>
              </w:rPr>
            </w:pPr>
          </w:p>
          <w:p w14:paraId="44C85983" w14:textId="77777777" w:rsidR="003E0F58" w:rsidRPr="0040227B" w:rsidRDefault="003E0F58" w:rsidP="004D2249">
            <w:pPr>
              <w:jc w:val="left"/>
              <w:rPr>
                <w:rFonts w:eastAsia="Calibri" w:cs="Times New Roman"/>
                <w:sz w:val="20"/>
                <w:szCs w:val="20"/>
              </w:rPr>
            </w:pPr>
            <w:r w:rsidRPr="0040227B">
              <w:rPr>
                <w:rFonts w:eastAsia="Calibri" w:cs="Times New Roman"/>
                <w:sz w:val="20"/>
                <w:szCs w:val="20"/>
              </w:rPr>
              <w:lastRenderedPageBreak/>
              <w:t>Nové odrůdy</w:t>
            </w:r>
          </w:p>
        </w:tc>
        <w:tc>
          <w:tcPr>
            <w:tcW w:w="1134" w:type="dxa"/>
          </w:tcPr>
          <w:p w14:paraId="551ECD22" w14:textId="77777777" w:rsidR="003E0F58" w:rsidRPr="0040227B" w:rsidRDefault="003E0F58" w:rsidP="004D2249">
            <w:pPr>
              <w:jc w:val="left"/>
              <w:rPr>
                <w:rFonts w:eastAsia="Calibri" w:cs="Times New Roman"/>
                <w:sz w:val="20"/>
                <w:szCs w:val="20"/>
              </w:rPr>
            </w:pPr>
            <w:r w:rsidRPr="0040227B">
              <w:rPr>
                <w:rFonts w:eastAsia="Calibri" w:cs="Times New Roman"/>
                <w:sz w:val="20"/>
                <w:szCs w:val="20"/>
              </w:rPr>
              <w:lastRenderedPageBreak/>
              <w:t>Investice do majetku</w:t>
            </w:r>
          </w:p>
          <w:p w14:paraId="19B06353" w14:textId="77777777" w:rsidR="003E0F58" w:rsidRPr="0040227B" w:rsidRDefault="003E0F58" w:rsidP="004D2249">
            <w:pPr>
              <w:jc w:val="left"/>
              <w:rPr>
                <w:rFonts w:eastAsia="Calibri" w:cs="Times New Roman"/>
                <w:sz w:val="20"/>
                <w:szCs w:val="20"/>
              </w:rPr>
            </w:pPr>
          </w:p>
          <w:p w14:paraId="1EDF360E" w14:textId="77777777" w:rsidR="003E0F58" w:rsidRPr="0040227B" w:rsidRDefault="003E0F58" w:rsidP="004D2249">
            <w:pPr>
              <w:jc w:val="left"/>
              <w:rPr>
                <w:rFonts w:eastAsia="Calibri" w:cs="Times New Roman"/>
                <w:sz w:val="20"/>
                <w:szCs w:val="20"/>
              </w:rPr>
            </w:pPr>
          </w:p>
          <w:p w14:paraId="742974D3" w14:textId="77777777" w:rsidR="003E0F58" w:rsidRPr="0040227B" w:rsidRDefault="003E0F58" w:rsidP="004D2249">
            <w:pPr>
              <w:jc w:val="left"/>
              <w:rPr>
                <w:rFonts w:eastAsia="Calibri" w:cs="Times New Roman"/>
                <w:sz w:val="20"/>
                <w:szCs w:val="20"/>
              </w:rPr>
            </w:pPr>
            <w:r w:rsidRPr="0040227B">
              <w:rPr>
                <w:rFonts w:eastAsia="Calibri" w:cs="Times New Roman"/>
                <w:sz w:val="20"/>
                <w:szCs w:val="20"/>
              </w:rPr>
              <w:t>Ekorežimy</w:t>
            </w:r>
          </w:p>
          <w:p w14:paraId="7573B644" w14:textId="77777777" w:rsidR="003E0F58" w:rsidRPr="0040227B" w:rsidRDefault="003E0F58" w:rsidP="004D2249">
            <w:pPr>
              <w:jc w:val="left"/>
              <w:rPr>
                <w:rFonts w:eastAsia="Calibri" w:cs="Times New Roman"/>
                <w:sz w:val="20"/>
                <w:szCs w:val="20"/>
              </w:rPr>
            </w:pPr>
          </w:p>
          <w:p w14:paraId="73243308" w14:textId="77777777" w:rsidR="003E0F58" w:rsidRPr="0040227B" w:rsidRDefault="003E0F58" w:rsidP="004D2249">
            <w:pPr>
              <w:jc w:val="left"/>
              <w:rPr>
                <w:rFonts w:eastAsia="Calibri" w:cs="Times New Roman"/>
                <w:sz w:val="20"/>
                <w:szCs w:val="20"/>
              </w:rPr>
            </w:pPr>
            <w:r w:rsidRPr="0040227B">
              <w:rPr>
                <w:rFonts w:eastAsia="Calibri" w:cs="Times New Roman"/>
                <w:sz w:val="20"/>
                <w:szCs w:val="20"/>
              </w:rPr>
              <w:t>AEKO</w:t>
            </w:r>
          </w:p>
        </w:tc>
      </w:tr>
    </w:tbl>
    <w:p w14:paraId="3460C9A6" w14:textId="77777777" w:rsidR="003E0F58" w:rsidRPr="007C705C" w:rsidRDefault="003E0F58" w:rsidP="00E842EA">
      <w:pPr>
        <w:pStyle w:val="UZEIZdroj"/>
      </w:pPr>
      <w:r w:rsidRPr="007C705C">
        <w:rPr>
          <w:b/>
          <w:color w:val="FF0000"/>
        </w:rPr>
        <w:t>Červeně/tučně</w:t>
      </w:r>
      <w:r w:rsidRPr="007C705C">
        <w:rPr>
          <w:color w:val="FF0000"/>
        </w:rPr>
        <w:t xml:space="preserve"> </w:t>
      </w:r>
      <w:r w:rsidRPr="007C705C">
        <w:t>= mimo dosah zemědělce – příčinu nemůže změnit, ani SZP nemá nástroje na řešení</w:t>
      </w:r>
    </w:p>
    <w:p w14:paraId="0024C478" w14:textId="77777777" w:rsidR="003E0F58" w:rsidRPr="007C705C" w:rsidRDefault="003E0F58" w:rsidP="00E842EA">
      <w:pPr>
        <w:pStyle w:val="UZEIZdroj"/>
      </w:pPr>
      <w:r w:rsidRPr="007C705C">
        <w:rPr>
          <w:b/>
          <w:color w:val="7030A0"/>
        </w:rPr>
        <w:t>Fialově/tučně</w:t>
      </w:r>
      <w:r w:rsidRPr="007C705C">
        <w:rPr>
          <w:color w:val="7030A0"/>
        </w:rPr>
        <w:t xml:space="preserve"> </w:t>
      </w:r>
      <w:r w:rsidRPr="007C705C">
        <w:t>= může ovlivnit jen do jisté míry</w:t>
      </w:r>
    </w:p>
    <w:p w14:paraId="7EEF5029" w14:textId="6B6D23BE" w:rsidR="003E0F58" w:rsidRPr="00E842EA" w:rsidRDefault="003E0F58" w:rsidP="00E842EA">
      <w:pPr>
        <w:pStyle w:val="UZEIZdroj"/>
      </w:pPr>
      <w:r w:rsidRPr="007C705C">
        <w:t>Zdroj: Pracovní skupina Klima, 2018</w:t>
      </w:r>
    </w:p>
    <w:p w14:paraId="3DE32C1B" w14:textId="55011387" w:rsidR="003E0F58" w:rsidRPr="007C705C" w:rsidRDefault="003E0F58" w:rsidP="00E842EA">
      <w:pPr>
        <w:pStyle w:val="UZEIOdrky"/>
        <w:rPr>
          <w:rFonts w:eastAsiaTheme="minorEastAsia"/>
        </w:rPr>
      </w:pPr>
      <w:r w:rsidRPr="007C705C">
        <w:rPr>
          <w:rFonts w:eastAsiaTheme="minorEastAsia"/>
        </w:rPr>
        <w:t>Šíření nových chorob, škůdců a plevelů</w:t>
      </w:r>
    </w:p>
    <w:p w14:paraId="4F1FE159" w14:textId="77777777" w:rsidR="003E0F58" w:rsidRPr="007C705C" w:rsidRDefault="003E0F58" w:rsidP="00E842EA">
      <w:pPr>
        <w:pStyle w:val="UZEINormaln"/>
        <w:rPr>
          <w:rFonts w:eastAsiaTheme="minorEastAsia"/>
        </w:rPr>
      </w:pPr>
      <w:r w:rsidRPr="007C705C">
        <w:rPr>
          <w:rFonts w:eastAsiaTheme="minorEastAsia"/>
        </w:rPr>
        <w:t xml:space="preserve">V současné době již existuje snaha ÚKZÚZ společně s výzkumnými institucemi o zavádění do praxe modelů predikce a rozhodovacích nástrojů integrované ochrany v souladu s rostlinolékařským zákonem. Nicméně toto tempo je zcela nedostatečné a procento využití zemědělskou praxí je velmi nízké. Současně pro řadu škodlivých organismů tyto modely chybí. Zcela pak chybí podpora šlechtění a testování nových odrůd vůči škodlivým organismům. </w:t>
      </w:r>
    </w:p>
    <w:p w14:paraId="1514EF7F" w14:textId="77777777" w:rsidR="003E0F58" w:rsidRPr="007C705C" w:rsidRDefault="003E0F58" w:rsidP="00E842EA">
      <w:pPr>
        <w:pStyle w:val="UZEINormaln"/>
        <w:rPr>
          <w:rFonts w:eastAsiaTheme="minorEastAsia"/>
        </w:rPr>
      </w:pPr>
      <w:r w:rsidRPr="007C705C">
        <w:rPr>
          <w:rFonts w:eastAsiaTheme="minorEastAsia"/>
        </w:rPr>
        <w:t>Efektivní opatření pro řešení problému šíření škodlivých organismů by měla zahrnovat dva základní okruhy:</w:t>
      </w:r>
    </w:p>
    <w:p w14:paraId="5F349EA5" w14:textId="2A51CDBA" w:rsidR="003E0F58" w:rsidRPr="007C705C" w:rsidRDefault="003E0F58" w:rsidP="008A1AE3">
      <w:pPr>
        <w:pStyle w:val="UZEINormaln"/>
        <w:numPr>
          <w:ilvl w:val="0"/>
          <w:numId w:val="40"/>
        </w:numPr>
        <w:rPr>
          <w:rFonts w:eastAsiaTheme="minorEastAsia"/>
        </w:rPr>
      </w:pPr>
      <w:r w:rsidRPr="007C705C">
        <w:rPr>
          <w:rFonts w:eastAsiaTheme="minorEastAsia"/>
        </w:rPr>
        <w:t xml:space="preserve">Podpora webových expertních systémů poskytujících včasné varování a podklady pro kvalifikované rozhodování zemědělců v ochraně rostlin. Tyto expertní systémy by měly být založeny na modelech populační dynamiky a rozhodovacích modelech, ve vazbě na prostorovou variabilitu průběhu počasí či jiných podmínek ovlivňujících výskyt škodlivých organismů a tím poskytovaly aktuální informace pro jednotlivé regiony v rámci ČR. </w:t>
      </w:r>
    </w:p>
    <w:p w14:paraId="0A61F3C0" w14:textId="41EA6F73" w:rsidR="003E0F58" w:rsidRPr="00E842EA" w:rsidRDefault="003E0F58" w:rsidP="008A1AE3">
      <w:pPr>
        <w:pStyle w:val="UZEINormaln"/>
        <w:numPr>
          <w:ilvl w:val="0"/>
          <w:numId w:val="40"/>
        </w:numPr>
        <w:rPr>
          <w:rFonts w:eastAsiaTheme="minorEastAsia"/>
        </w:rPr>
      </w:pPr>
      <w:r w:rsidRPr="007C705C">
        <w:rPr>
          <w:rFonts w:eastAsiaTheme="minorEastAsia"/>
        </w:rPr>
        <w:t>Podpora šlechtění a zkoušení odrůd z pohledu odolnosti na škodlivé organismy, zejména pak organismy s významným rizikem šíření v souvislosti se změnou klimatu.</w:t>
      </w:r>
    </w:p>
    <w:p w14:paraId="4277805A" w14:textId="694F26FB" w:rsidR="003E0F58" w:rsidRPr="007C705C" w:rsidRDefault="003E0F58" w:rsidP="00DE509C">
      <w:pPr>
        <w:pStyle w:val="UZEITaB"/>
        <w:rPr>
          <w:rFonts w:eastAsiaTheme="minorEastAsia" w:cs="Times New Roman"/>
        </w:rPr>
      </w:pPr>
      <w:r w:rsidRPr="00DE509C">
        <w:rPr>
          <w:rFonts w:eastAsia="Calibri"/>
        </w:rPr>
        <w:t xml:space="preserve"> </w:t>
      </w:r>
      <w:bookmarkStart w:id="359" w:name="_Toc77245840"/>
      <w:bookmarkStart w:id="360" w:name="_Toc94181604"/>
      <w:r w:rsidRPr="00DE509C">
        <w:rPr>
          <w:rFonts w:eastAsia="Calibri"/>
        </w:rPr>
        <w:t xml:space="preserve">Možnosti efektivního řešení problému v rámci nástrojů SZP - </w:t>
      </w:r>
      <w:r w:rsidRPr="00DE509C">
        <w:rPr>
          <w:rFonts w:eastAsiaTheme="minorEastAsia"/>
        </w:rPr>
        <w:t>Šíření nových chorob, škůdců a</w:t>
      </w:r>
      <w:r w:rsidR="00DE509C">
        <w:rPr>
          <w:rFonts w:eastAsiaTheme="minorEastAsia" w:cs="Times New Roman"/>
        </w:rPr>
        <w:t xml:space="preserve"> </w:t>
      </w:r>
      <w:r w:rsidRPr="00DE509C">
        <w:rPr>
          <w:rFonts w:eastAsiaTheme="minorEastAsia"/>
        </w:rPr>
        <w:t>plevelů</w:t>
      </w:r>
      <w:bookmarkEnd w:id="359"/>
      <w:bookmarkEnd w:id="360"/>
    </w:p>
    <w:tbl>
      <w:tblPr>
        <w:tblStyle w:val="Mkatabulky2"/>
        <w:tblpPr w:leftFromText="141" w:rightFromText="141" w:vertAnchor="text" w:horzAnchor="margin" w:tblpY="33"/>
        <w:tblW w:w="9322" w:type="dxa"/>
        <w:tblLayout w:type="fixed"/>
        <w:tblLook w:val="04A0" w:firstRow="1" w:lastRow="0" w:firstColumn="1" w:lastColumn="0" w:noHBand="0" w:noVBand="1"/>
      </w:tblPr>
      <w:tblGrid>
        <w:gridCol w:w="1384"/>
        <w:gridCol w:w="1418"/>
        <w:gridCol w:w="2268"/>
        <w:gridCol w:w="1701"/>
        <w:gridCol w:w="1275"/>
        <w:gridCol w:w="1276"/>
      </w:tblGrid>
      <w:tr w:rsidR="00DE509C" w:rsidRPr="007C705C" w14:paraId="173E7093" w14:textId="77777777" w:rsidTr="00DE509C">
        <w:tc>
          <w:tcPr>
            <w:tcW w:w="1384" w:type="dxa"/>
            <w:shd w:val="clear" w:color="auto" w:fill="E7E6E6" w:themeFill="background2"/>
          </w:tcPr>
          <w:p w14:paraId="51D65B13" w14:textId="77777777" w:rsidR="00DE509C" w:rsidRPr="007C705C" w:rsidRDefault="00DE509C" w:rsidP="00DE509C">
            <w:pPr>
              <w:jc w:val="left"/>
              <w:rPr>
                <w:rFonts w:eastAsia="Calibri" w:cs="Times New Roman"/>
                <w:b/>
                <w:sz w:val="20"/>
                <w:szCs w:val="20"/>
              </w:rPr>
            </w:pPr>
            <w:r w:rsidRPr="007C705C">
              <w:rPr>
                <w:rFonts w:eastAsia="Calibri" w:cs="Times New Roman"/>
                <w:b/>
                <w:sz w:val="20"/>
                <w:szCs w:val="20"/>
              </w:rPr>
              <w:t>Problém</w:t>
            </w:r>
          </w:p>
        </w:tc>
        <w:tc>
          <w:tcPr>
            <w:tcW w:w="1418" w:type="dxa"/>
            <w:shd w:val="clear" w:color="auto" w:fill="E7E6E6" w:themeFill="background2"/>
          </w:tcPr>
          <w:p w14:paraId="2770D2D4" w14:textId="77777777" w:rsidR="00DE509C" w:rsidRPr="007C705C" w:rsidRDefault="00DE509C" w:rsidP="00DE509C">
            <w:pPr>
              <w:jc w:val="left"/>
              <w:rPr>
                <w:rFonts w:eastAsia="Calibri" w:cs="Times New Roman"/>
                <w:b/>
                <w:sz w:val="20"/>
                <w:szCs w:val="20"/>
              </w:rPr>
            </w:pPr>
            <w:r w:rsidRPr="007C705C">
              <w:rPr>
                <w:rFonts w:eastAsia="Calibri" w:cs="Times New Roman"/>
                <w:b/>
                <w:sz w:val="20"/>
                <w:szCs w:val="20"/>
              </w:rPr>
              <w:t>Příčiny</w:t>
            </w:r>
          </w:p>
        </w:tc>
        <w:tc>
          <w:tcPr>
            <w:tcW w:w="2268" w:type="dxa"/>
            <w:shd w:val="clear" w:color="auto" w:fill="E7E6E6" w:themeFill="background2"/>
          </w:tcPr>
          <w:p w14:paraId="2E54CA36" w14:textId="77777777" w:rsidR="00DE509C" w:rsidRPr="007C705C" w:rsidRDefault="00DE509C" w:rsidP="00DE509C">
            <w:pPr>
              <w:jc w:val="left"/>
              <w:rPr>
                <w:rFonts w:eastAsia="Calibri" w:cs="Times New Roman"/>
                <w:b/>
                <w:sz w:val="20"/>
                <w:szCs w:val="20"/>
              </w:rPr>
            </w:pPr>
            <w:r w:rsidRPr="007C705C">
              <w:rPr>
                <w:rFonts w:eastAsia="Calibri" w:cs="Times New Roman"/>
                <w:b/>
                <w:sz w:val="20"/>
                <w:szCs w:val="20"/>
              </w:rPr>
              <w:t>Převládající chování/reakce zemědělců</w:t>
            </w:r>
          </w:p>
        </w:tc>
        <w:tc>
          <w:tcPr>
            <w:tcW w:w="1701" w:type="dxa"/>
            <w:shd w:val="clear" w:color="auto" w:fill="E7E6E6" w:themeFill="background2"/>
          </w:tcPr>
          <w:p w14:paraId="05DE4021" w14:textId="77777777" w:rsidR="00DE509C" w:rsidRPr="007C705C" w:rsidRDefault="00DE509C" w:rsidP="00DE509C">
            <w:pPr>
              <w:jc w:val="left"/>
              <w:rPr>
                <w:rFonts w:eastAsia="Calibri" w:cs="Times New Roman"/>
                <w:b/>
                <w:sz w:val="20"/>
                <w:szCs w:val="20"/>
              </w:rPr>
            </w:pPr>
            <w:r w:rsidRPr="007C705C">
              <w:rPr>
                <w:rFonts w:eastAsia="Calibri" w:cs="Times New Roman"/>
                <w:b/>
                <w:sz w:val="20"/>
                <w:szCs w:val="20"/>
              </w:rPr>
              <w:t>Nutná změna</w:t>
            </w:r>
          </w:p>
        </w:tc>
        <w:tc>
          <w:tcPr>
            <w:tcW w:w="1275" w:type="dxa"/>
            <w:shd w:val="clear" w:color="auto" w:fill="E7E6E6" w:themeFill="background2"/>
          </w:tcPr>
          <w:p w14:paraId="3A4EE28B" w14:textId="77777777" w:rsidR="00DE509C" w:rsidRPr="007C705C" w:rsidRDefault="00DE509C" w:rsidP="00DE509C">
            <w:pPr>
              <w:jc w:val="left"/>
              <w:rPr>
                <w:rFonts w:eastAsia="Calibri" w:cs="Times New Roman"/>
                <w:b/>
                <w:sz w:val="20"/>
                <w:szCs w:val="20"/>
              </w:rPr>
            </w:pPr>
            <w:r w:rsidRPr="007C705C">
              <w:rPr>
                <w:rFonts w:eastAsia="Calibri" w:cs="Times New Roman"/>
                <w:b/>
                <w:sz w:val="20"/>
                <w:szCs w:val="20"/>
              </w:rPr>
              <w:t>Prvek intervence</w:t>
            </w:r>
          </w:p>
        </w:tc>
        <w:tc>
          <w:tcPr>
            <w:tcW w:w="1276" w:type="dxa"/>
            <w:shd w:val="clear" w:color="auto" w:fill="E7E6E6" w:themeFill="background2"/>
          </w:tcPr>
          <w:p w14:paraId="7F55BCF1" w14:textId="77777777" w:rsidR="00DE509C" w:rsidRPr="007C705C" w:rsidRDefault="00DE509C" w:rsidP="00DE509C">
            <w:pPr>
              <w:jc w:val="left"/>
              <w:rPr>
                <w:rFonts w:eastAsia="Calibri" w:cs="Times New Roman"/>
                <w:b/>
                <w:sz w:val="20"/>
                <w:szCs w:val="20"/>
              </w:rPr>
            </w:pPr>
            <w:r w:rsidRPr="007C705C">
              <w:rPr>
                <w:rFonts w:eastAsia="Calibri" w:cs="Times New Roman"/>
                <w:b/>
                <w:sz w:val="20"/>
                <w:szCs w:val="20"/>
              </w:rPr>
              <w:t>Intervence</w:t>
            </w:r>
          </w:p>
        </w:tc>
      </w:tr>
      <w:tr w:rsidR="00DE509C" w:rsidRPr="007C705C" w14:paraId="75C6768E" w14:textId="77777777" w:rsidTr="00DE509C">
        <w:tc>
          <w:tcPr>
            <w:tcW w:w="1384" w:type="dxa"/>
          </w:tcPr>
          <w:p w14:paraId="5171772A" w14:textId="77777777" w:rsidR="00DE509C" w:rsidRPr="007C705C" w:rsidRDefault="00DE509C" w:rsidP="00DE509C">
            <w:pPr>
              <w:jc w:val="left"/>
              <w:rPr>
                <w:rFonts w:eastAsia="Calibri" w:cs="Times New Roman"/>
                <w:sz w:val="20"/>
                <w:szCs w:val="20"/>
              </w:rPr>
            </w:pPr>
            <w:r w:rsidRPr="007C705C">
              <w:rPr>
                <w:rFonts w:eastAsiaTheme="minorEastAsia" w:cs="Times New Roman"/>
                <w:sz w:val="20"/>
                <w:szCs w:val="20"/>
              </w:rPr>
              <w:t xml:space="preserve">Šíření nových chorob, škůdců a plevelů </w:t>
            </w:r>
          </w:p>
        </w:tc>
        <w:tc>
          <w:tcPr>
            <w:tcW w:w="1418" w:type="dxa"/>
          </w:tcPr>
          <w:p w14:paraId="08F57634" w14:textId="77777777" w:rsidR="00DE509C" w:rsidRPr="002C3E3C" w:rsidRDefault="00DE509C" w:rsidP="00DE509C">
            <w:pPr>
              <w:jc w:val="left"/>
              <w:rPr>
                <w:rFonts w:eastAsiaTheme="minorEastAsia" w:cs="Times New Roman"/>
                <w:color w:val="FF0000"/>
                <w:sz w:val="20"/>
                <w:szCs w:val="20"/>
              </w:rPr>
            </w:pPr>
            <w:r w:rsidRPr="002C3E3C">
              <w:rPr>
                <w:rFonts w:eastAsiaTheme="minorEastAsia" w:cs="Times New Roman"/>
                <w:color w:val="FF0000"/>
                <w:sz w:val="20"/>
                <w:szCs w:val="20"/>
              </w:rPr>
              <w:t>Sucho</w:t>
            </w:r>
          </w:p>
          <w:p w14:paraId="4BC46A9A" w14:textId="77777777" w:rsidR="00DE509C" w:rsidRPr="002C3E3C" w:rsidRDefault="00DE509C" w:rsidP="00DE509C">
            <w:pPr>
              <w:jc w:val="left"/>
              <w:rPr>
                <w:rFonts w:eastAsiaTheme="minorEastAsia" w:cs="Times New Roman"/>
                <w:color w:val="FF0000"/>
                <w:sz w:val="20"/>
                <w:szCs w:val="20"/>
              </w:rPr>
            </w:pPr>
            <w:r w:rsidRPr="002C3E3C">
              <w:rPr>
                <w:rFonts w:eastAsiaTheme="minorEastAsia" w:cs="Times New Roman"/>
                <w:color w:val="FF0000"/>
                <w:sz w:val="20"/>
                <w:szCs w:val="20"/>
              </w:rPr>
              <w:t>Vysoké teploty</w:t>
            </w:r>
          </w:p>
          <w:p w14:paraId="493A7B40" w14:textId="77777777" w:rsidR="00DE509C" w:rsidRPr="007C705C" w:rsidRDefault="00DE509C" w:rsidP="00DE509C">
            <w:pPr>
              <w:jc w:val="left"/>
              <w:rPr>
                <w:rFonts w:eastAsiaTheme="minorEastAsia" w:cs="Times New Roman"/>
                <w:color w:val="FF0000"/>
                <w:sz w:val="20"/>
                <w:szCs w:val="20"/>
              </w:rPr>
            </w:pPr>
          </w:p>
        </w:tc>
        <w:tc>
          <w:tcPr>
            <w:tcW w:w="2268" w:type="dxa"/>
          </w:tcPr>
          <w:p w14:paraId="63970FE7" w14:textId="77777777" w:rsidR="00DE509C" w:rsidRPr="007C705C" w:rsidRDefault="00DE509C" w:rsidP="00DE509C">
            <w:pPr>
              <w:jc w:val="left"/>
              <w:rPr>
                <w:rFonts w:eastAsia="Calibri" w:cs="Times New Roman"/>
                <w:sz w:val="20"/>
                <w:szCs w:val="20"/>
              </w:rPr>
            </w:pPr>
            <w:r w:rsidRPr="007C705C">
              <w:rPr>
                <w:rFonts w:eastAsia="Calibri" w:cs="Times New Roman"/>
                <w:sz w:val="20"/>
                <w:szCs w:val="20"/>
              </w:rPr>
              <w:t>Tento faktor není ovlivnitelný</w:t>
            </w:r>
          </w:p>
        </w:tc>
        <w:tc>
          <w:tcPr>
            <w:tcW w:w="1701" w:type="dxa"/>
          </w:tcPr>
          <w:p w14:paraId="3549FFF6" w14:textId="77777777" w:rsidR="00DE509C" w:rsidRPr="007C705C" w:rsidRDefault="00DE509C" w:rsidP="00DE509C">
            <w:pPr>
              <w:jc w:val="left"/>
              <w:rPr>
                <w:rFonts w:eastAsiaTheme="minorEastAsia" w:cs="Times New Roman"/>
                <w:sz w:val="20"/>
                <w:szCs w:val="20"/>
              </w:rPr>
            </w:pPr>
            <w:r w:rsidRPr="007C705C">
              <w:rPr>
                <w:rFonts w:eastAsiaTheme="minorEastAsia" w:cs="Times New Roman"/>
                <w:sz w:val="20"/>
                <w:szCs w:val="20"/>
              </w:rPr>
              <w:t>zavádění do praxe modelů predikce a rozhodovacích nástrojů integrované ochrany</w:t>
            </w:r>
            <w:r w:rsidRPr="007C705C">
              <w:rPr>
                <w:rFonts w:eastAsiaTheme="minorEastAsia" w:cs="Times New Roman"/>
                <w:vertAlign w:val="superscript"/>
              </w:rPr>
              <w:footnoteReference w:id="3"/>
            </w:r>
          </w:p>
          <w:p w14:paraId="72ED618C" w14:textId="77777777" w:rsidR="00DE509C" w:rsidRPr="007C705C" w:rsidRDefault="00DE509C" w:rsidP="00DE509C">
            <w:pPr>
              <w:jc w:val="left"/>
              <w:rPr>
                <w:rFonts w:eastAsiaTheme="minorEastAsia" w:cs="Times New Roman"/>
                <w:sz w:val="20"/>
                <w:szCs w:val="20"/>
              </w:rPr>
            </w:pPr>
          </w:p>
          <w:p w14:paraId="17C42841" w14:textId="77777777" w:rsidR="00DE509C" w:rsidRPr="007C705C" w:rsidRDefault="00DE509C" w:rsidP="00DE509C">
            <w:pPr>
              <w:jc w:val="left"/>
              <w:rPr>
                <w:rFonts w:eastAsiaTheme="minorEastAsia" w:cs="Times New Roman"/>
                <w:sz w:val="20"/>
                <w:szCs w:val="20"/>
              </w:rPr>
            </w:pPr>
            <w:r w:rsidRPr="007C705C">
              <w:rPr>
                <w:rFonts w:eastAsiaTheme="minorEastAsia" w:cs="Times New Roman"/>
                <w:sz w:val="20"/>
                <w:szCs w:val="20"/>
              </w:rPr>
              <w:t>šlechtění nových odrůd</w:t>
            </w:r>
          </w:p>
        </w:tc>
        <w:tc>
          <w:tcPr>
            <w:tcW w:w="1275" w:type="dxa"/>
          </w:tcPr>
          <w:p w14:paraId="5B490AC5" w14:textId="77777777" w:rsidR="00DE509C" w:rsidRPr="007C705C" w:rsidRDefault="00DE509C" w:rsidP="00DE509C">
            <w:pPr>
              <w:jc w:val="left"/>
              <w:rPr>
                <w:rFonts w:eastAsiaTheme="minorEastAsia" w:cs="Times New Roman"/>
                <w:sz w:val="20"/>
                <w:szCs w:val="20"/>
              </w:rPr>
            </w:pPr>
            <w:r w:rsidRPr="007C705C">
              <w:rPr>
                <w:rFonts w:eastAsiaTheme="minorEastAsia" w:cs="Times New Roman"/>
                <w:sz w:val="20"/>
                <w:szCs w:val="20"/>
              </w:rPr>
              <w:t>Transfer znalostí</w:t>
            </w:r>
          </w:p>
        </w:tc>
        <w:tc>
          <w:tcPr>
            <w:tcW w:w="1276" w:type="dxa"/>
          </w:tcPr>
          <w:p w14:paraId="1C2F1A82" w14:textId="77777777" w:rsidR="00DE509C" w:rsidRPr="007C705C" w:rsidRDefault="00DE509C" w:rsidP="00DE509C">
            <w:pPr>
              <w:jc w:val="left"/>
              <w:rPr>
                <w:rFonts w:eastAsiaTheme="minorEastAsia" w:cs="Times New Roman"/>
                <w:sz w:val="20"/>
                <w:szCs w:val="20"/>
              </w:rPr>
            </w:pPr>
            <w:r w:rsidRPr="007C705C">
              <w:rPr>
                <w:rFonts w:eastAsiaTheme="minorEastAsia" w:cs="Times New Roman"/>
                <w:sz w:val="20"/>
                <w:szCs w:val="20"/>
              </w:rPr>
              <w:t>Podpora poradenství, vzdělávání a přenosu informací</w:t>
            </w:r>
          </w:p>
          <w:p w14:paraId="5618B921" w14:textId="77777777" w:rsidR="00DE509C" w:rsidRPr="007C705C" w:rsidRDefault="00DE509C" w:rsidP="00DE509C">
            <w:pPr>
              <w:jc w:val="left"/>
              <w:rPr>
                <w:rFonts w:eastAsiaTheme="minorEastAsia" w:cs="Times New Roman"/>
                <w:sz w:val="20"/>
                <w:szCs w:val="20"/>
              </w:rPr>
            </w:pPr>
          </w:p>
          <w:p w14:paraId="0D8300E8" w14:textId="77777777" w:rsidR="00DE509C" w:rsidRPr="007C705C" w:rsidRDefault="00DE509C" w:rsidP="00DE509C">
            <w:pPr>
              <w:jc w:val="left"/>
              <w:rPr>
                <w:rFonts w:eastAsiaTheme="minorEastAsia" w:cs="Times New Roman"/>
                <w:sz w:val="20"/>
                <w:szCs w:val="20"/>
              </w:rPr>
            </w:pPr>
            <w:r w:rsidRPr="007C705C">
              <w:rPr>
                <w:rFonts w:eastAsiaTheme="minorEastAsia" w:cs="Times New Roman"/>
                <w:sz w:val="20"/>
                <w:szCs w:val="20"/>
              </w:rPr>
              <w:t>odvětvové intervence</w:t>
            </w:r>
          </w:p>
        </w:tc>
      </w:tr>
    </w:tbl>
    <w:p w14:paraId="7D83C36D" w14:textId="1D4A7FF6" w:rsidR="003E0F58" w:rsidRPr="007C705C" w:rsidRDefault="003E0F58" w:rsidP="00DE509C">
      <w:pPr>
        <w:pStyle w:val="UZEIZdroj"/>
      </w:pPr>
      <w:r w:rsidRPr="007C705C">
        <w:rPr>
          <w:b/>
          <w:color w:val="FF0000"/>
        </w:rPr>
        <w:t>Červeně/tučně</w:t>
      </w:r>
      <w:r w:rsidRPr="007C705C">
        <w:rPr>
          <w:color w:val="FF0000"/>
        </w:rPr>
        <w:t xml:space="preserve"> </w:t>
      </w:r>
      <w:r w:rsidRPr="007C705C">
        <w:t>= mimo dosah zemědělce – příčinu nemůže změnit, ani SZP nemá nástroje na řešení</w:t>
      </w:r>
    </w:p>
    <w:p w14:paraId="42ED186B" w14:textId="77777777" w:rsidR="003E0F58" w:rsidRPr="007C705C" w:rsidRDefault="003E0F58" w:rsidP="00DE509C">
      <w:pPr>
        <w:pStyle w:val="UZEIZdroj"/>
      </w:pPr>
      <w:r w:rsidRPr="007C705C">
        <w:rPr>
          <w:b/>
          <w:color w:val="7030A0"/>
        </w:rPr>
        <w:t>Fialově/tučně</w:t>
      </w:r>
      <w:r w:rsidRPr="007C705C">
        <w:rPr>
          <w:color w:val="7030A0"/>
        </w:rPr>
        <w:t xml:space="preserve"> </w:t>
      </w:r>
      <w:r w:rsidRPr="007C705C">
        <w:t>= může ovlivnit jen do jisté míry</w:t>
      </w:r>
    </w:p>
    <w:p w14:paraId="3F457071" w14:textId="14FE955E" w:rsidR="003E0F58" w:rsidRPr="00DE509C" w:rsidRDefault="003E0F58" w:rsidP="00DE509C">
      <w:pPr>
        <w:pStyle w:val="UZEIZdroj"/>
      </w:pPr>
      <w:r w:rsidRPr="007C705C">
        <w:t>Zdroj: Pracovní skupina Klima, 2018</w:t>
      </w:r>
    </w:p>
    <w:p w14:paraId="65F77657" w14:textId="05B4E8FB" w:rsidR="003E0F58" w:rsidRPr="007C705C" w:rsidRDefault="003E0F58" w:rsidP="00DE509C">
      <w:pPr>
        <w:pStyle w:val="UZEIOdrky"/>
        <w:rPr>
          <w:rFonts w:eastAsiaTheme="minorEastAsia"/>
          <w:u w:val="single"/>
        </w:rPr>
      </w:pPr>
      <w:r w:rsidRPr="007C705C">
        <w:rPr>
          <w:rFonts w:eastAsiaTheme="minorEastAsia"/>
        </w:rPr>
        <w:t>Nepříznivé trendy změny klimatu a vodní bilance půd + negativní dopady zemědělského sucha</w:t>
      </w:r>
    </w:p>
    <w:p w14:paraId="6183D8E5" w14:textId="77777777" w:rsidR="003E0F58" w:rsidRPr="007C705C" w:rsidRDefault="003E0F58" w:rsidP="00DE509C">
      <w:pPr>
        <w:pStyle w:val="UZEINormaln"/>
        <w:rPr>
          <w:rFonts w:eastAsiaTheme="minorEastAsia"/>
        </w:rPr>
      </w:pPr>
      <w:r w:rsidRPr="007C705C">
        <w:rPr>
          <w:rFonts w:eastAsiaTheme="minorEastAsia"/>
        </w:rPr>
        <w:t>Podpora udržování a pořízení závlahových systémů ke stabilizaci produkce. V případě suchých let by měly být aktivity zaměřeny na efektivní formu závlah u kultur s vyšší přidanou hodnotou vzhledem k omezenému množství dostupné vody.</w:t>
      </w:r>
    </w:p>
    <w:p w14:paraId="1A24BB9C" w14:textId="77777777" w:rsidR="003E0F58" w:rsidRPr="007C705C" w:rsidRDefault="003E0F58" w:rsidP="00DE509C">
      <w:pPr>
        <w:pStyle w:val="UZEINormaln"/>
        <w:rPr>
          <w:rFonts w:eastAsiaTheme="minorEastAsia"/>
        </w:rPr>
      </w:pPr>
      <w:r w:rsidRPr="007C705C">
        <w:rPr>
          <w:rFonts w:eastAsiaTheme="minorEastAsia"/>
        </w:rPr>
        <w:t>Podpora hospodaření zamezující poklesu organické hmoty v půdě a erozi. Pozitivní vliv mají statková hnojiva a víceleté pícniny v osevních postupech.</w:t>
      </w:r>
    </w:p>
    <w:p w14:paraId="0E3E112A" w14:textId="77777777" w:rsidR="003E0F58" w:rsidRPr="007C705C" w:rsidRDefault="003E0F58" w:rsidP="00DE509C">
      <w:pPr>
        <w:pStyle w:val="UZEINormaln"/>
        <w:rPr>
          <w:rFonts w:eastAsiaTheme="minorEastAsia"/>
        </w:rPr>
      </w:pPr>
      <w:r w:rsidRPr="007C705C">
        <w:rPr>
          <w:rFonts w:eastAsiaTheme="minorEastAsia"/>
        </w:rPr>
        <w:lastRenderedPageBreak/>
        <w:t>Podpora zalesňování – (podpora v oblasti finanční a současně odstranění metodických překážek).</w:t>
      </w:r>
    </w:p>
    <w:p w14:paraId="7E25224A" w14:textId="77777777" w:rsidR="003E0F58" w:rsidRPr="007C705C" w:rsidRDefault="003E0F58" w:rsidP="00DE509C">
      <w:pPr>
        <w:pStyle w:val="UZEINormaln"/>
        <w:rPr>
          <w:rFonts w:eastAsiaTheme="minorEastAsia"/>
        </w:rPr>
      </w:pPr>
      <w:r w:rsidRPr="007C705C">
        <w:rPr>
          <w:rFonts w:eastAsiaTheme="minorEastAsia"/>
        </w:rPr>
        <w:t>Podpora zatravňování - Adaptační účinky - účelné zatravnění údolnic, drah povrchového odtoku, strmých svahů, ochranné zatravnění popř. zalesnění v blízkosti intravilánu mají nejen ochranou funkci, ale výraznou měrou přispívají k adaptaci na změny klimatu.</w:t>
      </w:r>
    </w:p>
    <w:p w14:paraId="71A16D43" w14:textId="77777777" w:rsidR="003E0F58" w:rsidRPr="007C705C" w:rsidRDefault="003E0F58" w:rsidP="00DE509C">
      <w:pPr>
        <w:pStyle w:val="UZEINormaln"/>
        <w:rPr>
          <w:rFonts w:eastAsiaTheme="minorEastAsia"/>
        </w:rPr>
      </w:pPr>
      <w:r w:rsidRPr="007C705C">
        <w:rPr>
          <w:rFonts w:eastAsiaTheme="minorEastAsia"/>
        </w:rPr>
        <w:t>Diverzifikace plodin - souvislá plocha jedné zemědělské plodiny na DPB s kulturou standardní orná půda nepřesahující 30 ha (v SZP 14+ DZES 7d), větší diverzita plodin snižuje rizika degradace půdy (úbytek organické hmoty v půdě, eroze).</w:t>
      </w:r>
    </w:p>
    <w:p w14:paraId="13767CCD" w14:textId="6353EC43" w:rsidR="003E0F58" w:rsidRPr="00DE509C" w:rsidRDefault="003E0F58" w:rsidP="00DE509C">
      <w:pPr>
        <w:pStyle w:val="UZEINormaln"/>
        <w:rPr>
          <w:rFonts w:eastAsiaTheme="minorEastAsia"/>
        </w:rPr>
      </w:pPr>
      <w:r w:rsidRPr="007C705C">
        <w:rPr>
          <w:rFonts w:eastAsiaTheme="minorEastAsia"/>
        </w:rPr>
        <w:t>Pro zmírnění rizika degradace půd lze ve větší míře využívat EFA plochy s potenciálem dodání organické hmoty do půdy. Jako plochy EFA mohou být vyčleněny plochy s plodinami, které vážou dusík, plochy s meziplodinami, plochy s rychle rostoucími dřevinami, zalesněná plochy, úhor s porostem, souvrať a několik druhů krajinných prvků.</w:t>
      </w:r>
    </w:p>
    <w:p w14:paraId="439E868F" w14:textId="258CD349" w:rsidR="003E0F58" w:rsidRPr="007C705C" w:rsidRDefault="00DE509C" w:rsidP="00DE509C">
      <w:pPr>
        <w:pStyle w:val="UZEITaB"/>
      </w:pPr>
      <w:bookmarkStart w:id="361" w:name="_Toc77245841"/>
      <w:r>
        <w:t xml:space="preserve"> </w:t>
      </w:r>
      <w:bookmarkStart w:id="362" w:name="_Toc94181605"/>
      <w:r w:rsidR="003E0F58" w:rsidRPr="007C705C">
        <w:t xml:space="preserve">Možnosti efektivního řešení problému v rámci nástrojů SZP - </w:t>
      </w:r>
      <w:r w:rsidR="003E0F58" w:rsidRPr="007C705C">
        <w:rPr>
          <w:rFonts w:eastAsiaTheme="minorEastAsia"/>
        </w:rPr>
        <w:t>Nepříznivé trendy změny klimatu a vodní bilance půd +  Negativní dopady zemědělského sucha</w:t>
      </w:r>
      <w:bookmarkEnd w:id="361"/>
      <w:bookmarkEnd w:id="362"/>
    </w:p>
    <w:tbl>
      <w:tblPr>
        <w:tblStyle w:val="Mkatabulky2"/>
        <w:tblpPr w:leftFromText="141" w:rightFromText="141" w:vertAnchor="text" w:horzAnchor="margin" w:tblpY="152"/>
        <w:tblW w:w="9351" w:type="dxa"/>
        <w:tblLayout w:type="fixed"/>
        <w:tblLook w:val="04A0" w:firstRow="1" w:lastRow="0" w:firstColumn="1" w:lastColumn="0" w:noHBand="0" w:noVBand="1"/>
      </w:tblPr>
      <w:tblGrid>
        <w:gridCol w:w="1384"/>
        <w:gridCol w:w="1418"/>
        <w:gridCol w:w="2268"/>
        <w:gridCol w:w="1701"/>
        <w:gridCol w:w="1275"/>
        <w:gridCol w:w="1305"/>
      </w:tblGrid>
      <w:tr w:rsidR="003E0F58" w:rsidRPr="00DE509C" w14:paraId="5E64B958" w14:textId="77777777" w:rsidTr="00DE509C">
        <w:tc>
          <w:tcPr>
            <w:tcW w:w="1384" w:type="dxa"/>
            <w:shd w:val="clear" w:color="auto" w:fill="E7E6E6" w:themeFill="background2"/>
          </w:tcPr>
          <w:p w14:paraId="339CFDBB" w14:textId="77777777" w:rsidR="003E0F58" w:rsidRPr="00DE509C" w:rsidRDefault="003E0F58" w:rsidP="004D2249">
            <w:pPr>
              <w:jc w:val="left"/>
              <w:rPr>
                <w:rFonts w:eastAsia="Calibri" w:cs="Times New Roman"/>
                <w:b/>
                <w:sz w:val="20"/>
                <w:szCs w:val="20"/>
              </w:rPr>
            </w:pPr>
            <w:r w:rsidRPr="00DE509C">
              <w:rPr>
                <w:rFonts w:eastAsia="Calibri" w:cs="Times New Roman"/>
                <w:b/>
                <w:sz w:val="20"/>
                <w:szCs w:val="20"/>
              </w:rPr>
              <w:t>Problém</w:t>
            </w:r>
          </w:p>
        </w:tc>
        <w:tc>
          <w:tcPr>
            <w:tcW w:w="1418" w:type="dxa"/>
            <w:shd w:val="clear" w:color="auto" w:fill="E7E6E6" w:themeFill="background2"/>
          </w:tcPr>
          <w:p w14:paraId="28BECA59" w14:textId="77777777" w:rsidR="003E0F58" w:rsidRPr="00DE509C" w:rsidRDefault="003E0F58" w:rsidP="004D2249">
            <w:pPr>
              <w:jc w:val="left"/>
              <w:rPr>
                <w:rFonts w:eastAsia="Calibri" w:cs="Times New Roman"/>
                <w:b/>
                <w:sz w:val="20"/>
                <w:szCs w:val="20"/>
              </w:rPr>
            </w:pPr>
            <w:r w:rsidRPr="00DE509C">
              <w:rPr>
                <w:rFonts w:eastAsia="Calibri" w:cs="Times New Roman"/>
                <w:b/>
                <w:sz w:val="20"/>
                <w:szCs w:val="20"/>
              </w:rPr>
              <w:t>Příčiny</w:t>
            </w:r>
          </w:p>
        </w:tc>
        <w:tc>
          <w:tcPr>
            <w:tcW w:w="2268" w:type="dxa"/>
            <w:shd w:val="clear" w:color="auto" w:fill="E7E6E6" w:themeFill="background2"/>
          </w:tcPr>
          <w:p w14:paraId="3A6582E3" w14:textId="77777777" w:rsidR="003E0F58" w:rsidRPr="00DE509C" w:rsidRDefault="003E0F58" w:rsidP="004D2249">
            <w:pPr>
              <w:jc w:val="left"/>
              <w:rPr>
                <w:rFonts w:eastAsia="Calibri" w:cs="Times New Roman"/>
                <w:b/>
                <w:sz w:val="20"/>
                <w:szCs w:val="20"/>
              </w:rPr>
            </w:pPr>
            <w:r w:rsidRPr="00DE509C">
              <w:rPr>
                <w:rFonts w:eastAsia="Calibri" w:cs="Times New Roman"/>
                <w:b/>
                <w:sz w:val="20"/>
                <w:szCs w:val="20"/>
              </w:rPr>
              <w:t>Převládající chování/reakce zemědělců</w:t>
            </w:r>
          </w:p>
        </w:tc>
        <w:tc>
          <w:tcPr>
            <w:tcW w:w="1701" w:type="dxa"/>
            <w:shd w:val="clear" w:color="auto" w:fill="E7E6E6" w:themeFill="background2"/>
          </w:tcPr>
          <w:p w14:paraId="635B0E09" w14:textId="77777777" w:rsidR="003E0F58" w:rsidRPr="00DE509C" w:rsidRDefault="003E0F58" w:rsidP="004D2249">
            <w:pPr>
              <w:jc w:val="left"/>
              <w:rPr>
                <w:rFonts w:eastAsia="Calibri" w:cs="Times New Roman"/>
                <w:b/>
                <w:sz w:val="20"/>
                <w:szCs w:val="20"/>
              </w:rPr>
            </w:pPr>
            <w:r w:rsidRPr="00DE509C">
              <w:rPr>
                <w:rFonts w:eastAsia="Calibri" w:cs="Times New Roman"/>
                <w:b/>
                <w:sz w:val="20"/>
                <w:szCs w:val="20"/>
              </w:rPr>
              <w:t>Nutná změna</w:t>
            </w:r>
          </w:p>
        </w:tc>
        <w:tc>
          <w:tcPr>
            <w:tcW w:w="1275" w:type="dxa"/>
            <w:shd w:val="clear" w:color="auto" w:fill="E7E6E6" w:themeFill="background2"/>
          </w:tcPr>
          <w:p w14:paraId="37366BBA" w14:textId="77777777" w:rsidR="003E0F58" w:rsidRPr="00DE509C" w:rsidRDefault="003E0F58" w:rsidP="004D2249">
            <w:pPr>
              <w:jc w:val="left"/>
              <w:rPr>
                <w:rFonts w:eastAsia="Calibri" w:cs="Times New Roman"/>
                <w:b/>
                <w:sz w:val="20"/>
                <w:szCs w:val="20"/>
              </w:rPr>
            </w:pPr>
            <w:r w:rsidRPr="00DE509C">
              <w:rPr>
                <w:rFonts w:eastAsia="Calibri" w:cs="Times New Roman"/>
                <w:b/>
                <w:sz w:val="20"/>
                <w:szCs w:val="20"/>
              </w:rPr>
              <w:t>Prvek intervence</w:t>
            </w:r>
          </w:p>
        </w:tc>
        <w:tc>
          <w:tcPr>
            <w:tcW w:w="1305" w:type="dxa"/>
            <w:shd w:val="clear" w:color="auto" w:fill="E7E6E6" w:themeFill="background2"/>
          </w:tcPr>
          <w:p w14:paraId="3DCF8D18" w14:textId="77777777" w:rsidR="003E0F58" w:rsidRPr="00DE509C" w:rsidRDefault="003E0F58" w:rsidP="004D2249">
            <w:pPr>
              <w:jc w:val="left"/>
              <w:rPr>
                <w:rFonts w:eastAsia="Calibri" w:cs="Times New Roman"/>
                <w:b/>
                <w:sz w:val="20"/>
                <w:szCs w:val="20"/>
              </w:rPr>
            </w:pPr>
            <w:r w:rsidRPr="00DE509C">
              <w:rPr>
                <w:rFonts w:eastAsia="Calibri" w:cs="Times New Roman"/>
                <w:b/>
                <w:sz w:val="20"/>
                <w:szCs w:val="20"/>
              </w:rPr>
              <w:t>Intervence</w:t>
            </w:r>
          </w:p>
        </w:tc>
      </w:tr>
      <w:tr w:rsidR="003E0F58" w:rsidRPr="00DE509C" w14:paraId="2ADC753F" w14:textId="77777777" w:rsidTr="00DE509C">
        <w:trPr>
          <w:trHeight w:val="70"/>
        </w:trPr>
        <w:tc>
          <w:tcPr>
            <w:tcW w:w="1384" w:type="dxa"/>
          </w:tcPr>
          <w:p w14:paraId="592746D3" w14:textId="77777777" w:rsidR="003E0F58" w:rsidRPr="00DE509C" w:rsidRDefault="003E0F58" w:rsidP="004D2249">
            <w:pPr>
              <w:jc w:val="left"/>
              <w:rPr>
                <w:rFonts w:eastAsia="Calibri" w:cs="Times New Roman"/>
                <w:sz w:val="20"/>
                <w:szCs w:val="20"/>
              </w:rPr>
            </w:pPr>
            <w:r w:rsidRPr="00DE509C">
              <w:rPr>
                <w:rFonts w:eastAsiaTheme="minorEastAsia" w:cs="Times New Roman"/>
                <w:sz w:val="20"/>
                <w:szCs w:val="20"/>
              </w:rPr>
              <w:t>Nepříznivé trendy změny klimatu a vodní bilance půd +  Negativní dopady zemědělského sucha</w:t>
            </w:r>
            <w:r w:rsidRPr="00DE509C">
              <w:rPr>
                <w:rStyle w:val="Znakapoznpodarou"/>
                <w:rFonts w:eastAsiaTheme="minorEastAsia"/>
                <w:sz w:val="20"/>
                <w:szCs w:val="20"/>
              </w:rPr>
              <w:footnoteReference w:id="4"/>
            </w:r>
          </w:p>
        </w:tc>
        <w:tc>
          <w:tcPr>
            <w:tcW w:w="1418" w:type="dxa"/>
          </w:tcPr>
          <w:p w14:paraId="52D4EF08" w14:textId="77777777" w:rsidR="003E0F58" w:rsidRPr="002C3E3C" w:rsidRDefault="003E0F58" w:rsidP="004D2249">
            <w:pPr>
              <w:jc w:val="left"/>
              <w:rPr>
                <w:rFonts w:eastAsiaTheme="minorEastAsia" w:cs="Times New Roman"/>
                <w:color w:val="FF0000"/>
                <w:sz w:val="20"/>
                <w:szCs w:val="20"/>
              </w:rPr>
            </w:pPr>
            <w:r w:rsidRPr="002C3E3C">
              <w:rPr>
                <w:rFonts w:eastAsiaTheme="minorEastAsia" w:cs="Times New Roman"/>
                <w:color w:val="FF0000"/>
                <w:sz w:val="20"/>
                <w:szCs w:val="20"/>
              </w:rPr>
              <w:t>Nárůst prům. teplot</w:t>
            </w:r>
          </w:p>
          <w:p w14:paraId="4DE2F2B4" w14:textId="77777777" w:rsidR="003E0F58" w:rsidRPr="002C3E3C" w:rsidRDefault="003E0F58" w:rsidP="004D2249">
            <w:pPr>
              <w:jc w:val="left"/>
              <w:rPr>
                <w:rFonts w:eastAsiaTheme="minorEastAsia" w:cs="Times New Roman"/>
                <w:color w:val="FF0000"/>
                <w:sz w:val="20"/>
                <w:szCs w:val="20"/>
              </w:rPr>
            </w:pPr>
          </w:p>
          <w:p w14:paraId="1685B358" w14:textId="77777777" w:rsidR="003E0F58" w:rsidRPr="002C3E3C" w:rsidRDefault="003E0F58" w:rsidP="004D2249">
            <w:pPr>
              <w:jc w:val="left"/>
              <w:rPr>
                <w:rFonts w:eastAsiaTheme="minorEastAsia" w:cs="Times New Roman"/>
                <w:color w:val="FF0000"/>
                <w:sz w:val="20"/>
                <w:szCs w:val="20"/>
              </w:rPr>
            </w:pPr>
            <w:r w:rsidRPr="002C3E3C">
              <w:rPr>
                <w:rFonts w:eastAsiaTheme="minorEastAsia" w:cs="Times New Roman"/>
                <w:color w:val="FF0000"/>
                <w:sz w:val="20"/>
                <w:szCs w:val="20"/>
              </w:rPr>
              <w:t>Častější epizody sucha</w:t>
            </w:r>
          </w:p>
          <w:p w14:paraId="223DE32E" w14:textId="77777777" w:rsidR="003E0F58" w:rsidRPr="002C3E3C" w:rsidRDefault="003E0F58" w:rsidP="004D2249">
            <w:pPr>
              <w:jc w:val="left"/>
              <w:rPr>
                <w:rFonts w:eastAsiaTheme="minorEastAsia" w:cs="Times New Roman"/>
                <w:color w:val="FF0000"/>
                <w:sz w:val="20"/>
                <w:szCs w:val="20"/>
              </w:rPr>
            </w:pPr>
          </w:p>
          <w:p w14:paraId="3B4115A2" w14:textId="77777777" w:rsidR="003E0F58" w:rsidRPr="002C3E3C" w:rsidRDefault="003E0F58" w:rsidP="004D2249">
            <w:pPr>
              <w:jc w:val="left"/>
              <w:rPr>
                <w:rFonts w:eastAsiaTheme="minorEastAsia" w:cs="Times New Roman"/>
                <w:color w:val="FF0000"/>
                <w:sz w:val="20"/>
                <w:szCs w:val="20"/>
              </w:rPr>
            </w:pPr>
            <w:r w:rsidRPr="002C3E3C">
              <w:rPr>
                <w:rFonts w:eastAsiaTheme="minorEastAsia" w:cs="Times New Roman"/>
                <w:color w:val="FF0000"/>
                <w:sz w:val="20"/>
                <w:szCs w:val="20"/>
              </w:rPr>
              <w:t>Častější přívalové deště, povodně a mrazy</w:t>
            </w:r>
          </w:p>
          <w:p w14:paraId="4AE7AAFD" w14:textId="77777777" w:rsidR="003E0F58" w:rsidRPr="002C3E3C" w:rsidRDefault="003E0F58" w:rsidP="004D2249">
            <w:pPr>
              <w:jc w:val="left"/>
              <w:rPr>
                <w:rFonts w:eastAsiaTheme="minorEastAsia" w:cs="Times New Roman"/>
                <w:color w:val="FF0000"/>
                <w:sz w:val="20"/>
                <w:szCs w:val="20"/>
              </w:rPr>
            </w:pPr>
          </w:p>
          <w:p w14:paraId="34977C29" w14:textId="77777777" w:rsidR="003E0F58" w:rsidRPr="002C3E3C" w:rsidRDefault="003E0F58" w:rsidP="004D2249">
            <w:pPr>
              <w:jc w:val="left"/>
              <w:rPr>
                <w:rFonts w:eastAsiaTheme="minorEastAsia" w:cs="Times New Roman"/>
                <w:color w:val="FF0000"/>
                <w:sz w:val="20"/>
                <w:szCs w:val="20"/>
              </w:rPr>
            </w:pPr>
            <w:r w:rsidRPr="002C3E3C">
              <w:rPr>
                <w:rFonts w:eastAsiaTheme="minorEastAsia" w:cs="Times New Roman"/>
                <w:color w:val="FF0000"/>
                <w:sz w:val="20"/>
                <w:szCs w:val="20"/>
              </w:rPr>
              <w:t>Teplé zimy bez sněh. pokryvu</w:t>
            </w:r>
          </w:p>
          <w:p w14:paraId="3282F8FA" w14:textId="77777777" w:rsidR="003E0F58" w:rsidRPr="002C3E3C" w:rsidRDefault="003E0F58" w:rsidP="004D2249">
            <w:pPr>
              <w:jc w:val="left"/>
              <w:rPr>
                <w:rFonts w:eastAsiaTheme="minorEastAsia" w:cs="Times New Roman"/>
                <w:color w:val="FF0000"/>
                <w:sz w:val="20"/>
                <w:szCs w:val="20"/>
              </w:rPr>
            </w:pPr>
          </w:p>
          <w:p w14:paraId="65965E9E" w14:textId="77777777" w:rsidR="003E0F58" w:rsidRPr="00DE509C" w:rsidRDefault="003E0F58" w:rsidP="004D2249">
            <w:pPr>
              <w:jc w:val="left"/>
              <w:rPr>
                <w:rFonts w:eastAsiaTheme="minorEastAsia" w:cs="Times New Roman"/>
                <w:sz w:val="20"/>
                <w:szCs w:val="20"/>
              </w:rPr>
            </w:pPr>
            <w:r w:rsidRPr="002C3E3C">
              <w:rPr>
                <w:rFonts w:eastAsiaTheme="minorEastAsia" w:cs="Times New Roman"/>
                <w:color w:val="FF0000"/>
                <w:sz w:val="20"/>
                <w:szCs w:val="20"/>
              </w:rPr>
              <w:t>Jarní mrazy</w:t>
            </w:r>
          </w:p>
        </w:tc>
        <w:tc>
          <w:tcPr>
            <w:tcW w:w="2268" w:type="dxa"/>
          </w:tcPr>
          <w:p w14:paraId="54B8BE65" w14:textId="77777777" w:rsidR="003E0F58" w:rsidRPr="00DE509C" w:rsidRDefault="003E0F58" w:rsidP="004D2249">
            <w:pPr>
              <w:jc w:val="left"/>
              <w:rPr>
                <w:rFonts w:eastAsiaTheme="minorEastAsia" w:cs="Times New Roman"/>
                <w:sz w:val="20"/>
                <w:szCs w:val="20"/>
              </w:rPr>
            </w:pPr>
            <w:r w:rsidRPr="00DE509C">
              <w:rPr>
                <w:rFonts w:eastAsiaTheme="minorEastAsia" w:cs="Times New Roman"/>
                <w:sz w:val="20"/>
                <w:szCs w:val="20"/>
              </w:rPr>
              <w:t>Tento faktor není ovlivnitelný</w:t>
            </w:r>
          </w:p>
        </w:tc>
        <w:tc>
          <w:tcPr>
            <w:tcW w:w="1701" w:type="dxa"/>
          </w:tcPr>
          <w:p w14:paraId="4E6D1137" w14:textId="77777777" w:rsidR="003E0F58" w:rsidRPr="00DE509C" w:rsidRDefault="003E0F58" w:rsidP="004D2249">
            <w:pPr>
              <w:jc w:val="left"/>
              <w:rPr>
                <w:rFonts w:eastAsiaTheme="minorEastAsia" w:cs="Times New Roman"/>
                <w:sz w:val="20"/>
                <w:szCs w:val="20"/>
              </w:rPr>
            </w:pPr>
            <w:r w:rsidRPr="00DE509C">
              <w:rPr>
                <w:rFonts w:eastAsiaTheme="minorEastAsia" w:cs="Times New Roman"/>
                <w:sz w:val="20"/>
                <w:szCs w:val="20"/>
              </w:rPr>
              <w:t xml:space="preserve">Udržovat a  </w:t>
            </w:r>
          </w:p>
          <w:p w14:paraId="493A53BB" w14:textId="77777777" w:rsidR="003E0F58" w:rsidRPr="00DE509C" w:rsidRDefault="003E0F58" w:rsidP="004D2249">
            <w:pPr>
              <w:jc w:val="left"/>
              <w:rPr>
                <w:rFonts w:eastAsiaTheme="minorEastAsia" w:cs="Times New Roman"/>
                <w:sz w:val="20"/>
                <w:szCs w:val="20"/>
              </w:rPr>
            </w:pPr>
            <w:r w:rsidRPr="00DE509C">
              <w:rPr>
                <w:rFonts w:eastAsiaTheme="minorEastAsia" w:cs="Times New Roman"/>
                <w:sz w:val="20"/>
                <w:szCs w:val="20"/>
              </w:rPr>
              <w:t>pořizovat závlahové syst.</w:t>
            </w:r>
          </w:p>
          <w:p w14:paraId="5DAB0439" w14:textId="77777777" w:rsidR="003E0F58" w:rsidRPr="00DE509C" w:rsidRDefault="003E0F58" w:rsidP="004D2249">
            <w:pPr>
              <w:jc w:val="left"/>
              <w:rPr>
                <w:rFonts w:eastAsiaTheme="minorEastAsia" w:cs="Times New Roman"/>
                <w:sz w:val="20"/>
                <w:szCs w:val="20"/>
              </w:rPr>
            </w:pPr>
          </w:p>
          <w:p w14:paraId="04CDF001" w14:textId="77777777" w:rsidR="003E0F58" w:rsidRPr="00DE509C" w:rsidRDefault="003E0F58" w:rsidP="004D2249">
            <w:pPr>
              <w:jc w:val="left"/>
              <w:rPr>
                <w:rFonts w:eastAsiaTheme="minorEastAsia" w:cs="Times New Roman"/>
                <w:sz w:val="20"/>
                <w:szCs w:val="20"/>
              </w:rPr>
            </w:pPr>
            <w:r w:rsidRPr="00DE509C">
              <w:rPr>
                <w:rFonts w:eastAsiaTheme="minorEastAsia" w:cs="Times New Roman"/>
                <w:sz w:val="20"/>
                <w:szCs w:val="20"/>
              </w:rPr>
              <w:t>Zamezit poklesu organické hmoty</w:t>
            </w:r>
          </w:p>
          <w:p w14:paraId="6B7CFC0D" w14:textId="77777777" w:rsidR="003E0F58" w:rsidRPr="00DE509C" w:rsidRDefault="003E0F58" w:rsidP="004D2249">
            <w:pPr>
              <w:jc w:val="left"/>
              <w:rPr>
                <w:rFonts w:eastAsiaTheme="minorEastAsia" w:cs="Times New Roman"/>
                <w:sz w:val="20"/>
                <w:szCs w:val="20"/>
              </w:rPr>
            </w:pPr>
          </w:p>
          <w:p w14:paraId="34DE6693" w14:textId="77777777" w:rsidR="003E0F58" w:rsidRPr="00DE509C" w:rsidRDefault="003E0F58" w:rsidP="004D2249">
            <w:pPr>
              <w:jc w:val="left"/>
              <w:rPr>
                <w:rFonts w:eastAsiaTheme="minorEastAsia" w:cs="Times New Roman"/>
                <w:sz w:val="20"/>
                <w:szCs w:val="20"/>
              </w:rPr>
            </w:pPr>
            <w:r w:rsidRPr="00DE509C">
              <w:rPr>
                <w:rFonts w:eastAsiaTheme="minorEastAsia" w:cs="Times New Roman"/>
                <w:sz w:val="20"/>
                <w:szCs w:val="20"/>
              </w:rPr>
              <w:t>přechod na extenzivní využívání</w:t>
            </w:r>
            <w:r w:rsidRPr="00DE509C">
              <w:rPr>
                <w:rFonts w:eastAsiaTheme="minorEastAsia" w:cs="Times New Roman"/>
                <w:sz w:val="20"/>
                <w:szCs w:val="20"/>
                <w:vertAlign w:val="superscript"/>
              </w:rPr>
              <w:footnoteReference w:id="5"/>
            </w:r>
          </w:p>
        </w:tc>
        <w:tc>
          <w:tcPr>
            <w:tcW w:w="1275" w:type="dxa"/>
          </w:tcPr>
          <w:p w14:paraId="5311E5F3" w14:textId="77777777" w:rsidR="003E0F58" w:rsidRPr="00DE509C" w:rsidRDefault="003E0F58" w:rsidP="004D2249">
            <w:pPr>
              <w:jc w:val="left"/>
              <w:rPr>
                <w:rFonts w:eastAsiaTheme="minorEastAsia" w:cs="Times New Roman"/>
                <w:sz w:val="20"/>
                <w:szCs w:val="20"/>
              </w:rPr>
            </w:pPr>
            <w:r w:rsidRPr="00DE509C">
              <w:rPr>
                <w:rFonts w:eastAsiaTheme="minorEastAsia" w:cs="Times New Roman"/>
                <w:sz w:val="20"/>
                <w:szCs w:val="20"/>
              </w:rPr>
              <w:t xml:space="preserve">DZES </w:t>
            </w:r>
          </w:p>
          <w:p w14:paraId="70AF7F3B" w14:textId="77777777" w:rsidR="003E0F58" w:rsidRPr="00DE509C" w:rsidRDefault="003E0F58" w:rsidP="004D2249">
            <w:pPr>
              <w:jc w:val="left"/>
              <w:rPr>
                <w:rFonts w:eastAsiaTheme="minorEastAsia" w:cs="Times New Roman"/>
                <w:sz w:val="20"/>
                <w:szCs w:val="20"/>
              </w:rPr>
            </w:pPr>
          </w:p>
          <w:p w14:paraId="17B0E01D" w14:textId="77777777" w:rsidR="003E0F58" w:rsidRPr="00DE509C" w:rsidRDefault="003E0F58" w:rsidP="004D2249">
            <w:pPr>
              <w:jc w:val="left"/>
              <w:rPr>
                <w:rFonts w:eastAsiaTheme="minorEastAsia" w:cs="Times New Roman"/>
                <w:sz w:val="20"/>
                <w:szCs w:val="20"/>
              </w:rPr>
            </w:pPr>
            <w:r w:rsidRPr="00DE509C">
              <w:rPr>
                <w:rFonts w:eastAsiaTheme="minorEastAsia" w:cs="Times New Roman"/>
                <w:sz w:val="20"/>
                <w:szCs w:val="20"/>
              </w:rPr>
              <w:t>Podpora  závlahových systémů</w:t>
            </w:r>
          </w:p>
          <w:p w14:paraId="77927EBD" w14:textId="77777777" w:rsidR="003E0F58" w:rsidRPr="00DE509C" w:rsidRDefault="003E0F58" w:rsidP="004D2249">
            <w:pPr>
              <w:jc w:val="left"/>
              <w:rPr>
                <w:rFonts w:eastAsiaTheme="minorEastAsia" w:cs="Times New Roman"/>
                <w:sz w:val="20"/>
                <w:szCs w:val="20"/>
              </w:rPr>
            </w:pPr>
          </w:p>
          <w:p w14:paraId="4A15206E" w14:textId="77777777" w:rsidR="003E0F58" w:rsidRPr="00DE509C" w:rsidRDefault="003E0F58" w:rsidP="004D2249">
            <w:pPr>
              <w:jc w:val="left"/>
              <w:rPr>
                <w:rFonts w:eastAsiaTheme="minorEastAsia" w:cs="Times New Roman"/>
                <w:sz w:val="20"/>
                <w:szCs w:val="20"/>
              </w:rPr>
            </w:pPr>
            <w:r w:rsidRPr="00DE509C">
              <w:rPr>
                <w:rFonts w:eastAsiaTheme="minorEastAsia" w:cs="Times New Roman"/>
                <w:sz w:val="20"/>
                <w:szCs w:val="20"/>
              </w:rPr>
              <w:t>podpora aplikace organických hnojiv</w:t>
            </w:r>
            <w:r w:rsidRPr="00DE509C" w:rsidDel="00284508">
              <w:rPr>
                <w:rFonts w:eastAsiaTheme="minorEastAsia" w:cs="Times New Roman"/>
                <w:sz w:val="20"/>
                <w:szCs w:val="20"/>
              </w:rPr>
              <w:t xml:space="preserve"> </w:t>
            </w:r>
            <w:r w:rsidRPr="00DE509C">
              <w:rPr>
                <w:rFonts w:eastAsiaTheme="minorEastAsia" w:cs="Times New Roman"/>
                <w:sz w:val="20"/>
                <w:szCs w:val="20"/>
              </w:rPr>
              <w:t>.</w:t>
            </w:r>
          </w:p>
          <w:p w14:paraId="2789FAE6" w14:textId="77777777" w:rsidR="003E0F58" w:rsidRPr="00DE509C" w:rsidRDefault="003E0F58" w:rsidP="004D2249">
            <w:pPr>
              <w:jc w:val="left"/>
              <w:rPr>
                <w:rFonts w:eastAsiaTheme="minorEastAsia" w:cs="Times New Roman"/>
                <w:sz w:val="20"/>
                <w:szCs w:val="20"/>
              </w:rPr>
            </w:pPr>
          </w:p>
          <w:p w14:paraId="736B0259" w14:textId="77777777" w:rsidR="003E0F58" w:rsidRPr="00DE509C" w:rsidRDefault="003E0F58" w:rsidP="004D2249">
            <w:pPr>
              <w:jc w:val="left"/>
              <w:rPr>
                <w:rFonts w:eastAsiaTheme="minorEastAsia" w:cs="Times New Roman"/>
                <w:sz w:val="20"/>
                <w:szCs w:val="20"/>
              </w:rPr>
            </w:pPr>
            <w:r w:rsidRPr="00DE509C">
              <w:rPr>
                <w:rFonts w:eastAsiaTheme="minorEastAsia" w:cs="Times New Roman"/>
                <w:sz w:val="20"/>
                <w:szCs w:val="20"/>
              </w:rPr>
              <w:t>Náhrada 1letých víceletými plodinami</w:t>
            </w:r>
          </w:p>
          <w:p w14:paraId="6B460465" w14:textId="77777777" w:rsidR="003E0F58" w:rsidRPr="00DE509C" w:rsidRDefault="003E0F58" w:rsidP="004D2249">
            <w:pPr>
              <w:jc w:val="left"/>
              <w:rPr>
                <w:rFonts w:eastAsiaTheme="minorEastAsia" w:cs="Times New Roman"/>
                <w:sz w:val="20"/>
                <w:szCs w:val="20"/>
              </w:rPr>
            </w:pPr>
          </w:p>
          <w:p w14:paraId="78237E77" w14:textId="77777777" w:rsidR="003E0F58" w:rsidRPr="00DE509C" w:rsidRDefault="003E0F58" w:rsidP="004D2249">
            <w:pPr>
              <w:jc w:val="left"/>
              <w:rPr>
                <w:rFonts w:eastAsiaTheme="minorEastAsia" w:cs="Times New Roman"/>
                <w:sz w:val="20"/>
                <w:szCs w:val="20"/>
              </w:rPr>
            </w:pPr>
            <w:r w:rsidRPr="00DE509C">
              <w:rPr>
                <w:rFonts w:eastAsiaTheme="minorEastAsia" w:cs="Times New Roman"/>
                <w:sz w:val="20"/>
                <w:szCs w:val="20"/>
              </w:rPr>
              <w:t>Zatravnění</w:t>
            </w:r>
          </w:p>
          <w:p w14:paraId="04B78B1A" w14:textId="77777777" w:rsidR="003E0F58" w:rsidRPr="00DE509C" w:rsidRDefault="003E0F58" w:rsidP="004D2249">
            <w:pPr>
              <w:jc w:val="left"/>
              <w:rPr>
                <w:rFonts w:eastAsiaTheme="minorEastAsia" w:cs="Times New Roman"/>
                <w:sz w:val="20"/>
                <w:szCs w:val="20"/>
              </w:rPr>
            </w:pPr>
          </w:p>
          <w:p w14:paraId="10601F44" w14:textId="77777777" w:rsidR="003E0F58" w:rsidRPr="00DE509C" w:rsidRDefault="003E0F58" w:rsidP="004D2249">
            <w:pPr>
              <w:jc w:val="left"/>
              <w:rPr>
                <w:rFonts w:eastAsiaTheme="minorEastAsia" w:cs="Times New Roman"/>
                <w:sz w:val="20"/>
                <w:szCs w:val="20"/>
              </w:rPr>
            </w:pPr>
            <w:r w:rsidRPr="00DE509C">
              <w:rPr>
                <w:rFonts w:eastAsiaTheme="minorEastAsia" w:cs="Times New Roman"/>
                <w:sz w:val="20"/>
                <w:szCs w:val="20"/>
              </w:rPr>
              <w:t xml:space="preserve">Zalesnění </w:t>
            </w:r>
          </w:p>
          <w:p w14:paraId="529C3DBB" w14:textId="77777777" w:rsidR="003E0F58" w:rsidRPr="00DE509C" w:rsidRDefault="003E0F58" w:rsidP="004D2249">
            <w:pPr>
              <w:jc w:val="left"/>
              <w:rPr>
                <w:rFonts w:eastAsiaTheme="minorEastAsia" w:cs="Times New Roman"/>
                <w:sz w:val="20"/>
                <w:szCs w:val="20"/>
              </w:rPr>
            </w:pPr>
          </w:p>
          <w:p w14:paraId="4EF91A75" w14:textId="77777777" w:rsidR="003E0F58" w:rsidRPr="00DE509C" w:rsidRDefault="003E0F58" w:rsidP="004D2249">
            <w:pPr>
              <w:jc w:val="left"/>
              <w:rPr>
                <w:rFonts w:eastAsiaTheme="minorEastAsia" w:cs="Times New Roman"/>
                <w:sz w:val="20"/>
                <w:szCs w:val="20"/>
              </w:rPr>
            </w:pPr>
            <w:r w:rsidRPr="00DE509C">
              <w:rPr>
                <w:rFonts w:eastAsiaTheme="minorEastAsia" w:cs="Times New Roman"/>
                <w:sz w:val="20"/>
                <w:szCs w:val="20"/>
              </w:rPr>
              <w:t>Zakládání vinic</w:t>
            </w:r>
          </w:p>
        </w:tc>
        <w:tc>
          <w:tcPr>
            <w:tcW w:w="1305" w:type="dxa"/>
          </w:tcPr>
          <w:p w14:paraId="4578C715" w14:textId="77777777" w:rsidR="003E0F58" w:rsidRPr="00DE509C" w:rsidRDefault="003E0F58" w:rsidP="004D2249">
            <w:pPr>
              <w:jc w:val="left"/>
              <w:rPr>
                <w:rFonts w:eastAsiaTheme="minorEastAsia" w:cs="Times New Roman"/>
                <w:sz w:val="20"/>
                <w:szCs w:val="20"/>
              </w:rPr>
            </w:pPr>
          </w:p>
          <w:p w14:paraId="457A3C88" w14:textId="77777777" w:rsidR="003E0F58" w:rsidRPr="00DE509C" w:rsidRDefault="003E0F58" w:rsidP="004D2249">
            <w:pPr>
              <w:jc w:val="left"/>
              <w:rPr>
                <w:rFonts w:eastAsiaTheme="minorEastAsia" w:cs="Times New Roman"/>
                <w:sz w:val="20"/>
                <w:szCs w:val="20"/>
              </w:rPr>
            </w:pPr>
            <w:r w:rsidRPr="00DE509C">
              <w:rPr>
                <w:rFonts w:eastAsiaTheme="minorEastAsia" w:cs="Times New Roman"/>
                <w:sz w:val="20"/>
                <w:szCs w:val="20"/>
              </w:rPr>
              <w:t>Investice do majetku</w:t>
            </w:r>
          </w:p>
          <w:p w14:paraId="7D710751" w14:textId="77777777" w:rsidR="003E0F58" w:rsidRPr="00DE509C" w:rsidRDefault="003E0F58" w:rsidP="004D2249">
            <w:pPr>
              <w:jc w:val="left"/>
              <w:rPr>
                <w:rFonts w:eastAsiaTheme="minorEastAsia" w:cs="Times New Roman"/>
                <w:sz w:val="20"/>
                <w:szCs w:val="20"/>
              </w:rPr>
            </w:pPr>
          </w:p>
          <w:p w14:paraId="7432AD6D" w14:textId="77777777" w:rsidR="003E0F58" w:rsidRPr="00DE509C" w:rsidRDefault="003E0F58" w:rsidP="004D2249">
            <w:pPr>
              <w:jc w:val="left"/>
              <w:rPr>
                <w:rFonts w:eastAsiaTheme="minorEastAsia" w:cs="Times New Roman"/>
                <w:sz w:val="20"/>
                <w:szCs w:val="20"/>
              </w:rPr>
            </w:pPr>
            <w:r w:rsidRPr="00DE509C">
              <w:rPr>
                <w:rFonts w:eastAsiaTheme="minorEastAsia" w:cs="Times New Roman"/>
                <w:sz w:val="20"/>
                <w:szCs w:val="20"/>
              </w:rPr>
              <w:t>AEKO</w:t>
            </w:r>
          </w:p>
          <w:p w14:paraId="57342A4E" w14:textId="77777777" w:rsidR="003E0F58" w:rsidRPr="00DE509C" w:rsidRDefault="003E0F58" w:rsidP="004D2249">
            <w:pPr>
              <w:jc w:val="left"/>
              <w:rPr>
                <w:rFonts w:eastAsiaTheme="minorEastAsia" w:cs="Times New Roman"/>
                <w:sz w:val="20"/>
                <w:szCs w:val="20"/>
              </w:rPr>
            </w:pPr>
          </w:p>
          <w:p w14:paraId="0747C7FC" w14:textId="77777777" w:rsidR="003E0F58" w:rsidRPr="00DE509C" w:rsidRDefault="003E0F58" w:rsidP="004D2249">
            <w:pPr>
              <w:jc w:val="left"/>
              <w:rPr>
                <w:rFonts w:eastAsiaTheme="minorEastAsia" w:cs="Times New Roman"/>
                <w:sz w:val="20"/>
                <w:szCs w:val="20"/>
              </w:rPr>
            </w:pPr>
            <w:r w:rsidRPr="00DE509C">
              <w:rPr>
                <w:rFonts w:eastAsiaTheme="minorEastAsia" w:cs="Times New Roman"/>
                <w:sz w:val="20"/>
                <w:szCs w:val="20"/>
              </w:rPr>
              <w:t>Investice do lesních oblastí a lesů</w:t>
            </w:r>
          </w:p>
          <w:p w14:paraId="67CFB342" w14:textId="77777777" w:rsidR="003E0F58" w:rsidRPr="00DE509C" w:rsidRDefault="003E0F58" w:rsidP="004D2249">
            <w:pPr>
              <w:jc w:val="left"/>
              <w:rPr>
                <w:rFonts w:eastAsiaTheme="minorEastAsia" w:cs="Times New Roman"/>
                <w:sz w:val="20"/>
                <w:szCs w:val="20"/>
              </w:rPr>
            </w:pPr>
          </w:p>
          <w:p w14:paraId="261CEB55" w14:textId="77777777" w:rsidR="003E0F58" w:rsidRPr="00DE509C" w:rsidRDefault="003E0F58" w:rsidP="004D2249">
            <w:pPr>
              <w:jc w:val="left"/>
              <w:rPr>
                <w:rFonts w:eastAsiaTheme="minorEastAsia" w:cs="Times New Roman"/>
                <w:sz w:val="20"/>
                <w:szCs w:val="20"/>
              </w:rPr>
            </w:pPr>
            <w:r w:rsidRPr="00DE509C">
              <w:rPr>
                <w:rFonts w:eastAsiaTheme="minorEastAsia" w:cs="Times New Roman"/>
                <w:sz w:val="20"/>
                <w:szCs w:val="20"/>
              </w:rPr>
              <w:t>Ekoschémata</w:t>
            </w:r>
          </w:p>
          <w:p w14:paraId="3E7CD520" w14:textId="77777777" w:rsidR="003E0F58" w:rsidRPr="00DE509C" w:rsidRDefault="003E0F58" w:rsidP="004D2249">
            <w:pPr>
              <w:jc w:val="left"/>
              <w:rPr>
                <w:rFonts w:eastAsiaTheme="minorEastAsia" w:cs="Times New Roman"/>
                <w:sz w:val="20"/>
                <w:szCs w:val="20"/>
              </w:rPr>
            </w:pPr>
          </w:p>
          <w:p w14:paraId="5608FDC5" w14:textId="77777777" w:rsidR="003E0F58" w:rsidRPr="00DE509C" w:rsidRDefault="003E0F58" w:rsidP="004D2249">
            <w:pPr>
              <w:jc w:val="left"/>
              <w:rPr>
                <w:rFonts w:eastAsiaTheme="minorEastAsia" w:cs="Times New Roman"/>
                <w:sz w:val="20"/>
                <w:szCs w:val="20"/>
              </w:rPr>
            </w:pPr>
          </w:p>
          <w:p w14:paraId="31FC63E8" w14:textId="77777777" w:rsidR="003E0F58" w:rsidRPr="00DE509C" w:rsidRDefault="003E0F58" w:rsidP="004D2249">
            <w:pPr>
              <w:jc w:val="left"/>
              <w:rPr>
                <w:rFonts w:eastAsiaTheme="minorEastAsia" w:cs="Times New Roman"/>
                <w:sz w:val="20"/>
                <w:szCs w:val="20"/>
              </w:rPr>
            </w:pPr>
          </w:p>
          <w:p w14:paraId="3A917FFE" w14:textId="77777777" w:rsidR="003E0F58" w:rsidRPr="00DE509C" w:rsidRDefault="003E0F58" w:rsidP="004D2249">
            <w:pPr>
              <w:jc w:val="left"/>
              <w:rPr>
                <w:rFonts w:eastAsiaTheme="minorEastAsia" w:cs="Times New Roman"/>
                <w:sz w:val="20"/>
                <w:szCs w:val="20"/>
              </w:rPr>
            </w:pPr>
          </w:p>
          <w:p w14:paraId="7AE7FC66" w14:textId="77777777" w:rsidR="003E0F58" w:rsidRPr="00DE509C" w:rsidRDefault="003E0F58" w:rsidP="004D2249">
            <w:pPr>
              <w:jc w:val="left"/>
              <w:rPr>
                <w:rFonts w:eastAsiaTheme="minorEastAsia" w:cs="Times New Roman"/>
                <w:sz w:val="20"/>
                <w:szCs w:val="20"/>
              </w:rPr>
            </w:pPr>
          </w:p>
          <w:p w14:paraId="30CAE00C" w14:textId="77777777" w:rsidR="003E0F58" w:rsidRPr="00DE509C" w:rsidRDefault="003E0F58" w:rsidP="004D2249">
            <w:pPr>
              <w:jc w:val="left"/>
              <w:rPr>
                <w:rFonts w:eastAsiaTheme="minorEastAsia" w:cs="Times New Roman"/>
                <w:sz w:val="20"/>
                <w:szCs w:val="20"/>
              </w:rPr>
            </w:pPr>
          </w:p>
          <w:p w14:paraId="72020419" w14:textId="77777777" w:rsidR="003E0F58" w:rsidRPr="00DE509C" w:rsidRDefault="003E0F58" w:rsidP="004D2249">
            <w:pPr>
              <w:jc w:val="left"/>
              <w:rPr>
                <w:rFonts w:eastAsiaTheme="minorEastAsia" w:cs="Times New Roman"/>
                <w:sz w:val="20"/>
                <w:szCs w:val="20"/>
              </w:rPr>
            </w:pPr>
          </w:p>
          <w:p w14:paraId="526427D2" w14:textId="77777777" w:rsidR="003E0F58" w:rsidRPr="00DE509C" w:rsidRDefault="003E0F58" w:rsidP="004D2249">
            <w:pPr>
              <w:jc w:val="left"/>
              <w:rPr>
                <w:rFonts w:eastAsiaTheme="minorEastAsia" w:cs="Times New Roman"/>
                <w:sz w:val="20"/>
                <w:szCs w:val="20"/>
              </w:rPr>
            </w:pPr>
          </w:p>
          <w:p w14:paraId="67587D20" w14:textId="77777777" w:rsidR="003E0F58" w:rsidRPr="00DE509C" w:rsidRDefault="003E0F58" w:rsidP="004D2249">
            <w:pPr>
              <w:jc w:val="left"/>
              <w:rPr>
                <w:rFonts w:eastAsiaTheme="minorEastAsia" w:cs="Times New Roman"/>
                <w:sz w:val="20"/>
                <w:szCs w:val="20"/>
              </w:rPr>
            </w:pPr>
          </w:p>
          <w:p w14:paraId="48C52CA9" w14:textId="77777777" w:rsidR="003E0F58" w:rsidRPr="00DE509C" w:rsidRDefault="003E0F58" w:rsidP="004D2249">
            <w:pPr>
              <w:jc w:val="left"/>
              <w:rPr>
                <w:rFonts w:eastAsiaTheme="minorEastAsia" w:cs="Times New Roman"/>
                <w:sz w:val="20"/>
                <w:szCs w:val="20"/>
              </w:rPr>
            </w:pPr>
          </w:p>
          <w:p w14:paraId="4F4F28C9" w14:textId="77777777" w:rsidR="003E0F58" w:rsidRPr="00DE509C" w:rsidRDefault="003E0F58" w:rsidP="004D2249">
            <w:pPr>
              <w:jc w:val="left"/>
              <w:rPr>
                <w:rFonts w:eastAsiaTheme="minorEastAsia" w:cs="Times New Roman"/>
                <w:sz w:val="20"/>
                <w:szCs w:val="20"/>
              </w:rPr>
            </w:pPr>
          </w:p>
        </w:tc>
      </w:tr>
    </w:tbl>
    <w:p w14:paraId="668ABDA3" w14:textId="77777777" w:rsidR="003E0F58" w:rsidRPr="007C705C" w:rsidRDefault="003E0F58" w:rsidP="00DE509C">
      <w:pPr>
        <w:pStyle w:val="UZEIZdroj"/>
      </w:pPr>
      <w:r w:rsidRPr="007C705C">
        <w:rPr>
          <w:b/>
          <w:color w:val="FF0000"/>
        </w:rPr>
        <w:t>Červeně/tučně</w:t>
      </w:r>
      <w:r w:rsidRPr="007C705C">
        <w:rPr>
          <w:color w:val="FF0000"/>
        </w:rPr>
        <w:t xml:space="preserve"> </w:t>
      </w:r>
      <w:r w:rsidRPr="007C705C">
        <w:t>= mimo dosah zemědělce – příčinu nemůže změnit, ani SZP nemá nástroje na řešení</w:t>
      </w:r>
    </w:p>
    <w:p w14:paraId="739A088D" w14:textId="77777777" w:rsidR="003E0F58" w:rsidRPr="007C705C" w:rsidRDefault="003E0F58" w:rsidP="00DE509C">
      <w:pPr>
        <w:pStyle w:val="UZEIZdroj"/>
      </w:pPr>
      <w:r w:rsidRPr="007C705C">
        <w:rPr>
          <w:b/>
          <w:color w:val="7030A0"/>
        </w:rPr>
        <w:t>Fialově/tučně</w:t>
      </w:r>
      <w:r w:rsidRPr="007C705C">
        <w:rPr>
          <w:color w:val="7030A0"/>
        </w:rPr>
        <w:t xml:space="preserve"> </w:t>
      </w:r>
      <w:r w:rsidRPr="007C705C">
        <w:t>= může ovlivnit jen do jisté míry</w:t>
      </w:r>
    </w:p>
    <w:p w14:paraId="43C09949" w14:textId="53F19EAC" w:rsidR="000F241D" w:rsidRPr="00C4544F" w:rsidRDefault="003E0F58" w:rsidP="00DE509C">
      <w:pPr>
        <w:pStyle w:val="UZEIZdroj"/>
      </w:pPr>
      <w:r w:rsidRPr="007C705C">
        <w:t>Zdroj: Pracovní skupina Klima, 2018</w:t>
      </w:r>
    </w:p>
    <w:p w14:paraId="15C12E20" w14:textId="77611C0D" w:rsidR="003E0F58" w:rsidRPr="007C705C" w:rsidRDefault="003E0F58" w:rsidP="00C4544F">
      <w:pPr>
        <w:pStyle w:val="UZEIOdrky"/>
        <w:rPr>
          <w:rFonts w:eastAsiaTheme="minorEastAsia"/>
        </w:rPr>
      </w:pPr>
      <w:r w:rsidRPr="007C705C">
        <w:rPr>
          <w:rFonts w:eastAsiaTheme="minorEastAsia"/>
        </w:rPr>
        <w:t>Riziko vodní eroze a dalších degradačních faktorů</w:t>
      </w:r>
    </w:p>
    <w:p w14:paraId="2F134FA0" w14:textId="77777777" w:rsidR="003E0F58" w:rsidRPr="007C705C" w:rsidRDefault="003E0F58" w:rsidP="008A1AE3">
      <w:pPr>
        <w:pStyle w:val="Odstavecseseznamem"/>
        <w:numPr>
          <w:ilvl w:val="0"/>
          <w:numId w:val="33"/>
        </w:numPr>
        <w:spacing w:before="60" w:line="360" w:lineRule="atLeast"/>
        <w:rPr>
          <w:rFonts w:eastAsiaTheme="minorEastAsia"/>
          <w:u w:val="single"/>
        </w:rPr>
      </w:pPr>
      <w:r w:rsidRPr="007C705C">
        <w:rPr>
          <w:rFonts w:eastAsiaTheme="minorEastAsia"/>
          <w:u w:val="single"/>
        </w:rPr>
        <w:t>sklonitost a délka pozemku po spádnici</w:t>
      </w:r>
    </w:p>
    <w:p w14:paraId="12E28A57" w14:textId="77777777" w:rsidR="003E0F58" w:rsidRPr="007C705C" w:rsidRDefault="003E0F58" w:rsidP="008A1AE3">
      <w:pPr>
        <w:pStyle w:val="UZEINormaln"/>
        <w:numPr>
          <w:ilvl w:val="0"/>
          <w:numId w:val="41"/>
        </w:numPr>
        <w:rPr>
          <w:rFonts w:eastAsiaTheme="minorEastAsia"/>
        </w:rPr>
      </w:pPr>
      <w:r w:rsidRPr="007C705C">
        <w:rPr>
          <w:rFonts w:eastAsiaTheme="minorEastAsia"/>
        </w:rPr>
        <w:t xml:space="preserve">částečně řešeno v rámci problematiky DZES 5 vymezení MEO, SEO ploch / zemědělec mimo podmínek plnění DZES nemá potřebu zajistit vegetační pokryv </w:t>
      </w:r>
      <w:r w:rsidRPr="007C705C">
        <w:rPr>
          <w:rFonts w:eastAsiaTheme="minorEastAsia"/>
        </w:rPr>
        <w:lastRenderedPageBreak/>
        <w:t>mimo období pěstování hlavní plodiny (zvýšené finanční náklady na pěstování netržní plodiny)</w:t>
      </w:r>
    </w:p>
    <w:p w14:paraId="17E1DD96" w14:textId="77777777" w:rsidR="003E0F58" w:rsidRPr="007C705C" w:rsidRDefault="003E0F58" w:rsidP="008A1AE3">
      <w:pPr>
        <w:pStyle w:val="UZEINormaln"/>
        <w:numPr>
          <w:ilvl w:val="0"/>
          <w:numId w:val="41"/>
        </w:numPr>
        <w:rPr>
          <w:rFonts w:eastAsiaTheme="minorEastAsia"/>
        </w:rPr>
      </w:pPr>
      <w:r w:rsidRPr="007C705C">
        <w:rPr>
          <w:rFonts w:eastAsiaTheme="minorEastAsia"/>
        </w:rPr>
        <w:t>Zařazování půdoochranných technologií, uplatňování pásového střídání plodin, realizace mobilních technických protierozních prvků</w:t>
      </w:r>
    </w:p>
    <w:p w14:paraId="4EFE7CE3" w14:textId="77777777" w:rsidR="003E0F58" w:rsidRPr="007C705C" w:rsidRDefault="003E0F58" w:rsidP="008A1AE3">
      <w:pPr>
        <w:pStyle w:val="UZEINormaln"/>
        <w:numPr>
          <w:ilvl w:val="0"/>
          <w:numId w:val="41"/>
        </w:numPr>
        <w:rPr>
          <w:rFonts w:eastAsiaTheme="minorEastAsia"/>
        </w:rPr>
      </w:pPr>
      <w:r w:rsidRPr="007C705C">
        <w:rPr>
          <w:rFonts w:eastAsiaTheme="minorEastAsia"/>
        </w:rPr>
        <w:t>Diverzifikace plodin - souvislá plocha jedné zemědělské plodiny na DPB s kulturou standardní orná půda nepřesahující 30 ha (v SZP 14+ DZES 7d), větší diverzita plodin snižuje rizika degradace půdy (úbytek organické hmoty v půdě, eroze).</w:t>
      </w:r>
    </w:p>
    <w:p w14:paraId="1409EF8D" w14:textId="77777777" w:rsidR="003E0F58" w:rsidRPr="007C705C" w:rsidRDefault="003E0F58" w:rsidP="008A1AE3">
      <w:pPr>
        <w:pStyle w:val="Odstavecseseznamem"/>
        <w:numPr>
          <w:ilvl w:val="0"/>
          <w:numId w:val="33"/>
        </w:numPr>
        <w:spacing w:before="60" w:line="360" w:lineRule="atLeast"/>
        <w:rPr>
          <w:rFonts w:eastAsiaTheme="minorEastAsia"/>
          <w:u w:val="single"/>
        </w:rPr>
      </w:pPr>
      <w:r w:rsidRPr="007C705C">
        <w:rPr>
          <w:rFonts w:eastAsiaTheme="minorEastAsia"/>
          <w:u w:val="single"/>
        </w:rPr>
        <w:t>ztráta infiltrační a retenční kapacity půdy související s degradací živé složky půd, která neobnovuje strukturu a pórovitost půdy</w:t>
      </w:r>
    </w:p>
    <w:p w14:paraId="5C37BAF4" w14:textId="77777777" w:rsidR="003E0F58" w:rsidRPr="00C4544F" w:rsidRDefault="003E0F58" w:rsidP="008A1AE3">
      <w:pPr>
        <w:pStyle w:val="UZEINormaln"/>
        <w:numPr>
          <w:ilvl w:val="0"/>
          <w:numId w:val="41"/>
        </w:numPr>
        <w:rPr>
          <w:rFonts w:eastAsiaTheme="minorEastAsia"/>
        </w:rPr>
      </w:pPr>
      <w:r w:rsidRPr="00C4544F">
        <w:rPr>
          <w:rFonts w:eastAsiaTheme="minorEastAsia"/>
        </w:rPr>
        <w:t>Problematika úzce souvisí s aplikací organické hmoty (meziplodiny, org. hnojení), kdy některé zemědělské subjekty meziplodiny nechtějí uplatňovat z důvodu odběru půdní vláhy, živin či vysokých nákladů na aplikaci org. hnojiv. (příp. nemají dostatečné množství org. hnojiv vzhledem ke snižování chovů v živ. výrobě)</w:t>
      </w:r>
      <w:r w:rsidRPr="00C4544F">
        <w:rPr>
          <w:rFonts w:eastAsiaTheme="minorEastAsia"/>
        </w:rPr>
        <w:tab/>
      </w:r>
    </w:p>
    <w:p w14:paraId="610C0E76" w14:textId="77777777" w:rsidR="003E0F58" w:rsidRPr="00C4544F" w:rsidRDefault="003E0F58" w:rsidP="008A1AE3">
      <w:pPr>
        <w:pStyle w:val="UZEINormaln"/>
        <w:numPr>
          <w:ilvl w:val="0"/>
          <w:numId w:val="41"/>
        </w:numPr>
        <w:rPr>
          <w:rFonts w:eastAsiaTheme="minorEastAsia"/>
        </w:rPr>
      </w:pPr>
      <w:r w:rsidRPr="00C4544F">
        <w:rPr>
          <w:rFonts w:eastAsiaTheme="minorEastAsia"/>
        </w:rPr>
        <w:t>Podpora zařazování meziplodin do osevního postupu, dodržování bilance organické hmoty na obhospodařovaných blocích a částečná finanční kompenzace.</w:t>
      </w:r>
    </w:p>
    <w:p w14:paraId="2693AD52" w14:textId="77777777" w:rsidR="003E0F58" w:rsidRPr="00C4544F" w:rsidRDefault="003E0F58" w:rsidP="008A1AE3">
      <w:pPr>
        <w:pStyle w:val="UZEINormaln"/>
        <w:numPr>
          <w:ilvl w:val="0"/>
          <w:numId w:val="41"/>
        </w:numPr>
        <w:rPr>
          <w:rFonts w:eastAsiaTheme="minorEastAsia"/>
        </w:rPr>
      </w:pPr>
      <w:r w:rsidRPr="00C4544F">
        <w:rPr>
          <w:rFonts w:eastAsiaTheme="minorEastAsia"/>
        </w:rPr>
        <w:t>EFA plochy s potenciálem dodání organické hmoty do půdy (plochy s plodinami, které vážou dusík, plochy s meziplodinami, plochy s rychle rostoucími dřevinami, zalesněná plochy, úhor s porostem, souvrať a několik druhů krajinných prvků).</w:t>
      </w:r>
    </w:p>
    <w:p w14:paraId="0A6CDE36" w14:textId="77777777" w:rsidR="003E0F58" w:rsidRPr="007C705C" w:rsidRDefault="003E0F58" w:rsidP="008A1AE3">
      <w:pPr>
        <w:pStyle w:val="Odstavecseseznamem"/>
        <w:numPr>
          <w:ilvl w:val="0"/>
          <w:numId w:val="33"/>
        </w:numPr>
        <w:spacing w:before="60" w:line="360" w:lineRule="atLeast"/>
        <w:rPr>
          <w:rFonts w:eastAsiaTheme="minorEastAsia"/>
          <w:u w:val="single"/>
        </w:rPr>
      </w:pPr>
      <w:r w:rsidRPr="007C705C">
        <w:rPr>
          <w:rFonts w:eastAsiaTheme="minorEastAsia"/>
          <w:u w:val="single"/>
        </w:rPr>
        <w:t>nevhodný nebo nedostatečný (chybějící) vegetační pokryv</w:t>
      </w:r>
    </w:p>
    <w:p w14:paraId="0D9572AB" w14:textId="6FFDA5D7" w:rsidR="003E0F58" w:rsidRPr="00C4544F" w:rsidRDefault="003E0F58" w:rsidP="008A1AE3">
      <w:pPr>
        <w:pStyle w:val="UZEINormaln"/>
        <w:numPr>
          <w:ilvl w:val="0"/>
          <w:numId w:val="41"/>
        </w:numPr>
        <w:rPr>
          <w:rFonts w:eastAsiaTheme="minorEastAsia"/>
        </w:rPr>
      </w:pPr>
      <w:r w:rsidRPr="00C4544F">
        <w:rPr>
          <w:rFonts w:eastAsiaTheme="minorEastAsia"/>
        </w:rPr>
        <w:t>Zajišťovat pokryv v době nejčastějšího výskytu přívalových srážek (duben-říjen) v některých případech zvyšuje náklady se zpracováním půdy a osivy (částečně řešeno DZES 5)</w:t>
      </w:r>
      <w:r w:rsidR="00C4544F">
        <w:rPr>
          <w:rFonts w:eastAsiaTheme="minorEastAsia"/>
        </w:rPr>
        <w:t>.</w:t>
      </w:r>
      <w:r w:rsidRPr="00C4544F">
        <w:rPr>
          <w:rFonts w:eastAsiaTheme="minorEastAsia"/>
        </w:rPr>
        <w:tab/>
      </w:r>
    </w:p>
    <w:p w14:paraId="395CD4AD" w14:textId="70D02A0E" w:rsidR="003E0F58" w:rsidRPr="00C4544F" w:rsidRDefault="003E0F58" w:rsidP="008A1AE3">
      <w:pPr>
        <w:pStyle w:val="UZEINormaln"/>
        <w:numPr>
          <w:ilvl w:val="0"/>
          <w:numId w:val="41"/>
        </w:numPr>
        <w:rPr>
          <w:rFonts w:eastAsiaTheme="minorEastAsia"/>
        </w:rPr>
      </w:pPr>
      <w:r w:rsidRPr="00C4544F">
        <w:rPr>
          <w:rFonts w:eastAsiaTheme="minorEastAsia"/>
        </w:rPr>
        <w:t>Zařazování technologií zvyšující pokryvnost povrchu v době vegetace (přímé setí do rostlinných zbytků "No till", pásové zpracování půdy "Strip-till")</w:t>
      </w:r>
      <w:r w:rsidR="00C4544F">
        <w:rPr>
          <w:rFonts w:eastAsiaTheme="minorEastAsia"/>
        </w:rPr>
        <w:t>.</w:t>
      </w:r>
    </w:p>
    <w:p w14:paraId="3957C06C" w14:textId="77777777" w:rsidR="003E0F58" w:rsidRPr="007C705C" w:rsidRDefault="003E0F58" w:rsidP="008A1AE3">
      <w:pPr>
        <w:pStyle w:val="Odstavecseseznamem"/>
        <w:numPr>
          <w:ilvl w:val="0"/>
          <w:numId w:val="33"/>
        </w:numPr>
        <w:spacing w:before="60" w:line="360" w:lineRule="atLeast"/>
        <w:rPr>
          <w:rFonts w:eastAsiaTheme="minorEastAsia"/>
          <w:u w:val="single"/>
        </w:rPr>
      </w:pPr>
      <w:r w:rsidRPr="007C705C">
        <w:rPr>
          <w:rFonts w:eastAsiaTheme="minorEastAsia"/>
          <w:u w:val="single"/>
        </w:rPr>
        <w:t>vlastnosti půdy a její náchylnosti k erozi</w:t>
      </w:r>
    </w:p>
    <w:p w14:paraId="767DC553" w14:textId="79E52E01" w:rsidR="003E0F58" w:rsidRPr="00C4544F" w:rsidRDefault="003E0F58" w:rsidP="008A1AE3">
      <w:pPr>
        <w:pStyle w:val="UZEINormaln"/>
        <w:numPr>
          <w:ilvl w:val="0"/>
          <w:numId w:val="41"/>
        </w:numPr>
        <w:rPr>
          <w:rFonts w:eastAsiaTheme="minorEastAsia"/>
        </w:rPr>
      </w:pPr>
      <w:r w:rsidRPr="00C4544F">
        <w:rPr>
          <w:rFonts w:eastAsiaTheme="minorEastAsia"/>
        </w:rPr>
        <w:t xml:space="preserve">Tento faktor je ovlivnitelný v omezené míře a zpravidla souvisí s uplatněním meziplodin a org. </w:t>
      </w:r>
      <w:r w:rsidR="00C4544F" w:rsidRPr="00C4544F">
        <w:rPr>
          <w:rFonts w:eastAsiaTheme="minorEastAsia"/>
        </w:rPr>
        <w:t>H</w:t>
      </w:r>
      <w:r w:rsidRPr="00C4544F">
        <w:rPr>
          <w:rFonts w:eastAsiaTheme="minorEastAsia"/>
        </w:rPr>
        <w:t>nojením</w:t>
      </w:r>
      <w:r w:rsidR="00C4544F">
        <w:rPr>
          <w:rFonts w:eastAsiaTheme="minorEastAsia"/>
        </w:rPr>
        <w:t>.</w:t>
      </w:r>
      <w:r w:rsidRPr="00C4544F">
        <w:rPr>
          <w:rFonts w:eastAsiaTheme="minorEastAsia"/>
        </w:rPr>
        <w:tab/>
      </w:r>
    </w:p>
    <w:p w14:paraId="5207F60A" w14:textId="5CE52CFB" w:rsidR="003E0F58" w:rsidRPr="00C4544F" w:rsidRDefault="003E0F58" w:rsidP="008A1AE3">
      <w:pPr>
        <w:pStyle w:val="UZEINormaln"/>
        <w:numPr>
          <w:ilvl w:val="0"/>
          <w:numId w:val="41"/>
        </w:numPr>
        <w:rPr>
          <w:rFonts w:eastAsiaTheme="minorEastAsia"/>
        </w:rPr>
      </w:pPr>
      <w:r w:rsidRPr="00C4544F">
        <w:rPr>
          <w:rFonts w:eastAsiaTheme="minorEastAsia"/>
        </w:rPr>
        <w:t xml:space="preserve">Souvislost se zařazováním meziplodin a aplikací org. </w:t>
      </w:r>
      <w:r w:rsidR="00C4544F" w:rsidRPr="00C4544F">
        <w:rPr>
          <w:rFonts w:eastAsiaTheme="minorEastAsia"/>
        </w:rPr>
        <w:t>H</w:t>
      </w:r>
      <w:r w:rsidRPr="00C4544F">
        <w:rPr>
          <w:rFonts w:eastAsiaTheme="minorEastAsia"/>
        </w:rPr>
        <w:t>moty</w:t>
      </w:r>
      <w:r w:rsidR="00C4544F">
        <w:rPr>
          <w:rFonts w:eastAsiaTheme="minorEastAsia"/>
        </w:rPr>
        <w:t>.</w:t>
      </w:r>
    </w:p>
    <w:p w14:paraId="1676C543" w14:textId="77777777" w:rsidR="003E0F58" w:rsidRPr="007C705C" w:rsidRDefault="003E0F58" w:rsidP="008A1AE3">
      <w:pPr>
        <w:pStyle w:val="Odstavecseseznamem"/>
        <w:numPr>
          <w:ilvl w:val="0"/>
          <w:numId w:val="33"/>
        </w:numPr>
        <w:spacing w:before="60" w:line="360" w:lineRule="atLeast"/>
        <w:rPr>
          <w:rFonts w:eastAsiaTheme="minorEastAsia"/>
          <w:u w:val="single"/>
        </w:rPr>
      </w:pPr>
      <w:r w:rsidRPr="007C705C">
        <w:rPr>
          <w:rFonts w:eastAsiaTheme="minorEastAsia"/>
          <w:u w:val="single"/>
        </w:rPr>
        <w:t>přítomnost protierozních opatření</w:t>
      </w:r>
    </w:p>
    <w:p w14:paraId="657A56D5" w14:textId="77777777" w:rsidR="003E0F58" w:rsidRPr="00C4544F" w:rsidRDefault="003E0F58" w:rsidP="008A1AE3">
      <w:pPr>
        <w:pStyle w:val="UZEINormaln"/>
        <w:numPr>
          <w:ilvl w:val="0"/>
          <w:numId w:val="41"/>
        </w:numPr>
        <w:rPr>
          <w:rFonts w:eastAsiaTheme="minorEastAsia"/>
        </w:rPr>
      </w:pPr>
      <w:r w:rsidRPr="00C4544F">
        <w:rPr>
          <w:rFonts w:eastAsiaTheme="minorEastAsia"/>
        </w:rPr>
        <w:t xml:space="preserve">Realizace je spjata s vyjasněním vlastnických vztahů a zajištěním dostatečných finančních prostředků. </w:t>
      </w:r>
      <w:r w:rsidRPr="00C4544F">
        <w:rPr>
          <w:rFonts w:eastAsiaTheme="minorEastAsia"/>
        </w:rPr>
        <w:tab/>
      </w:r>
    </w:p>
    <w:p w14:paraId="21620BC3" w14:textId="5EFB8D8C" w:rsidR="003E0F58" w:rsidRPr="00C4544F" w:rsidRDefault="003E0F58" w:rsidP="008A1AE3">
      <w:pPr>
        <w:pStyle w:val="UZEINormaln"/>
        <w:numPr>
          <w:ilvl w:val="0"/>
          <w:numId w:val="41"/>
        </w:numPr>
        <w:rPr>
          <w:rFonts w:eastAsiaTheme="minorEastAsia"/>
        </w:rPr>
      </w:pPr>
      <w:r w:rsidRPr="00C4544F">
        <w:rPr>
          <w:rFonts w:eastAsiaTheme="minorEastAsia"/>
        </w:rPr>
        <w:t>Podpora agrolesnictví, podpora pozemkových úprav</w:t>
      </w:r>
      <w:r w:rsidR="00C4544F">
        <w:rPr>
          <w:rFonts w:eastAsiaTheme="minorEastAsia"/>
        </w:rPr>
        <w:t>.</w:t>
      </w:r>
    </w:p>
    <w:p w14:paraId="4969FE46" w14:textId="77777777" w:rsidR="003E0F58" w:rsidRPr="007C705C" w:rsidRDefault="003E0F58" w:rsidP="008A1AE3">
      <w:pPr>
        <w:pStyle w:val="Odstavecseseznamem"/>
        <w:numPr>
          <w:ilvl w:val="0"/>
          <w:numId w:val="33"/>
        </w:numPr>
        <w:spacing w:before="60" w:line="360" w:lineRule="atLeast"/>
        <w:rPr>
          <w:rFonts w:eastAsiaTheme="minorEastAsia"/>
          <w:u w:val="single"/>
        </w:rPr>
      </w:pPr>
      <w:r w:rsidRPr="007C705C">
        <w:rPr>
          <w:rFonts w:eastAsiaTheme="minorEastAsia"/>
          <w:u w:val="single"/>
        </w:rPr>
        <w:t>velké půdní bloky bez přítomnosti krajinných prvků</w:t>
      </w:r>
    </w:p>
    <w:p w14:paraId="024C9362" w14:textId="77777777" w:rsidR="003E0F58" w:rsidRPr="00C4544F" w:rsidRDefault="003E0F58" w:rsidP="008A1AE3">
      <w:pPr>
        <w:pStyle w:val="UZEINormaln"/>
        <w:numPr>
          <w:ilvl w:val="0"/>
          <w:numId w:val="41"/>
        </w:numPr>
        <w:rPr>
          <w:rFonts w:eastAsiaTheme="minorEastAsia"/>
        </w:rPr>
      </w:pPr>
      <w:r w:rsidRPr="00C4544F">
        <w:rPr>
          <w:rFonts w:eastAsiaTheme="minorEastAsia"/>
        </w:rPr>
        <w:t>Neochota zemědělců vychází z předpokladu, že krajinné prvky je omezí při obhospodařování. V dnešní době je již možné využívat navigace při obhospodařování a prostředky GIS, které racionalizují pojezdy i v omezeném prostředí.</w:t>
      </w:r>
      <w:r w:rsidRPr="00C4544F">
        <w:rPr>
          <w:rFonts w:eastAsiaTheme="minorEastAsia"/>
        </w:rPr>
        <w:tab/>
      </w:r>
    </w:p>
    <w:p w14:paraId="4EBEC2CF" w14:textId="73721111" w:rsidR="003E0F58" w:rsidRPr="00C4544F" w:rsidRDefault="003E0F58" w:rsidP="008A1AE3">
      <w:pPr>
        <w:pStyle w:val="UZEINormaln"/>
        <w:numPr>
          <w:ilvl w:val="0"/>
          <w:numId w:val="41"/>
        </w:numPr>
        <w:rPr>
          <w:rFonts w:eastAsiaTheme="minorEastAsia"/>
        </w:rPr>
      </w:pPr>
      <w:r w:rsidRPr="00C4544F">
        <w:rPr>
          <w:rFonts w:eastAsiaTheme="minorEastAsia"/>
        </w:rPr>
        <w:lastRenderedPageBreak/>
        <w:t>Podpora agrolesnictví, podpora pozemkových úprav, podpora navigačních technologií a GIS</w:t>
      </w:r>
      <w:r w:rsidR="00C4544F">
        <w:rPr>
          <w:rFonts w:eastAsiaTheme="minorEastAsia"/>
        </w:rPr>
        <w:t>.</w:t>
      </w:r>
    </w:p>
    <w:p w14:paraId="07445F7D" w14:textId="77777777" w:rsidR="003E0F58" w:rsidRPr="007C705C" w:rsidRDefault="003E0F58" w:rsidP="008A1AE3">
      <w:pPr>
        <w:pStyle w:val="Odstavecseseznamem"/>
        <w:numPr>
          <w:ilvl w:val="0"/>
          <w:numId w:val="33"/>
        </w:numPr>
        <w:spacing w:before="60" w:line="360" w:lineRule="atLeast"/>
        <w:rPr>
          <w:rFonts w:eastAsiaTheme="minorEastAsia"/>
          <w:u w:val="single"/>
        </w:rPr>
      </w:pPr>
      <w:r w:rsidRPr="007C705C">
        <w:rPr>
          <w:rFonts w:eastAsiaTheme="minorEastAsia"/>
          <w:u w:val="single"/>
        </w:rPr>
        <w:t>četnost výskytu přívalových srážek</w:t>
      </w:r>
    </w:p>
    <w:p w14:paraId="650FF22F" w14:textId="7A05B7E0" w:rsidR="003E0F58" w:rsidRPr="00C4544F" w:rsidRDefault="003E0F58" w:rsidP="008A1AE3">
      <w:pPr>
        <w:pStyle w:val="UZEINormaln"/>
        <w:numPr>
          <w:ilvl w:val="0"/>
          <w:numId w:val="41"/>
        </w:numPr>
        <w:rPr>
          <w:rFonts w:eastAsiaTheme="minorEastAsia"/>
        </w:rPr>
      </w:pPr>
      <w:r w:rsidRPr="00C4544F">
        <w:rPr>
          <w:rFonts w:eastAsiaTheme="minorEastAsia"/>
        </w:rPr>
        <w:t>Tento faktor není ovlivnitelný</w:t>
      </w:r>
      <w:r w:rsidR="00C4544F">
        <w:rPr>
          <w:rFonts w:eastAsiaTheme="minorEastAsia"/>
        </w:rPr>
        <w:t>.</w:t>
      </w:r>
      <w:r w:rsidRPr="00C4544F">
        <w:rPr>
          <w:rFonts w:eastAsiaTheme="minorEastAsia"/>
        </w:rPr>
        <w:tab/>
      </w:r>
    </w:p>
    <w:p w14:paraId="1564B6AB" w14:textId="6F986C3D" w:rsidR="003E0F58" w:rsidRPr="00C4544F" w:rsidRDefault="003E0F58" w:rsidP="008A1AE3">
      <w:pPr>
        <w:pStyle w:val="UZEINormaln"/>
        <w:numPr>
          <w:ilvl w:val="0"/>
          <w:numId w:val="41"/>
        </w:numPr>
        <w:rPr>
          <w:rFonts w:eastAsiaTheme="minorEastAsia"/>
        </w:rPr>
      </w:pPr>
      <w:r w:rsidRPr="00C4544F">
        <w:rPr>
          <w:rFonts w:eastAsiaTheme="minorEastAsia"/>
        </w:rPr>
        <w:t>Vhodná by byla podpora monitoringu a vyhodnocování srážek a navrhnout systém preventivní ochrany</w:t>
      </w:r>
      <w:r w:rsidR="00C4544F">
        <w:rPr>
          <w:rFonts w:eastAsiaTheme="minorEastAsia"/>
        </w:rPr>
        <w:t>.</w:t>
      </w:r>
    </w:p>
    <w:p w14:paraId="53C08DD8" w14:textId="40892AA9" w:rsidR="003E0F58" w:rsidRPr="007C705C" w:rsidRDefault="00C4544F" w:rsidP="00C4544F">
      <w:pPr>
        <w:pStyle w:val="UZEITaB"/>
      </w:pPr>
      <w:bookmarkStart w:id="363" w:name="_Toc77245842"/>
      <w:r>
        <w:t xml:space="preserve"> </w:t>
      </w:r>
      <w:bookmarkStart w:id="364" w:name="_Toc94181606"/>
      <w:r w:rsidR="003E0F58" w:rsidRPr="007C705C">
        <w:t xml:space="preserve">Možnosti efektivního řešení problému v rámci nástrojů SZP - </w:t>
      </w:r>
      <w:r w:rsidR="003E0F58" w:rsidRPr="007C705C">
        <w:rPr>
          <w:rFonts w:eastAsiaTheme="minorEastAsia"/>
        </w:rPr>
        <w:t>Riziko vodní eroze a dalších degradačních faktorů</w:t>
      </w:r>
      <w:bookmarkEnd w:id="363"/>
      <w:bookmarkEnd w:id="364"/>
    </w:p>
    <w:tbl>
      <w:tblPr>
        <w:tblStyle w:val="Mkatabulky2"/>
        <w:tblpPr w:leftFromText="141" w:rightFromText="141" w:vertAnchor="text" w:horzAnchor="margin" w:tblpY="174"/>
        <w:tblW w:w="9351" w:type="dxa"/>
        <w:tblLayout w:type="fixed"/>
        <w:tblLook w:val="04A0" w:firstRow="1" w:lastRow="0" w:firstColumn="1" w:lastColumn="0" w:noHBand="0" w:noVBand="1"/>
      </w:tblPr>
      <w:tblGrid>
        <w:gridCol w:w="1384"/>
        <w:gridCol w:w="1418"/>
        <w:gridCol w:w="2268"/>
        <w:gridCol w:w="1701"/>
        <w:gridCol w:w="1275"/>
        <w:gridCol w:w="1305"/>
      </w:tblGrid>
      <w:tr w:rsidR="003E0F58" w:rsidRPr="00C4544F" w14:paraId="735D5DF7" w14:textId="77777777" w:rsidTr="00C4544F">
        <w:tc>
          <w:tcPr>
            <w:tcW w:w="1384" w:type="dxa"/>
            <w:shd w:val="clear" w:color="auto" w:fill="E7E6E6" w:themeFill="background2"/>
          </w:tcPr>
          <w:p w14:paraId="1D0E7B80" w14:textId="77777777" w:rsidR="003E0F58" w:rsidRPr="00C4544F" w:rsidRDefault="003E0F58" w:rsidP="004D2249">
            <w:pPr>
              <w:jc w:val="left"/>
              <w:rPr>
                <w:rFonts w:eastAsia="Calibri" w:cs="Times New Roman"/>
                <w:b/>
                <w:sz w:val="20"/>
                <w:szCs w:val="20"/>
              </w:rPr>
            </w:pPr>
            <w:r w:rsidRPr="00C4544F">
              <w:rPr>
                <w:rFonts w:eastAsia="Calibri" w:cs="Times New Roman"/>
                <w:b/>
                <w:sz w:val="20"/>
                <w:szCs w:val="20"/>
              </w:rPr>
              <w:t>Problém</w:t>
            </w:r>
          </w:p>
        </w:tc>
        <w:tc>
          <w:tcPr>
            <w:tcW w:w="1418" w:type="dxa"/>
            <w:shd w:val="clear" w:color="auto" w:fill="E7E6E6" w:themeFill="background2"/>
          </w:tcPr>
          <w:p w14:paraId="4FA4A3C8" w14:textId="77777777" w:rsidR="003E0F58" w:rsidRPr="00C4544F" w:rsidRDefault="003E0F58" w:rsidP="004D2249">
            <w:pPr>
              <w:jc w:val="left"/>
              <w:rPr>
                <w:rFonts w:eastAsia="Calibri" w:cs="Times New Roman"/>
                <w:b/>
                <w:sz w:val="20"/>
                <w:szCs w:val="20"/>
              </w:rPr>
            </w:pPr>
            <w:r w:rsidRPr="00C4544F">
              <w:rPr>
                <w:rFonts w:eastAsia="Calibri" w:cs="Times New Roman"/>
                <w:b/>
                <w:sz w:val="20"/>
                <w:szCs w:val="20"/>
              </w:rPr>
              <w:t>Příčiny</w:t>
            </w:r>
          </w:p>
        </w:tc>
        <w:tc>
          <w:tcPr>
            <w:tcW w:w="2268" w:type="dxa"/>
            <w:shd w:val="clear" w:color="auto" w:fill="E7E6E6" w:themeFill="background2"/>
          </w:tcPr>
          <w:p w14:paraId="7A2C1807" w14:textId="77777777" w:rsidR="003E0F58" w:rsidRPr="00C4544F" w:rsidRDefault="003E0F58" w:rsidP="004D2249">
            <w:pPr>
              <w:jc w:val="left"/>
              <w:rPr>
                <w:rFonts w:eastAsia="Calibri" w:cs="Times New Roman"/>
                <w:b/>
                <w:sz w:val="20"/>
                <w:szCs w:val="20"/>
              </w:rPr>
            </w:pPr>
            <w:r w:rsidRPr="00C4544F">
              <w:rPr>
                <w:rFonts w:eastAsia="Calibri" w:cs="Times New Roman"/>
                <w:b/>
                <w:sz w:val="20"/>
                <w:szCs w:val="20"/>
              </w:rPr>
              <w:t>Převládající chování/reakce zemědělců</w:t>
            </w:r>
          </w:p>
        </w:tc>
        <w:tc>
          <w:tcPr>
            <w:tcW w:w="1701" w:type="dxa"/>
            <w:shd w:val="clear" w:color="auto" w:fill="E7E6E6" w:themeFill="background2"/>
          </w:tcPr>
          <w:p w14:paraId="08A2C5B9" w14:textId="77777777" w:rsidR="003E0F58" w:rsidRPr="00C4544F" w:rsidRDefault="003E0F58" w:rsidP="004D2249">
            <w:pPr>
              <w:jc w:val="left"/>
              <w:rPr>
                <w:rFonts w:eastAsia="Calibri" w:cs="Times New Roman"/>
                <w:b/>
                <w:sz w:val="20"/>
                <w:szCs w:val="20"/>
              </w:rPr>
            </w:pPr>
            <w:r w:rsidRPr="00C4544F">
              <w:rPr>
                <w:rFonts w:eastAsia="Calibri" w:cs="Times New Roman"/>
                <w:b/>
                <w:sz w:val="20"/>
                <w:szCs w:val="20"/>
              </w:rPr>
              <w:t>Nutná změna</w:t>
            </w:r>
          </w:p>
        </w:tc>
        <w:tc>
          <w:tcPr>
            <w:tcW w:w="1275" w:type="dxa"/>
            <w:shd w:val="clear" w:color="auto" w:fill="E7E6E6" w:themeFill="background2"/>
          </w:tcPr>
          <w:p w14:paraId="67880360" w14:textId="77777777" w:rsidR="003E0F58" w:rsidRPr="00C4544F" w:rsidRDefault="003E0F58" w:rsidP="004D2249">
            <w:pPr>
              <w:jc w:val="left"/>
              <w:rPr>
                <w:rFonts w:eastAsia="Calibri" w:cs="Times New Roman"/>
                <w:b/>
                <w:sz w:val="20"/>
                <w:szCs w:val="20"/>
              </w:rPr>
            </w:pPr>
            <w:r w:rsidRPr="00C4544F">
              <w:rPr>
                <w:rFonts w:eastAsia="Calibri" w:cs="Times New Roman"/>
                <w:b/>
                <w:sz w:val="20"/>
                <w:szCs w:val="20"/>
              </w:rPr>
              <w:t>Prvek intervence</w:t>
            </w:r>
          </w:p>
        </w:tc>
        <w:tc>
          <w:tcPr>
            <w:tcW w:w="1305" w:type="dxa"/>
            <w:shd w:val="clear" w:color="auto" w:fill="E7E6E6" w:themeFill="background2"/>
          </w:tcPr>
          <w:p w14:paraId="67F66A6A" w14:textId="77777777" w:rsidR="003E0F58" w:rsidRPr="00C4544F" w:rsidRDefault="003E0F58" w:rsidP="004D2249">
            <w:pPr>
              <w:jc w:val="left"/>
              <w:rPr>
                <w:rFonts w:eastAsia="Calibri" w:cs="Times New Roman"/>
                <w:b/>
                <w:sz w:val="20"/>
                <w:szCs w:val="20"/>
              </w:rPr>
            </w:pPr>
            <w:r w:rsidRPr="00C4544F">
              <w:rPr>
                <w:rFonts w:eastAsia="Calibri" w:cs="Times New Roman"/>
                <w:b/>
                <w:sz w:val="20"/>
                <w:szCs w:val="20"/>
              </w:rPr>
              <w:t>Intervence</w:t>
            </w:r>
          </w:p>
        </w:tc>
      </w:tr>
      <w:tr w:rsidR="003E0F58" w:rsidRPr="00C4544F" w14:paraId="20193D6D" w14:textId="77777777" w:rsidTr="00C4544F">
        <w:tc>
          <w:tcPr>
            <w:tcW w:w="1384" w:type="dxa"/>
          </w:tcPr>
          <w:p w14:paraId="5FEAB76D" w14:textId="77777777" w:rsidR="003E0F58" w:rsidRPr="00C4544F" w:rsidRDefault="003E0F58" w:rsidP="004D2249">
            <w:pPr>
              <w:jc w:val="left"/>
              <w:rPr>
                <w:rFonts w:eastAsia="Calibri" w:cs="Times New Roman"/>
                <w:sz w:val="20"/>
                <w:szCs w:val="20"/>
              </w:rPr>
            </w:pPr>
            <w:r w:rsidRPr="00C4544F">
              <w:rPr>
                <w:rFonts w:eastAsiaTheme="minorEastAsia" w:cs="Times New Roman"/>
                <w:sz w:val="20"/>
                <w:szCs w:val="20"/>
              </w:rPr>
              <w:t>Riziko vodní eroze a dalších degradačních faktorů</w:t>
            </w:r>
          </w:p>
        </w:tc>
        <w:tc>
          <w:tcPr>
            <w:tcW w:w="1418" w:type="dxa"/>
          </w:tcPr>
          <w:p w14:paraId="4A8BC39D" w14:textId="77777777" w:rsidR="003E0F58" w:rsidRPr="00C4544F" w:rsidRDefault="003E0F58" w:rsidP="004D2249">
            <w:pPr>
              <w:jc w:val="left"/>
              <w:rPr>
                <w:rFonts w:eastAsiaTheme="minorEastAsia" w:cs="Times New Roman"/>
                <w:sz w:val="20"/>
                <w:szCs w:val="20"/>
              </w:rPr>
            </w:pPr>
            <w:r w:rsidRPr="00C4544F">
              <w:rPr>
                <w:rFonts w:eastAsiaTheme="minorEastAsia" w:cs="Times New Roman"/>
                <w:sz w:val="20"/>
                <w:szCs w:val="20"/>
              </w:rPr>
              <w:t>Sklonitost</w:t>
            </w:r>
          </w:p>
          <w:p w14:paraId="6EDC30E7" w14:textId="77777777" w:rsidR="003E0F58" w:rsidRPr="00C4544F" w:rsidRDefault="003E0F58" w:rsidP="004D2249">
            <w:pPr>
              <w:jc w:val="left"/>
              <w:rPr>
                <w:rFonts w:eastAsiaTheme="minorEastAsia" w:cs="Times New Roman"/>
                <w:sz w:val="20"/>
                <w:szCs w:val="20"/>
              </w:rPr>
            </w:pPr>
          </w:p>
          <w:p w14:paraId="104D0A14" w14:textId="77777777" w:rsidR="003E0F58" w:rsidRPr="00C4544F" w:rsidRDefault="003E0F58" w:rsidP="004D2249">
            <w:pPr>
              <w:jc w:val="left"/>
              <w:rPr>
                <w:rFonts w:eastAsiaTheme="minorEastAsia" w:cs="Times New Roman"/>
                <w:color w:val="7030A0"/>
                <w:sz w:val="20"/>
                <w:szCs w:val="20"/>
              </w:rPr>
            </w:pPr>
            <w:r w:rsidRPr="00C4544F">
              <w:rPr>
                <w:rFonts w:eastAsiaTheme="minorEastAsia" w:cs="Times New Roman"/>
                <w:color w:val="7030A0"/>
                <w:sz w:val="20"/>
                <w:szCs w:val="20"/>
              </w:rPr>
              <w:t>Dlouhé svahy</w:t>
            </w:r>
          </w:p>
          <w:p w14:paraId="768853FD" w14:textId="77777777" w:rsidR="003E0F58" w:rsidRPr="00C4544F" w:rsidRDefault="003E0F58" w:rsidP="004D2249">
            <w:pPr>
              <w:jc w:val="left"/>
              <w:rPr>
                <w:rFonts w:eastAsiaTheme="minorEastAsia" w:cs="Times New Roman"/>
                <w:color w:val="7030A0"/>
                <w:sz w:val="20"/>
                <w:szCs w:val="20"/>
              </w:rPr>
            </w:pPr>
          </w:p>
          <w:p w14:paraId="670B0FFD" w14:textId="77777777" w:rsidR="003E0F58" w:rsidRPr="00C4544F" w:rsidRDefault="003E0F58" w:rsidP="004D2249">
            <w:pPr>
              <w:jc w:val="left"/>
              <w:rPr>
                <w:rFonts w:eastAsiaTheme="minorEastAsia" w:cs="Times New Roman"/>
                <w:sz w:val="20"/>
                <w:szCs w:val="20"/>
              </w:rPr>
            </w:pPr>
            <w:r w:rsidRPr="00C4544F">
              <w:rPr>
                <w:rFonts w:eastAsiaTheme="minorEastAsia" w:cs="Times New Roman"/>
                <w:sz w:val="20"/>
                <w:szCs w:val="20"/>
              </w:rPr>
              <w:t>Velké půdní bloky</w:t>
            </w:r>
          </w:p>
          <w:p w14:paraId="2E713926" w14:textId="77777777" w:rsidR="003E0F58" w:rsidRPr="00C4544F" w:rsidRDefault="003E0F58" w:rsidP="004D2249">
            <w:pPr>
              <w:jc w:val="left"/>
              <w:rPr>
                <w:rFonts w:eastAsiaTheme="minorEastAsia" w:cs="Times New Roman"/>
                <w:sz w:val="20"/>
                <w:szCs w:val="20"/>
              </w:rPr>
            </w:pPr>
          </w:p>
          <w:p w14:paraId="48AA3149" w14:textId="77777777" w:rsidR="003E0F58" w:rsidRPr="00C4544F" w:rsidRDefault="003E0F58" w:rsidP="004D2249">
            <w:pPr>
              <w:jc w:val="left"/>
              <w:rPr>
                <w:rFonts w:eastAsiaTheme="minorEastAsia" w:cs="Times New Roman"/>
                <w:sz w:val="20"/>
                <w:szCs w:val="20"/>
              </w:rPr>
            </w:pPr>
            <w:r w:rsidRPr="00C4544F">
              <w:rPr>
                <w:rFonts w:eastAsiaTheme="minorEastAsia" w:cs="Times New Roman"/>
                <w:sz w:val="20"/>
                <w:szCs w:val="20"/>
              </w:rPr>
              <w:t>Infiltrační a retenční kapacita půd</w:t>
            </w:r>
          </w:p>
          <w:p w14:paraId="44318620" w14:textId="77777777" w:rsidR="003E0F58" w:rsidRPr="00C4544F" w:rsidRDefault="003E0F58" w:rsidP="004D2249">
            <w:pPr>
              <w:jc w:val="left"/>
              <w:rPr>
                <w:rFonts w:eastAsiaTheme="minorEastAsia" w:cs="Times New Roman"/>
                <w:sz w:val="20"/>
                <w:szCs w:val="20"/>
              </w:rPr>
            </w:pPr>
          </w:p>
          <w:p w14:paraId="3AF353D7" w14:textId="77777777" w:rsidR="003E0F58" w:rsidRPr="00C4544F" w:rsidRDefault="003E0F58" w:rsidP="004D2249">
            <w:pPr>
              <w:jc w:val="left"/>
              <w:rPr>
                <w:rFonts w:eastAsiaTheme="minorEastAsia" w:cs="Times New Roman"/>
                <w:sz w:val="20"/>
                <w:szCs w:val="20"/>
              </w:rPr>
            </w:pPr>
            <w:r w:rsidRPr="00C4544F">
              <w:rPr>
                <w:rFonts w:eastAsiaTheme="minorEastAsia" w:cs="Times New Roman"/>
                <w:sz w:val="20"/>
                <w:szCs w:val="20"/>
              </w:rPr>
              <w:t>Struktura a pórovitost půd</w:t>
            </w:r>
            <w:r w:rsidRPr="00C4544F">
              <w:rPr>
                <w:rFonts w:eastAsiaTheme="minorEastAsia" w:cs="Times New Roman"/>
                <w:sz w:val="20"/>
                <w:szCs w:val="20"/>
                <w:vertAlign w:val="superscript"/>
              </w:rPr>
              <w:footnoteReference w:id="6"/>
            </w:r>
          </w:p>
          <w:p w14:paraId="23E42D42" w14:textId="77777777" w:rsidR="003E0F58" w:rsidRPr="00C4544F" w:rsidRDefault="003E0F58" w:rsidP="004D2249">
            <w:pPr>
              <w:jc w:val="left"/>
              <w:rPr>
                <w:rFonts w:eastAsiaTheme="minorEastAsia" w:cs="Times New Roman"/>
                <w:sz w:val="20"/>
                <w:szCs w:val="20"/>
              </w:rPr>
            </w:pPr>
          </w:p>
          <w:p w14:paraId="03A901C4" w14:textId="629D2F74" w:rsidR="003E0F58" w:rsidRPr="002C3E3C" w:rsidRDefault="002C3E3C" w:rsidP="004D2249">
            <w:pPr>
              <w:jc w:val="left"/>
              <w:rPr>
                <w:rFonts w:eastAsiaTheme="minorEastAsia" w:cs="Times New Roman"/>
                <w:sz w:val="20"/>
                <w:szCs w:val="20"/>
              </w:rPr>
            </w:pPr>
            <w:r>
              <w:rPr>
                <w:rFonts w:eastAsiaTheme="minorEastAsia" w:cs="Times New Roman"/>
                <w:color w:val="FF0000"/>
                <w:sz w:val="20"/>
                <w:szCs w:val="20"/>
              </w:rPr>
              <w:t>Č</w:t>
            </w:r>
            <w:r w:rsidR="003E0F58" w:rsidRPr="002C3E3C">
              <w:rPr>
                <w:rFonts w:eastAsiaTheme="minorEastAsia" w:cs="Times New Roman"/>
                <w:color w:val="FF0000"/>
                <w:sz w:val="20"/>
                <w:szCs w:val="20"/>
              </w:rPr>
              <w:t>etnost výskytu přívalových srážek</w:t>
            </w:r>
          </w:p>
        </w:tc>
        <w:tc>
          <w:tcPr>
            <w:tcW w:w="2268" w:type="dxa"/>
          </w:tcPr>
          <w:p w14:paraId="05B565F1" w14:textId="77777777" w:rsidR="003E0F58" w:rsidRPr="00C4544F" w:rsidRDefault="003E0F58" w:rsidP="004D2249">
            <w:pPr>
              <w:jc w:val="left"/>
              <w:rPr>
                <w:rFonts w:eastAsiaTheme="minorEastAsia" w:cs="Times New Roman"/>
                <w:sz w:val="20"/>
                <w:szCs w:val="20"/>
              </w:rPr>
            </w:pPr>
            <w:r w:rsidRPr="00C4544F">
              <w:rPr>
                <w:rFonts w:eastAsiaTheme="minorEastAsia" w:cs="Times New Roman"/>
                <w:sz w:val="20"/>
                <w:szCs w:val="20"/>
              </w:rPr>
              <w:t>Chybí protierozní opatření</w:t>
            </w:r>
          </w:p>
          <w:p w14:paraId="1B1488B3" w14:textId="77777777" w:rsidR="003E0F58" w:rsidRPr="00C4544F" w:rsidRDefault="003E0F58" w:rsidP="004D2249">
            <w:pPr>
              <w:jc w:val="left"/>
              <w:rPr>
                <w:rFonts w:eastAsiaTheme="minorEastAsia" w:cs="Times New Roman"/>
                <w:sz w:val="20"/>
                <w:szCs w:val="20"/>
              </w:rPr>
            </w:pPr>
          </w:p>
          <w:p w14:paraId="7DCCECB4" w14:textId="77777777" w:rsidR="003E0F58" w:rsidRPr="00C4544F" w:rsidRDefault="003E0F58" w:rsidP="004D2249">
            <w:pPr>
              <w:jc w:val="left"/>
              <w:rPr>
                <w:rFonts w:eastAsiaTheme="minorEastAsia" w:cs="Times New Roman"/>
                <w:sz w:val="20"/>
                <w:szCs w:val="20"/>
              </w:rPr>
            </w:pPr>
            <w:r w:rsidRPr="00C4544F">
              <w:rPr>
                <w:rFonts w:eastAsiaTheme="minorEastAsia" w:cs="Times New Roman"/>
                <w:sz w:val="20"/>
                <w:szCs w:val="20"/>
              </w:rPr>
              <w:t>Chybí krajinné prvky</w:t>
            </w:r>
          </w:p>
          <w:p w14:paraId="39A19FA4" w14:textId="77777777" w:rsidR="003E0F58" w:rsidRPr="00C4544F" w:rsidRDefault="003E0F58" w:rsidP="004D2249">
            <w:pPr>
              <w:jc w:val="left"/>
              <w:rPr>
                <w:rFonts w:eastAsiaTheme="minorEastAsia" w:cs="Times New Roman"/>
                <w:sz w:val="20"/>
                <w:szCs w:val="20"/>
              </w:rPr>
            </w:pPr>
          </w:p>
          <w:p w14:paraId="08761FF0" w14:textId="77777777" w:rsidR="003E0F58" w:rsidRPr="00C4544F" w:rsidRDefault="003E0F58" w:rsidP="004D2249">
            <w:pPr>
              <w:jc w:val="left"/>
              <w:rPr>
                <w:rFonts w:eastAsiaTheme="minorEastAsia" w:cs="Times New Roman"/>
                <w:sz w:val="20"/>
                <w:szCs w:val="20"/>
              </w:rPr>
            </w:pPr>
            <w:r w:rsidRPr="00C4544F">
              <w:rPr>
                <w:rFonts w:eastAsiaTheme="minorEastAsia" w:cs="Times New Roman"/>
                <w:sz w:val="20"/>
                <w:szCs w:val="20"/>
              </w:rPr>
              <w:t>Erozně rizikové plodiny</w:t>
            </w:r>
          </w:p>
          <w:p w14:paraId="36B3E6FF" w14:textId="77777777" w:rsidR="003E0F58" w:rsidRPr="00C4544F" w:rsidRDefault="003E0F58" w:rsidP="004D2249">
            <w:pPr>
              <w:jc w:val="left"/>
              <w:rPr>
                <w:rFonts w:eastAsiaTheme="minorEastAsia" w:cs="Times New Roman"/>
                <w:sz w:val="20"/>
                <w:szCs w:val="20"/>
              </w:rPr>
            </w:pPr>
          </w:p>
          <w:p w14:paraId="2EB18FF1" w14:textId="77777777" w:rsidR="003E0F58" w:rsidRPr="00C4544F" w:rsidRDefault="003E0F58" w:rsidP="004D2249">
            <w:pPr>
              <w:jc w:val="left"/>
              <w:rPr>
                <w:rFonts w:eastAsiaTheme="minorEastAsia" w:cs="Times New Roman"/>
                <w:sz w:val="20"/>
                <w:szCs w:val="20"/>
              </w:rPr>
            </w:pPr>
            <w:r w:rsidRPr="00C4544F">
              <w:rPr>
                <w:rFonts w:eastAsiaTheme="minorEastAsia" w:cs="Times New Roman"/>
                <w:sz w:val="20"/>
                <w:szCs w:val="20"/>
              </w:rPr>
              <w:t>Nedostatečný vegetační pokryv</w:t>
            </w:r>
          </w:p>
          <w:p w14:paraId="6CEBD914" w14:textId="77777777" w:rsidR="003E0F58" w:rsidRPr="00C4544F" w:rsidRDefault="003E0F58" w:rsidP="004D2249">
            <w:pPr>
              <w:jc w:val="left"/>
              <w:rPr>
                <w:rFonts w:eastAsiaTheme="minorEastAsia" w:cs="Times New Roman"/>
                <w:sz w:val="20"/>
                <w:szCs w:val="20"/>
              </w:rPr>
            </w:pPr>
          </w:p>
          <w:p w14:paraId="2EF3CDE0" w14:textId="77777777" w:rsidR="003E0F58" w:rsidRPr="00C4544F" w:rsidRDefault="003E0F58" w:rsidP="004D2249">
            <w:pPr>
              <w:jc w:val="left"/>
              <w:rPr>
                <w:rFonts w:eastAsiaTheme="minorEastAsia" w:cs="Times New Roman"/>
                <w:sz w:val="20"/>
                <w:szCs w:val="20"/>
              </w:rPr>
            </w:pPr>
          </w:p>
          <w:p w14:paraId="5A2DDCB8" w14:textId="77777777" w:rsidR="003E0F58" w:rsidRPr="00C4544F" w:rsidRDefault="003E0F58" w:rsidP="004D2249">
            <w:pPr>
              <w:jc w:val="left"/>
              <w:rPr>
                <w:rFonts w:eastAsiaTheme="minorEastAsia" w:cs="Times New Roman"/>
                <w:sz w:val="20"/>
                <w:szCs w:val="20"/>
              </w:rPr>
            </w:pPr>
          </w:p>
          <w:p w14:paraId="2C797096" w14:textId="77777777" w:rsidR="003E0F58" w:rsidRPr="00C4544F" w:rsidRDefault="003E0F58" w:rsidP="004D2249">
            <w:pPr>
              <w:jc w:val="left"/>
              <w:rPr>
                <w:rFonts w:eastAsiaTheme="minorEastAsia" w:cs="Times New Roman"/>
                <w:sz w:val="20"/>
                <w:szCs w:val="20"/>
              </w:rPr>
            </w:pPr>
          </w:p>
          <w:p w14:paraId="49E0F9FE" w14:textId="77777777" w:rsidR="003E0F58" w:rsidRPr="00C4544F" w:rsidRDefault="003E0F58" w:rsidP="004D2249">
            <w:pPr>
              <w:jc w:val="left"/>
              <w:rPr>
                <w:rFonts w:eastAsiaTheme="minorEastAsia" w:cs="Times New Roman"/>
                <w:sz w:val="20"/>
                <w:szCs w:val="20"/>
              </w:rPr>
            </w:pPr>
          </w:p>
          <w:p w14:paraId="56E35466" w14:textId="77777777" w:rsidR="003E0F58" w:rsidRPr="00C4544F" w:rsidRDefault="003E0F58" w:rsidP="004D2249">
            <w:pPr>
              <w:jc w:val="left"/>
              <w:rPr>
                <w:rFonts w:eastAsiaTheme="minorEastAsia" w:cs="Times New Roman"/>
                <w:sz w:val="20"/>
                <w:szCs w:val="20"/>
              </w:rPr>
            </w:pPr>
          </w:p>
          <w:p w14:paraId="6A299FB3" w14:textId="77777777" w:rsidR="003E0F58" w:rsidRPr="00C4544F" w:rsidRDefault="003E0F58" w:rsidP="004D2249">
            <w:pPr>
              <w:jc w:val="left"/>
              <w:rPr>
                <w:rFonts w:eastAsiaTheme="minorEastAsia" w:cs="Times New Roman"/>
                <w:sz w:val="20"/>
                <w:szCs w:val="20"/>
              </w:rPr>
            </w:pPr>
          </w:p>
          <w:p w14:paraId="59E07D47" w14:textId="77777777" w:rsidR="003E0F58" w:rsidRPr="00C4544F" w:rsidRDefault="003E0F58" w:rsidP="004D2249">
            <w:pPr>
              <w:jc w:val="left"/>
              <w:rPr>
                <w:rFonts w:eastAsiaTheme="minorEastAsia" w:cs="Times New Roman"/>
                <w:sz w:val="20"/>
                <w:szCs w:val="20"/>
              </w:rPr>
            </w:pPr>
            <w:r w:rsidRPr="00C4544F">
              <w:rPr>
                <w:rFonts w:eastAsiaTheme="minorEastAsia" w:cs="Times New Roman"/>
                <w:sz w:val="20"/>
                <w:szCs w:val="20"/>
              </w:rPr>
              <w:t>tento faktor nelze ovlivnit</w:t>
            </w:r>
          </w:p>
        </w:tc>
        <w:tc>
          <w:tcPr>
            <w:tcW w:w="1701" w:type="dxa"/>
          </w:tcPr>
          <w:p w14:paraId="1432F22D" w14:textId="77777777" w:rsidR="003E0F58" w:rsidRPr="00C4544F" w:rsidRDefault="003E0F58" w:rsidP="004D2249">
            <w:pPr>
              <w:jc w:val="left"/>
              <w:rPr>
                <w:rFonts w:eastAsiaTheme="minorEastAsia" w:cs="Times New Roman"/>
                <w:sz w:val="20"/>
                <w:szCs w:val="20"/>
              </w:rPr>
            </w:pPr>
            <w:r w:rsidRPr="00C4544F">
              <w:rPr>
                <w:rFonts w:eastAsiaTheme="minorEastAsia" w:cs="Times New Roman"/>
                <w:sz w:val="20"/>
                <w:szCs w:val="20"/>
              </w:rPr>
              <w:t>Zařazovat půdoochranné technologie</w:t>
            </w:r>
          </w:p>
          <w:p w14:paraId="0181529D" w14:textId="77777777" w:rsidR="003E0F58" w:rsidRPr="00C4544F" w:rsidRDefault="003E0F58" w:rsidP="004D2249">
            <w:pPr>
              <w:jc w:val="left"/>
              <w:rPr>
                <w:rFonts w:eastAsiaTheme="minorEastAsia" w:cs="Times New Roman"/>
                <w:sz w:val="20"/>
                <w:szCs w:val="20"/>
              </w:rPr>
            </w:pPr>
          </w:p>
          <w:p w14:paraId="594AEF3B" w14:textId="77777777" w:rsidR="003E0F58" w:rsidRPr="00C4544F" w:rsidRDefault="003E0F58" w:rsidP="004D2249">
            <w:pPr>
              <w:jc w:val="left"/>
              <w:rPr>
                <w:rFonts w:eastAsiaTheme="minorEastAsia" w:cs="Times New Roman"/>
                <w:sz w:val="20"/>
                <w:szCs w:val="20"/>
              </w:rPr>
            </w:pPr>
            <w:r w:rsidRPr="00C4544F">
              <w:rPr>
                <w:rFonts w:eastAsiaTheme="minorEastAsia" w:cs="Times New Roman"/>
                <w:sz w:val="20"/>
                <w:szCs w:val="20"/>
              </w:rPr>
              <w:t>Zajistit vegetační pokryv</w:t>
            </w:r>
          </w:p>
          <w:p w14:paraId="2AC88BFE" w14:textId="77777777" w:rsidR="003E0F58" w:rsidRPr="00C4544F" w:rsidRDefault="003E0F58" w:rsidP="004D2249">
            <w:pPr>
              <w:jc w:val="left"/>
              <w:rPr>
                <w:rFonts w:eastAsiaTheme="minorEastAsia" w:cs="Times New Roman"/>
                <w:sz w:val="20"/>
                <w:szCs w:val="20"/>
              </w:rPr>
            </w:pPr>
          </w:p>
          <w:p w14:paraId="6AAF613E" w14:textId="77777777" w:rsidR="003E0F58" w:rsidRPr="00C4544F" w:rsidRDefault="003E0F58" w:rsidP="004D2249">
            <w:pPr>
              <w:jc w:val="left"/>
              <w:rPr>
                <w:rFonts w:eastAsiaTheme="minorEastAsia" w:cs="Times New Roman"/>
                <w:sz w:val="20"/>
                <w:szCs w:val="20"/>
              </w:rPr>
            </w:pPr>
            <w:r w:rsidRPr="00C4544F">
              <w:rPr>
                <w:rFonts w:eastAsiaTheme="minorEastAsia" w:cs="Times New Roman"/>
                <w:sz w:val="20"/>
                <w:szCs w:val="20"/>
              </w:rPr>
              <w:t>Zajistit org.hm. do půdy</w:t>
            </w:r>
          </w:p>
          <w:p w14:paraId="65327CC9" w14:textId="77777777" w:rsidR="003E0F58" w:rsidRPr="00C4544F" w:rsidRDefault="003E0F58" w:rsidP="004D2249">
            <w:pPr>
              <w:jc w:val="left"/>
              <w:rPr>
                <w:rFonts w:eastAsiaTheme="minorEastAsia" w:cs="Times New Roman"/>
                <w:sz w:val="20"/>
                <w:szCs w:val="20"/>
              </w:rPr>
            </w:pPr>
          </w:p>
          <w:p w14:paraId="5CEA0F1F" w14:textId="77777777" w:rsidR="003E0F58" w:rsidRPr="00C4544F" w:rsidRDefault="003E0F58" w:rsidP="004D2249">
            <w:pPr>
              <w:jc w:val="left"/>
              <w:rPr>
                <w:rFonts w:eastAsiaTheme="minorEastAsia" w:cs="Times New Roman"/>
                <w:sz w:val="20"/>
                <w:szCs w:val="20"/>
              </w:rPr>
            </w:pPr>
            <w:r w:rsidRPr="00C4544F">
              <w:rPr>
                <w:rFonts w:eastAsiaTheme="minorEastAsia" w:cs="Times New Roman"/>
                <w:sz w:val="20"/>
                <w:szCs w:val="20"/>
              </w:rPr>
              <w:t>Zavést protierozní opatření</w:t>
            </w:r>
          </w:p>
          <w:p w14:paraId="1A530BE1" w14:textId="77777777" w:rsidR="003E0F58" w:rsidRPr="00C4544F" w:rsidRDefault="003E0F58" w:rsidP="004D2249">
            <w:pPr>
              <w:jc w:val="left"/>
              <w:rPr>
                <w:rFonts w:eastAsiaTheme="minorEastAsia" w:cs="Times New Roman"/>
                <w:sz w:val="20"/>
                <w:szCs w:val="20"/>
              </w:rPr>
            </w:pPr>
          </w:p>
          <w:p w14:paraId="7EFB74A0" w14:textId="77777777" w:rsidR="003E0F58" w:rsidRPr="00C4544F" w:rsidRDefault="003E0F58" w:rsidP="004D2249">
            <w:pPr>
              <w:jc w:val="left"/>
              <w:rPr>
                <w:rFonts w:eastAsiaTheme="minorEastAsia" w:cs="Times New Roman"/>
                <w:sz w:val="20"/>
                <w:szCs w:val="20"/>
              </w:rPr>
            </w:pPr>
            <w:r w:rsidRPr="00C4544F">
              <w:rPr>
                <w:rFonts w:eastAsiaTheme="minorEastAsia" w:cs="Times New Roman"/>
                <w:sz w:val="20"/>
                <w:szCs w:val="20"/>
              </w:rPr>
              <w:t>Rozčlenit velké půdní bloky</w:t>
            </w:r>
          </w:p>
        </w:tc>
        <w:tc>
          <w:tcPr>
            <w:tcW w:w="1275" w:type="dxa"/>
          </w:tcPr>
          <w:p w14:paraId="0FB61FAE" w14:textId="77777777" w:rsidR="003E0F58" w:rsidRPr="00C4544F" w:rsidRDefault="003E0F58" w:rsidP="004D2249">
            <w:pPr>
              <w:jc w:val="left"/>
              <w:rPr>
                <w:rFonts w:eastAsiaTheme="minorEastAsia" w:cs="Times New Roman"/>
                <w:sz w:val="20"/>
                <w:szCs w:val="20"/>
              </w:rPr>
            </w:pPr>
            <w:r w:rsidRPr="00C4544F">
              <w:rPr>
                <w:rFonts w:eastAsiaTheme="minorEastAsia" w:cs="Times New Roman"/>
                <w:sz w:val="20"/>
                <w:szCs w:val="20"/>
              </w:rPr>
              <w:t xml:space="preserve">DZES </w:t>
            </w:r>
          </w:p>
          <w:p w14:paraId="58EA0BEF" w14:textId="77777777" w:rsidR="003E0F58" w:rsidRPr="00C4544F" w:rsidRDefault="003E0F58" w:rsidP="004D2249">
            <w:pPr>
              <w:jc w:val="left"/>
              <w:rPr>
                <w:rFonts w:eastAsiaTheme="minorEastAsia" w:cs="Times New Roman"/>
                <w:sz w:val="20"/>
                <w:szCs w:val="20"/>
              </w:rPr>
            </w:pPr>
          </w:p>
          <w:p w14:paraId="25D8B2BB" w14:textId="77777777" w:rsidR="003E0F58" w:rsidRPr="00C4544F" w:rsidRDefault="003E0F58" w:rsidP="004D2249">
            <w:pPr>
              <w:jc w:val="left"/>
              <w:rPr>
                <w:rFonts w:eastAsiaTheme="minorEastAsia" w:cs="Times New Roman"/>
                <w:sz w:val="20"/>
                <w:szCs w:val="20"/>
              </w:rPr>
            </w:pPr>
            <w:r w:rsidRPr="00C4544F">
              <w:rPr>
                <w:rFonts w:eastAsiaTheme="minorEastAsia" w:cs="Times New Roman"/>
                <w:sz w:val="20"/>
                <w:szCs w:val="20"/>
              </w:rPr>
              <w:t>Zatravnění</w:t>
            </w:r>
          </w:p>
          <w:p w14:paraId="054D80C9" w14:textId="77777777" w:rsidR="003E0F58" w:rsidRPr="00C4544F" w:rsidRDefault="003E0F58" w:rsidP="004D2249">
            <w:pPr>
              <w:jc w:val="left"/>
              <w:rPr>
                <w:rFonts w:eastAsiaTheme="minorEastAsia" w:cs="Times New Roman"/>
                <w:sz w:val="20"/>
                <w:szCs w:val="20"/>
              </w:rPr>
            </w:pPr>
          </w:p>
          <w:p w14:paraId="09525220" w14:textId="77777777" w:rsidR="003E0F58" w:rsidRPr="00C4544F" w:rsidRDefault="003E0F58" w:rsidP="004D2249">
            <w:pPr>
              <w:jc w:val="left"/>
              <w:rPr>
                <w:rFonts w:eastAsiaTheme="minorEastAsia" w:cs="Times New Roman"/>
                <w:sz w:val="20"/>
                <w:szCs w:val="20"/>
              </w:rPr>
            </w:pPr>
            <w:r w:rsidRPr="00C4544F">
              <w:rPr>
                <w:rFonts w:eastAsiaTheme="minorEastAsia" w:cs="Times New Roman"/>
                <w:sz w:val="20"/>
                <w:szCs w:val="20"/>
              </w:rPr>
              <w:t>Zalesnění</w:t>
            </w:r>
          </w:p>
          <w:p w14:paraId="36254475" w14:textId="77777777" w:rsidR="003E0F58" w:rsidRPr="00C4544F" w:rsidRDefault="003E0F58" w:rsidP="004D2249">
            <w:pPr>
              <w:jc w:val="left"/>
              <w:rPr>
                <w:rFonts w:eastAsiaTheme="minorEastAsia" w:cs="Times New Roman"/>
                <w:sz w:val="20"/>
                <w:szCs w:val="20"/>
              </w:rPr>
            </w:pPr>
          </w:p>
          <w:p w14:paraId="4EC00423" w14:textId="77777777" w:rsidR="003E0F58" w:rsidRPr="00C4544F" w:rsidRDefault="003E0F58" w:rsidP="004D2249">
            <w:pPr>
              <w:jc w:val="left"/>
              <w:rPr>
                <w:rFonts w:eastAsiaTheme="minorEastAsia" w:cs="Times New Roman"/>
                <w:sz w:val="20"/>
                <w:szCs w:val="20"/>
              </w:rPr>
            </w:pPr>
            <w:r w:rsidRPr="00C4544F">
              <w:rPr>
                <w:rFonts w:eastAsiaTheme="minorEastAsia" w:cs="Times New Roman"/>
                <w:sz w:val="20"/>
                <w:szCs w:val="20"/>
              </w:rPr>
              <w:t>Pozemkové úpravy</w:t>
            </w:r>
          </w:p>
          <w:p w14:paraId="376B7F11" w14:textId="77777777" w:rsidR="003E0F58" w:rsidRPr="00C4544F" w:rsidRDefault="003E0F58" w:rsidP="004D2249">
            <w:pPr>
              <w:jc w:val="left"/>
              <w:rPr>
                <w:rFonts w:eastAsiaTheme="minorEastAsia" w:cs="Times New Roman"/>
                <w:sz w:val="20"/>
                <w:szCs w:val="20"/>
              </w:rPr>
            </w:pPr>
          </w:p>
          <w:p w14:paraId="31F68C8A" w14:textId="77777777" w:rsidR="003E0F58" w:rsidRPr="00C4544F" w:rsidRDefault="003E0F58" w:rsidP="004D2249">
            <w:pPr>
              <w:jc w:val="left"/>
              <w:rPr>
                <w:rFonts w:eastAsiaTheme="minorEastAsia" w:cs="Times New Roman"/>
                <w:sz w:val="20"/>
                <w:szCs w:val="20"/>
              </w:rPr>
            </w:pPr>
            <w:r w:rsidRPr="00C4544F">
              <w:rPr>
                <w:rFonts w:eastAsiaTheme="minorEastAsia" w:cs="Times New Roman"/>
                <w:sz w:val="20"/>
                <w:szCs w:val="20"/>
              </w:rPr>
              <w:t>agrolesnictví</w:t>
            </w:r>
          </w:p>
          <w:p w14:paraId="5A7A4A0C" w14:textId="77777777" w:rsidR="003E0F58" w:rsidRPr="00C4544F" w:rsidRDefault="003E0F58" w:rsidP="004D2249">
            <w:pPr>
              <w:jc w:val="left"/>
              <w:rPr>
                <w:rFonts w:eastAsiaTheme="minorEastAsia" w:cs="Times New Roman"/>
                <w:sz w:val="20"/>
                <w:szCs w:val="20"/>
              </w:rPr>
            </w:pPr>
          </w:p>
          <w:p w14:paraId="207785E1" w14:textId="77777777" w:rsidR="003E0F58" w:rsidRPr="00C4544F" w:rsidRDefault="003E0F58" w:rsidP="004D2249">
            <w:pPr>
              <w:jc w:val="left"/>
              <w:rPr>
                <w:rFonts w:eastAsiaTheme="minorEastAsia" w:cs="Times New Roman"/>
                <w:sz w:val="20"/>
                <w:szCs w:val="20"/>
              </w:rPr>
            </w:pPr>
            <w:r w:rsidRPr="00C4544F">
              <w:rPr>
                <w:rFonts w:eastAsiaTheme="minorEastAsia" w:cs="Times New Roman"/>
                <w:sz w:val="20"/>
                <w:szCs w:val="20"/>
              </w:rPr>
              <w:t>uplatňování pásového střídání plodin</w:t>
            </w:r>
          </w:p>
          <w:p w14:paraId="2457C236" w14:textId="77777777" w:rsidR="003E0F58" w:rsidRPr="00C4544F" w:rsidRDefault="003E0F58" w:rsidP="004D2249">
            <w:pPr>
              <w:jc w:val="left"/>
              <w:rPr>
                <w:rFonts w:eastAsiaTheme="minorEastAsia" w:cs="Times New Roman"/>
                <w:sz w:val="20"/>
                <w:szCs w:val="20"/>
              </w:rPr>
            </w:pPr>
          </w:p>
          <w:p w14:paraId="55C2514E" w14:textId="77777777" w:rsidR="003E0F58" w:rsidRPr="00C4544F" w:rsidRDefault="003E0F58" w:rsidP="004D2249">
            <w:pPr>
              <w:jc w:val="left"/>
              <w:rPr>
                <w:rFonts w:eastAsiaTheme="minorEastAsia" w:cs="Times New Roman"/>
                <w:sz w:val="20"/>
                <w:szCs w:val="20"/>
              </w:rPr>
            </w:pPr>
            <w:r w:rsidRPr="00C4544F">
              <w:rPr>
                <w:rFonts w:eastAsiaTheme="minorEastAsia" w:cs="Times New Roman"/>
                <w:sz w:val="20"/>
                <w:szCs w:val="20"/>
              </w:rPr>
              <w:t>realizace mobilních technických protierozních prvků</w:t>
            </w:r>
          </w:p>
          <w:p w14:paraId="1AB60650" w14:textId="77777777" w:rsidR="003E0F58" w:rsidRPr="00C4544F" w:rsidRDefault="003E0F58" w:rsidP="004D2249">
            <w:pPr>
              <w:jc w:val="left"/>
              <w:rPr>
                <w:rFonts w:eastAsiaTheme="minorEastAsia" w:cs="Times New Roman"/>
                <w:sz w:val="20"/>
                <w:szCs w:val="20"/>
              </w:rPr>
            </w:pPr>
          </w:p>
          <w:p w14:paraId="541CF0E5" w14:textId="77777777" w:rsidR="003E0F58" w:rsidRPr="00C4544F" w:rsidRDefault="003E0F58" w:rsidP="004D2249">
            <w:pPr>
              <w:jc w:val="left"/>
              <w:rPr>
                <w:rFonts w:eastAsiaTheme="minorEastAsia" w:cs="Times New Roman"/>
                <w:sz w:val="20"/>
                <w:szCs w:val="20"/>
              </w:rPr>
            </w:pPr>
            <w:r w:rsidRPr="00C4544F">
              <w:rPr>
                <w:rFonts w:eastAsiaTheme="minorEastAsia" w:cs="Times New Roman"/>
                <w:sz w:val="20"/>
                <w:szCs w:val="20"/>
              </w:rPr>
              <w:t>meziplodiny</w:t>
            </w:r>
          </w:p>
          <w:p w14:paraId="7552661E" w14:textId="77777777" w:rsidR="003E0F58" w:rsidRPr="00C4544F" w:rsidRDefault="003E0F58" w:rsidP="004D2249">
            <w:pPr>
              <w:jc w:val="left"/>
              <w:rPr>
                <w:rFonts w:eastAsiaTheme="minorEastAsia" w:cs="Times New Roman"/>
                <w:sz w:val="20"/>
                <w:szCs w:val="20"/>
              </w:rPr>
            </w:pPr>
          </w:p>
          <w:p w14:paraId="7524806F" w14:textId="77777777" w:rsidR="003E0F58" w:rsidRPr="00C4544F" w:rsidRDefault="003E0F58" w:rsidP="004D2249">
            <w:pPr>
              <w:jc w:val="left"/>
              <w:rPr>
                <w:rFonts w:eastAsiaTheme="minorEastAsia" w:cs="Times New Roman"/>
                <w:sz w:val="20"/>
                <w:szCs w:val="20"/>
              </w:rPr>
            </w:pPr>
            <w:r w:rsidRPr="00C4544F">
              <w:rPr>
                <w:rFonts w:eastAsiaTheme="minorEastAsia" w:cs="Times New Roman"/>
                <w:sz w:val="20"/>
                <w:szCs w:val="20"/>
              </w:rPr>
              <w:t>podpora ž.v.</w:t>
            </w:r>
          </w:p>
          <w:p w14:paraId="14602620" w14:textId="77777777" w:rsidR="003E0F58" w:rsidRPr="00C4544F" w:rsidRDefault="003E0F58" w:rsidP="004D2249">
            <w:pPr>
              <w:jc w:val="left"/>
              <w:rPr>
                <w:rFonts w:eastAsiaTheme="minorEastAsia" w:cs="Times New Roman"/>
                <w:sz w:val="20"/>
                <w:szCs w:val="20"/>
              </w:rPr>
            </w:pPr>
          </w:p>
          <w:p w14:paraId="47A36095" w14:textId="77777777" w:rsidR="003E0F58" w:rsidRPr="00C4544F" w:rsidRDefault="003E0F58" w:rsidP="004D2249">
            <w:pPr>
              <w:jc w:val="left"/>
              <w:rPr>
                <w:rFonts w:eastAsiaTheme="minorEastAsia" w:cs="Times New Roman"/>
                <w:sz w:val="20"/>
                <w:szCs w:val="20"/>
              </w:rPr>
            </w:pPr>
            <w:r w:rsidRPr="00C4544F">
              <w:rPr>
                <w:rFonts w:eastAsiaTheme="minorEastAsia" w:cs="Times New Roman"/>
                <w:sz w:val="20"/>
                <w:szCs w:val="20"/>
              </w:rPr>
              <w:t>"No till"</w:t>
            </w:r>
          </w:p>
          <w:p w14:paraId="61BD0E7E" w14:textId="77777777" w:rsidR="003E0F58" w:rsidRPr="00C4544F" w:rsidRDefault="003E0F58" w:rsidP="004D2249">
            <w:pPr>
              <w:jc w:val="left"/>
              <w:rPr>
                <w:rFonts w:eastAsiaTheme="minorEastAsia" w:cs="Times New Roman"/>
                <w:sz w:val="20"/>
                <w:szCs w:val="20"/>
              </w:rPr>
            </w:pPr>
            <w:r w:rsidRPr="00C4544F">
              <w:rPr>
                <w:rFonts w:eastAsiaTheme="minorEastAsia" w:cs="Times New Roman"/>
                <w:sz w:val="20"/>
                <w:szCs w:val="20"/>
              </w:rPr>
              <w:t>"Strip-till"</w:t>
            </w:r>
            <w:r w:rsidRPr="00C4544F">
              <w:rPr>
                <w:rFonts w:eastAsiaTheme="minorEastAsia" w:cs="Times New Roman"/>
                <w:sz w:val="20"/>
                <w:szCs w:val="20"/>
              </w:rPr>
              <w:footnoteReference w:id="7"/>
            </w:r>
          </w:p>
          <w:p w14:paraId="2CE1D3DD" w14:textId="77777777" w:rsidR="003E0F58" w:rsidRPr="00C4544F" w:rsidRDefault="003E0F58" w:rsidP="004D2249">
            <w:pPr>
              <w:jc w:val="left"/>
              <w:rPr>
                <w:rFonts w:eastAsiaTheme="minorEastAsia" w:cs="Times New Roman"/>
                <w:sz w:val="20"/>
                <w:szCs w:val="20"/>
              </w:rPr>
            </w:pPr>
          </w:p>
          <w:p w14:paraId="6E8981D3" w14:textId="77777777" w:rsidR="003E0F58" w:rsidRPr="00C4544F" w:rsidRDefault="003E0F58" w:rsidP="004D2249">
            <w:pPr>
              <w:jc w:val="left"/>
              <w:rPr>
                <w:rFonts w:eastAsiaTheme="minorEastAsia" w:cs="Times New Roman"/>
                <w:sz w:val="20"/>
                <w:szCs w:val="20"/>
              </w:rPr>
            </w:pPr>
            <w:r w:rsidRPr="00C4544F">
              <w:rPr>
                <w:rFonts w:eastAsiaTheme="minorEastAsia" w:cs="Times New Roman"/>
                <w:sz w:val="20"/>
                <w:szCs w:val="20"/>
              </w:rPr>
              <w:t>Zavést  krajinné prvky</w:t>
            </w:r>
          </w:p>
          <w:p w14:paraId="2C4672DD" w14:textId="77777777" w:rsidR="003E0F58" w:rsidRPr="00C4544F" w:rsidRDefault="003E0F58" w:rsidP="004D2249">
            <w:pPr>
              <w:jc w:val="left"/>
              <w:rPr>
                <w:rFonts w:eastAsiaTheme="minorEastAsia" w:cs="Times New Roman"/>
                <w:sz w:val="20"/>
                <w:szCs w:val="20"/>
              </w:rPr>
            </w:pPr>
          </w:p>
          <w:p w14:paraId="25B161D4" w14:textId="77777777" w:rsidR="003E0F58" w:rsidRPr="00C4544F" w:rsidRDefault="003E0F58" w:rsidP="004D2249">
            <w:pPr>
              <w:jc w:val="left"/>
              <w:rPr>
                <w:rFonts w:eastAsiaTheme="minorEastAsia" w:cs="Times New Roman"/>
                <w:sz w:val="20"/>
                <w:szCs w:val="20"/>
              </w:rPr>
            </w:pPr>
            <w:r w:rsidRPr="00C4544F">
              <w:rPr>
                <w:rFonts w:eastAsiaTheme="minorEastAsia" w:cs="Times New Roman"/>
                <w:sz w:val="20"/>
                <w:szCs w:val="20"/>
              </w:rPr>
              <w:t>podpora navigačních technologií a GIS</w:t>
            </w:r>
          </w:p>
        </w:tc>
        <w:tc>
          <w:tcPr>
            <w:tcW w:w="1305" w:type="dxa"/>
          </w:tcPr>
          <w:p w14:paraId="2102B7D1" w14:textId="77777777" w:rsidR="003E0F58" w:rsidRPr="00C4544F" w:rsidRDefault="003E0F58" w:rsidP="004D2249">
            <w:pPr>
              <w:jc w:val="left"/>
              <w:rPr>
                <w:rFonts w:eastAsiaTheme="minorEastAsia" w:cs="Times New Roman"/>
                <w:sz w:val="20"/>
                <w:szCs w:val="20"/>
              </w:rPr>
            </w:pPr>
          </w:p>
          <w:p w14:paraId="00529071" w14:textId="77777777" w:rsidR="003E0F58" w:rsidRPr="00C4544F" w:rsidRDefault="003E0F58" w:rsidP="004D2249">
            <w:pPr>
              <w:jc w:val="left"/>
              <w:rPr>
                <w:rFonts w:eastAsiaTheme="minorEastAsia" w:cs="Times New Roman"/>
                <w:sz w:val="20"/>
                <w:szCs w:val="20"/>
              </w:rPr>
            </w:pPr>
            <w:r w:rsidRPr="00C4544F">
              <w:rPr>
                <w:rFonts w:eastAsiaTheme="minorEastAsia" w:cs="Times New Roman"/>
                <w:sz w:val="20"/>
                <w:szCs w:val="20"/>
              </w:rPr>
              <w:t>AEKO</w:t>
            </w:r>
          </w:p>
          <w:p w14:paraId="7A7BE569" w14:textId="77777777" w:rsidR="003E0F58" w:rsidRPr="00C4544F" w:rsidRDefault="003E0F58" w:rsidP="004D2249">
            <w:pPr>
              <w:jc w:val="left"/>
              <w:rPr>
                <w:rFonts w:eastAsiaTheme="minorEastAsia" w:cs="Times New Roman"/>
                <w:sz w:val="20"/>
                <w:szCs w:val="20"/>
              </w:rPr>
            </w:pPr>
          </w:p>
          <w:p w14:paraId="7E1CED58" w14:textId="77777777" w:rsidR="003E0F58" w:rsidRPr="00C4544F" w:rsidRDefault="003E0F58" w:rsidP="004D2249">
            <w:pPr>
              <w:jc w:val="left"/>
              <w:rPr>
                <w:rFonts w:eastAsiaTheme="minorEastAsia" w:cs="Times New Roman"/>
                <w:sz w:val="20"/>
                <w:szCs w:val="20"/>
              </w:rPr>
            </w:pPr>
            <w:r w:rsidRPr="00C4544F">
              <w:rPr>
                <w:rFonts w:eastAsiaTheme="minorEastAsia" w:cs="Times New Roman"/>
                <w:sz w:val="20"/>
                <w:szCs w:val="20"/>
              </w:rPr>
              <w:t>Investice do lesních oblastí a lesů</w:t>
            </w:r>
          </w:p>
          <w:p w14:paraId="36CA4F77" w14:textId="77777777" w:rsidR="003E0F58" w:rsidRPr="00C4544F" w:rsidRDefault="003E0F58" w:rsidP="004D2249">
            <w:pPr>
              <w:jc w:val="left"/>
              <w:rPr>
                <w:rFonts w:eastAsiaTheme="minorEastAsia" w:cs="Times New Roman"/>
                <w:sz w:val="20"/>
                <w:szCs w:val="20"/>
              </w:rPr>
            </w:pPr>
          </w:p>
          <w:p w14:paraId="0A5763DF" w14:textId="77777777" w:rsidR="003E0F58" w:rsidRPr="00C4544F" w:rsidRDefault="003E0F58" w:rsidP="004D2249">
            <w:pPr>
              <w:jc w:val="left"/>
              <w:rPr>
                <w:rFonts w:eastAsiaTheme="minorEastAsia" w:cs="Times New Roman"/>
                <w:sz w:val="20"/>
                <w:szCs w:val="20"/>
              </w:rPr>
            </w:pPr>
            <w:r w:rsidRPr="00C4544F">
              <w:rPr>
                <w:rFonts w:eastAsiaTheme="minorEastAsia" w:cs="Times New Roman"/>
                <w:sz w:val="20"/>
                <w:szCs w:val="20"/>
              </w:rPr>
              <w:t>Investice do majetku</w:t>
            </w:r>
          </w:p>
          <w:p w14:paraId="559F1B1B" w14:textId="77777777" w:rsidR="003E0F58" w:rsidRPr="00C4544F" w:rsidRDefault="003E0F58" w:rsidP="004D2249">
            <w:pPr>
              <w:jc w:val="left"/>
              <w:rPr>
                <w:rFonts w:eastAsiaTheme="minorEastAsia" w:cs="Times New Roman"/>
                <w:sz w:val="20"/>
                <w:szCs w:val="20"/>
              </w:rPr>
            </w:pPr>
          </w:p>
          <w:p w14:paraId="53DFC462" w14:textId="77777777" w:rsidR="003E0F58" w:rsidRPr="00C4544F" w:rsidRDefault="003E0F58" w:rsidP="004D2249">
            <w:pPr>
              <w:jc w:val="left"/>
              <w:rPr>
                <w:rFonts w:eastAsiaTheme="minorEastAsia" w:cs="Times New Roman"/>
                <w:sz w:val="20"/>
                <w:szCs w:val="20"/>
              </w:rPr>
            </w:pPr>
            <w:r w:rsidRPr="00C4544F">
              <w:rPr>
                <w:rFonts w:eastAsiaTheme="minorEastAsia" w:cs="Times New Roman"/>
                <w:sz w:val="20"/>
                <w:szCs w:val="20"/>
              </w:rPr>
              <w:t>ekoschémata</w:t>
            </w:r>
          </w:p>
          <w:p w14:paraId="4A7DBAD1" w14:textId="77777777" w:rsidR="003E0F58" w:rsidRPr="00C4544F" w:rsidRDefault="003E0F58" w:rsidP="004D2249">
            <w:pPr>
              <w:jc w:val="left"/>
              <w:rPr>
                <w:rFonts w:eastAsiaTheme="minorEastAsia" w:cs="Times New Roman"/>
                <w:sz w:val="20"/>
                <w:szCs w:val="20"/>
              </w:rPr>
            </w:pPr>
          </w:p>
          <w:p w14:paraId="5474CE40" w14:textId="77777777" w:rsidR="003E0F58" w:rsidRPr="00C4544F" w:rsidRDefault="003E0F58" w:rsidP="004D2249">
            <w:pPr>
              <w:jc w:val="left"/>
              <w:rPr>
                <w:rFonts w:eastAsiaTheme="minorEastAsia" w:cs="Times New Roman"/>
                <w:sz w:val="20"/>
                <w:szCs w:val="20"/>
              </w:rPr>
            </w:pPr>
          </w:p>
        </w:tc>
      </w:tr>
    </w:tbl>
    <w:p w14:paraId="03563FB7" w14:textId="77777777" w:rsidR="003E0F58" w:rsidRPr="007C705C" w:rsidRDefault="003E0F58" w:rsidP="00C4544F">
      <w:pPr>
        <w:pStyle w:val="UZEIZdroj"/>
        <w:spacing w:after="0"/>
      </w:pPr>
      <w:r w:rsidRPr="007C705C">
        <w:rPr>
          <w:b/>
          <w:color w:val="FF0000"/>
        </w:rPr>
        <w:t>Červeně/tučně</w:t>
      </w:r>
      <w:r w:rsidRPr="007C705C">
        <w:rPr>
          <w:color w:val="FF0000"/>
        </w:rPr>
        <w:t xml:space="preserve"> </w:t>
      </w:r>
      <w:r w:rsidRPr="007C705C">
        <w:t>= mimo dosah zemědělce – příčinu nemůže změnit, ani SZP nemá nástroje na řešení</w:t>
      </w:r>
    </w:p>
    <w:p w14:paraId="1ED6FD0A" w14:textId="77777777" w:rsidR="003E0F58" w:rsidRPr="007C705C" w:rsidRDefault="003E0F58" w:rsidP="00C4544F">
      <w:pPr>
        <w:pStyle w:val="UZEIZdroj"/>
        <w:spacing w:after="0"/>
      </w:pPr>
      <w:r w:rsidRPr="007C705C">
        <w:rPr>
          <w:b/>
          <w:color w:val="7030A0"/>
        </w:rPr>
        <w:t>Fialově/tučně</w:t>
      </w:r>
      <w:r w:rsidRPr="007C705C">
        <w:rPr>
          <w:color w:val="7030A0"/>
        </w:rPr>
        <w:t xml:space="preserve"> </w:t>
      </w:r>
      <w:r w:rsidRPr="007C705C">
        <w:t>= může ovlivnit jen do jisté míry</w:t>
      </w:r>
    </w:p>
    <w:p w14:paraId="38B62CE5" w14:textId="77777777" w:rsidR="003E0F58" w:rsidRPr="007C705C" w:rsidRDefault="003E0F58" w:rsidP="00C4544F">
      <w:pPr>
        <w:pStyle w:val="UZEIZdroj"/>
        <w:spacing w:after="0"/>
        <w:rPr>
          <w:rFonts w:eastAsiaTheme="minorEastAsia"/>
        </w:rPr>
      </w:pPr>
      <w:r w:rsidRPr="007C705C">
        <w:t>Zdroj: Pracovní skupina Klima, 2018</w:t>
      </w:r>
    </w:p>
    <w:p w14:paraId="3FE512E0" w14:textId="77777777" w:rsidR="003E0F58" w:rsidRPr="007C705C" w:rsidRDefault="003E0F58" w:rsidP="003E0F58">
      <w:pPr>
        <w:rPr>
          <w:rFonts w:eastAsiaTheme="minorEastAsia" w:cs="Times New Roman"/>
          <w:lang w:val="cs-CZ"/>
        </w:rPr>
      </w:pPr>
    </w:p>
    <w:p w14:paraId="5211F25E" w14:textId="59EC8B54" w:rsidR="003E0F58" w:rsidRPr="007C705C" w:rsidRDefault="003E0F58" w:rsidP="00C4544F">
      <w:pPr>
        <w:pStyle w:val="UZEIOdrky"/>
        <w:rPr>
          <w:rFonts w:eastAsiaTheme="minorEastAsia"/>
        </w:rPr>
      </w:pPr>
      <w:r w:rsidRPr="007C705C">
        <w:rPr>
          <w:rFonts w:eastAsiaTheme="minorEastAsia"/>
        </w:rPr>
        <w:t>Nevhodné nakládání se srážkovou vodou v krajině (přes 1 mil ha odvodněno</w:t>
      </w:r>
      <w:r w:rsidRPr="007C705C">
        <w:rPr>
          <w:rStyle w:val="Znakapoznpodarou"/>
          <w:rFonts w:eastAsiaTheme="minorEastAsia"/>
        </w:rPr>
        <w:footnoteReference w:id="8"/>
      </w:r>
      <w:r w:rsidRPr="007C705C">
        <w:rPr>
          <w:rFonts w:eastAsiaTheme="minorEastAsia"/>
        </w:rPr>
        <w:t>, utužená půda, zrušeny krajinné prvky)</w:t>
      </w:r>
    </w:p>
    <w:p w14:paraId="158BD592" w14:textId="77777777" w:rsidR="003E0F58" w:rsidRPr="007C705C" w:rsidRDefault="003E0F58" w:rsidP="008A1AE3">
      <w:pPr>
        <w:pStyle w:val="Odstavecseseznamem"/>
        <w:numPr>
          <w:ilvl w:val="0"/>
          <w:numId w:val="24"/>
        </w:numPr>
        <w:spacing w:before="60" w:line="360" w:lineRule="atLeast"/>
        <w:rPr>
          <w:rFonts w:eastAsiaTheme="minorEastAsia"/>
          <w:u w:val="single"/>
        </w:rPr>
      </w:pPr>
      <w:r w:rsidRPr="007C705C">
        <w:rPr>
          <w:rFonts w:eastAsiaTheme="minorEastAsia"/>
          <w:u w:val="single"/>
        </w:rPr>
        <w:t>vyjímání ze ZPF pozemků s potenciálem zadržet vodu v krajině, nedostatek kvalitních organických hnojiv aplikovatelných na ZPF, těžká zemědělská technika a časté pojezdy, nevhodné osevní postupy, minimální zastoupení pícnin</w:t>
      </w:r>
    </w:p>
    <w:p w14:paraId="308CF837" w14:textId="77777777" w:rsidR="003E0F58" w:rsidRPr="007C705C" w:rsidRDefault="003E0F58" w:rsidP="008A1AE3">
      <w:pPr>
        <w:pStyle w:val="UZEINormaln"/>
        <w:numPr>
          <w:ilvl w:val="0"/>
          <w:numId w:val="42"/>
        </w:numPr>
        <w:rPr>
          <w:rFonts w:eastAsiaTheme="minorEastAsia"/>
        </w:rPr>
      </w:pPr>
      <w:r w:rsidRPr="007C705C">
        <w:rPr>
          <w:rFonts w:eastAsiaTheme="minorEastAsia"/>
        </w:rPr>
        <w:t>Podpora živočišné výroby a aplikace organických hnojiv, ochrana ZPF před nadměrnou zástavbou, revize uspořádání půdního fondu, podpora šetrného a ochranného zpracování půdy a využívání hluboce kořenících plodin.</w:t>
      </w:r>
    </w:p>
    <w:p w14:paraId="2B1B15F9" w14:textId="77777777" w:rsidR="003E0F58" w:rsidRPr="007C705C" w:rsidRDefault="003E0F58" w:rsidP="008A1AE3">
      <w:pPr>
        <w:pStyle w:val="Odstavecseseznamem"/>
        <w:numPr>
          <w:ilvl w:val="0"/>
          <w:numId w:val="24"/>
        </w:numPr>
        <w:spacing w:before="60" w:line="360" w:lineRule="atLeast"/>
        <w:rPr>
          <w:rFonts w:eastAsiaTheme="minorEastAsia"/>
          <w:u w:val="single"/>
        </w:rPr>
      </w:pPr>
      <w:r w:rsidRPr="007C705C">
        <w:rPr>
          <w:rFonts w:eastAsiaTheme="minorEastAsia"/>
          <w:u w:val="single"/>
        </w:rPr>
        <w:t>Velké produkční bloky orné půdy, odvodnění mokřadů, regulace vodních toků, úbytek ekotonů krajinných prvků</w:t>
      </w:r>
    </w:p>
    <w:p w14:paraId="4926A994" w14:textId="77777777" w:rsidR="003E0F58" w:rsidRPr="00C4544F" w:rsidRDefault="003E0F58" w:rsidP="008A1AE3">
      <w:pPr>
        <w:pStyle w:val="UZEINormaln"/>
        <w:numPr>
          <w:ilvl w:val="0"/>
          <w:numId w:val="42"/>
        </w:numPr>
        <w:rPr>
          <w:rFonts w:eastAsiaTheme="minorEastAsia"/>
        </w:rPr>
      </w:pPr>
      <w:r w:rsidRPr="00C4544F">
        <w:rPr>
          <w:rFonts w:eastAsiaTheme="minorEastAsia"/>
        </w:rPr>
        <w:t>Podpora budování nových funkčních sítí krajinných prvků, revize uspořádání půdního fondu.</w:t>
      </w:r>
    </w:p>
    <w:p w14:paraId="6B446E7A" w14:textId="77777777" w:rsidR="003E0F58" w:rsidRPr="007C705C" w:rsidRDefault="003E0F58" w:rsidP="008A1AE3">
      <w:pPr>
        <w:pStyle w:val="Odstavecseseznamem"/>
        <w:numPr>
          <w:ilvl w:val="0"/>
          <w:numId w:val="24"/>
        </w:numPr>
        <w:spacing w:before="60" w:line="360" w:lineRule="atLeast"/>
        <w:rPr>
          <w:rFonts w:eastAsiaTheme="minorEastAsia"/>
          <w:u w:val="single"/>
        </w:rPr>
      </w:pPr>
      <w:r w:rsidRPr="007C705C">
        <w:rPr>
          <w:rFonts w:eastAsiaTheme="minorEastAsia"/>
          <w:u w:val="single"/>
        </w:rPr>
        <w:t xml:space="preserve">Nedostatečné podklady o vzniku provozu odvodnění, nákladné opravy či odstranění </w:t>
      </w:r>
    </w:p>
    <w:p w14:paraId="3B4F24BF" w14:textId="77777777" w:rsidR="003E0F58" w:rsidRPr="00C4544F" w:rsidRDefault="003E0F58" w:rsidP="008A1AE3">
      <w:pPr>
        <w:pStyle w:val="UZEINormaln"/>
        <w:numPr>
          <w:ilvl w:val="0"/>
          <w:numId w:val="42"/>
        </w:numPr>
        <w:rPr>
          <w:rFonts w:eastAsiaTheme="minorEastAsia"/>
        </w:rPr>
      </w:pPr>
      <w:r w:rsidRPr="00C4544F">
        <w:rPr>
          <w:rFonts w:eastAsiaTheme="minorEastAsia"/>
        </w:rPr>
        <w:t>"Podpora rekonstrukce a modernizace staveb, resp. návrhů eliminačních opatření snižující nebo rušící zrychlený odvod vod z území, snaha o navrácení plochy do podoby před provedením odvodňovací stavby při respektování současného využívání krajiny."</w:t>
      </w:r>
    </w:p>
    <w:p w14:paraId="664198EA" w14:textId="77777777" w:rsidR="003E0F58" w:rsidRPr="007C705C" w:rsidRDefault="003E0F58" w:rsidP="008A1AE3">
      <w:pPr>
        <w:pStyle w:val="Odstavecseseznamem"/>
        <w:numPr>
          <w:ilvl w:val="0"/>
          <w:numId w:val="24"/>
        </w:numPr>
        <w:spacing w:before="60" w:line="360" w:lineRule="atLeast"/>
        <w:rPr>
          <w:rFonts w:eastAsiaTheme="minorEastAsia"/>
          <w:u w:val="single"/>
        </w:rPr>
      </w:pPr>
      <w:r w:rsidRPr="007C705C">
        <w:rPr>
          <w:rFonts w:eastAsiaTheme="minorEastAsia"/>
          <w:u w:val="single"/>
        </w:rPr>
        <w:t>Zkapacitnění koryt vodních toků - nedostatek retenčních prostor v krajině, zvyšující se prostor zpevněných ploch</w:t>
      </w:r>
    </w:p>
    <w:p w14:paraId="37BEC85B" w14:textId="24E321AB" w:rsidR="003E0F58" w:rsidRPr="00C4544F" w:rsidRDefault="003E0F58" w:rsidP="008A1AE3">
      <w:pPr>
        <w:pStyle w:val="UZEINormaln"/>
        <w:numPr>
          <w:ilvl w:val="0"/>
          <w:numId w:val="42"/>
        </w:numPr>
        <w:rPr>
          <w:rFonts w:eastAsiaTheme="minorEastAsia"/>
        </w:rPr>
      </w:pPr>
      <w:r w:rsidRPr="00C4544F">
        <w:rPr>
          <w:rFonts w:eastAsiaTheme="minorEastAsia"/>
        </w:rPr>
        <w:t>Podpora revitalizací toků, ochrana ZPF před nadměrnou zástavbou, využívání sedimentů z vodních ploch a toků.</w:t>
      </w:r>
    </w:p>
    <w:p w14:paraId="2D192D71" w14:textId="1A5082AD" w:rsidR="003E0F58" w:rsidRPr="007C705C" w:rsidRDefault="003E0F58" w:rsidP="00C4544F">
      <w:pPr>
        <w:pStyle w:val="UZEITaB"/>
      </w:pPr>
      <w:r w:rsidRPr="007C705C">
        <w:t xml:space="preserve"> </w:t>
      </w:r>
      <w:bookmarkStart w:id="365" w:name="_Toc77245843"/>
      <w:bookmarkStart w:id="366" w:name="_Toc94181607"/>
      <w:r w:rsidRPr="007C705C">
        <w:t xml:space="preserve">Možnosti efektivního řešení problému v rámci nástrojů SZP - </w:t>
      </w:r>
      <w:r w:rsidRPr="007C705C">
        <w:rPr>
          <w:rFonts w:eastAsiaTheme="minorEastAsia"/>
        </w:rPr>
        <w:t>Nevhodné nakládání se srážkovou vodou v krajině</w:t>
      </w:r>
      <w:bookmarkEnd w:id="365"/>
      <w:bookmarkEnd w:id="366"/>
    </w:p>
    <w:tbl>
      <w:tblPr>
        <w:tblStyle w:val="Mkatabulky2"/>
        <w:tblpPr w:leftFromText="141" w:rightFromText="141" w:vertAnchor="text" w:horzAnchor="margin" w:tblpY="9"/>
        <w:tblW w:w="9180" w:type="dxa"/>
        <w:tblLayout w:type="fixed"/>
        <w:tblLook w:val="04A0" w:firstRow="1" w:lastRow="0" w:firstColumn="1" w:lastColumn="0" w:noHBand="0" w:noVBand="1"/>
      </w:tblPr>
      <w:tblGrid>
        <w:gridCol w:w="1384"/>
        <w:gridCol w:w="1418"/>
        <w:gridCol w:w="2268"/>
        <w:gridCol w:w="1701"/>
        <w:gridCol w:w="1275"/>
        <w:gridCol w:w="1134"/>
      </w:tblGrid>
      <w:tr w:rsidR="003E0F58" w:rsidRPr="007C705C" w14:paraId="0BF6CFEA" w14:textId="77777777" w:rsidTr="004D2249">
        <w:tc>
          <w:tcPr>
            <w:tcW w:w="1384" w:type="dxa"/>
            <w:shd w:val="clear" w:color="auto" w:fill="E7E6E6" w:themeFill="background2"/>
          </w:tcPr>
          <w:p w14:paraId="39F10E7C"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Problém</w:t>
            </w:r>
          </w:p>
        </w:tc>
        <w:tc>
          <w:tcPr>
            <w:tcW w:w="1418" w:type="dxa"/>
            <w:shd w:val="clear" w:color="auto" w:fill="E7E6E6" w:themeFill="background2"/>
          </w:tcPr>
          <w:p w14:paraId="6FC57AFE"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Příčiny</w:t>
            </w:r>
          </w:p>
        </w:tc>
        <w:tc>
          <w:tcPr>
            <w:tcW w:w="2268" w:type="dxa"/>
            <w:shd w:val="clear" w:color="auto" w:fill="E7E6E6" w:themeFill="background2"/>
          </w:tcPr>
          <w:p w14:paraId="060C5B36"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Převládající chování/reakce zemědělců</w:t>
            </w:r>
          </w:p>
        </w:tc>
        <w:tc>
          <w:tcPr>
            <w:tcW w:w="1701" w:type="dxa"/>
            <w:shd w:val="clear" w:color="auto" w:fill="E7E6E6" w:themeFill="background2"/>
          </w:tcPr>
          <w:p w14:paraId="2313E0B0"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Nutná změna</w:t>
            </w:r>
          </w:p>
        </w:tc>
        <w:tc>
          <w:tcPr>
            <w:tcW w:w="1275" w:type="dxa"/>
            <w:shd w:val="clear" w:color="auto" w:fill="E7E6E6" w:themeFill="background2"/>
          </w:tcPr>
          <w:p w14:paraId="4C9F9102"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Prvek intervence</w:t>
            </w:r>
          </w:p>
        </w:tc>
        <w:tc>
          <w:tcPr>
            <w:tcW w:w="1134" w:type="dxa"/>
            <w:shd w:val="clear" w:color="auto" w:fill="E7E6E6" w:themeFill="background2"/>
          </w:tcPr>
          <w:p w14:paraId="208AE819"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Intervence</w:t>
            </w:r>
          </w:p>
        </w:tc>
      </w:tr>
      <w:tr w:rsidR="003E0F58" w:rsidRPr="007C705C" w14:paraId="4D8198DB" w14:textId="77777777" w:rsidTr="004D2249">
        <w:tc>
          <w:tcPr>
            <w:tcW w:w="1384" w:type="dxa"/>
          </w:tcPr>
          <w:p w14:paraId="16930CC4" w14:textId="77777777" w:rsidR="003E0F58" w:rsidRPr="007C705C" w:rsidRDefault="003E0F58" w:rsidP="004D2249">
            <w:pPr>
              <w:jc w:val="left"/>
              <w:rPr>
                <w:rFonts w:eastAsia="Calibri" w:cs="Times New Roman"/>
                <w:sz w:val="20"/>
                <w:szCs w:val="20"/>
              </w:rPr>
            </w:pPr>
            <w:r w:rsidRPr="007C705C">
              <w:rPr>
                <w:rFonts w:eastAsiaTheme="minorEastAsia" w:cs="Times New Roman"/>
                <w:sz w:val="20"/>
                <w:szCs w:val="20"/>
              </w:rPr>
              <w:t>Nevhodné nakládání se srážkovou vodou v krajině (přes 1 mil. ha odvodněno, utužená půda, zrušeny krajinné prvky)</w:t>
            </w:r>
          </w:p>
        </w:tc>
        <w:tc>
          <w:tcPr>
            <w:tcW w:w="1418" w:type="dxa"/>
          </w:tcPr>
          <w:p w14:paraId="225D7CFE" w14:textId="77777777" w:rsidR="003E0F58" w:rsidRPr="007C705C" w:rsidRDefault="003E0F58" w:rsidP="004D2249">
            <w:pPr>
              <w:jc w:val="left"/>
              <w:rPr>
                <w:rFonts w:eastAsiaTheme="minorEastAsia" w:cs="Times New Roman"/>
                <w:sz w:val="20"/>
                <w:szCs w:val="20"/>
              </w:rPr>
            </w:pPr>
            <w:r w:rsidRPr="007C705C">
              <w:rPr>
                <w:rFonts w:eastAsiaTheme="minorEastAsia" w:cs="Times New Roman"/>
                <w:sz w:val="20"/>
                <w:szCs w:val="20"/>
              </w:rPr>
              <w:t>Odvodnění</w:t>
            </w:r>
          </w:p>
          <w:p w14:paraId="7790E22E" w14:textId="77777777" w:rsidR="003E0F58" w:rsidRPr="007C705C" w:rsidRDefault="003E0F58" w:rsidP="004D2249">
            <w:pPr>
              <w:jc w:val="left"/>
              <w:rPr>
                <w:rFonts w:eastAsiaTheme="minorEastAsia" w:cs="Times New Roman"/>
                <w:sz w:val="20"/>
                <w:szCs w:val="20"/>
              </w:rPr>
            </w:pPr>
          </w:p>
          <w:p w14:paraId="0C41EA9C" w14:textId="77777777" w:rsidR="003E0F58" w:rsidRPr="007C705C" w:rsidRDefault="003E0F58" w:rsidP="004D2249">
            <w:pPr>
              <w:jc w:val="left"/>
              <w:rPr>
                <w:rFonts w:eastAsiaTheme="minorEastAsia" w:cs="Times New Roman"/>
                <w:sz w:val="20"/>
                <w:szCs w:val="20"/>
              </w:rPr>
            </w:pPr>
            <w:r w:rsidRPr="007C705C">
              <w:rPr>
                <w:rFonts w:eastAsiaTheme="minorEastAsia" w:cs="Times New Roman"/>
                <w:sz w:val="20"/>
                <w:szCs w:val="20"/>
              </w:rPr>
              <w:t>Regulované toky (napřímení, zahloubení, opevnění, zrušeny meandry)</w:t>
            </w:r>
          </w:p>
          <w:p w14:paraId="57D22BBA" w14:textId="77777777" w:rsidR="003E0F58" w:rsidRPr="007C705C" w:rsidRDefault="003E0F58" w:rsidP="004D2249">
            <w:pPr>
              <w:jc w:val="left"/>
              <w:rPr>
                <w:rFonts w:eastAsiaTheme="minorEastAsia" w:cs="Times New Roman"/>
                <w:sz w:val="20"/>
                <w:szCs w:val="20"/>
              </w:rPr>
            </w:pPr>
          </w:p>
          <w:p w14:paraId="34E45C3B" w14:textId="77777777" w:rsidR="003E0F58" w:rsidRPr="007C705C" w:rsidRDefault="003E0F58" w:rsidP="004D2249">
            <w:pPr>
              <w:jc w:val="left"/>
              <w:rPr>
                <w:rFonts w:eastAsiaTheme="minorEastAsia" w:cs="Times New Roman"/>
                <w:sz w:val="20"/>
                <w:szCs w:val="20"/>
              </w:rPr>
            </w:pPr>
            <w:r w:rsidRPr="007C705C">
              <w:rPr>
                <w:rFonts w:eastAsiaTheme="minorEastAsia" w:cs="Times New Roman"/>
                <w:sz w:val="20"/>
                <w:szCs w:val="20"/>
              </w:rPr>
              <w:t>Utužená půda</w:t>
            </w:r>
          </w:p>
          <w:p w14:paraId="37B31F39" w14:textId="77777777" w:rsidR="003E0F58" w:rsidRPr="007C705C" w:rsidRDefault="003E0F58" w:rsidP="004D2249">
            <w:pPr>
              <w:jc w:val="left"/>
              <w:rPr>
                <w:rFonts w:eastAsiaTheme="minorEastAsia" w:cs="Times New Roman"/>
                <w:sz w:val="20"/>
                <w:szCs w:val="20"/>
              </w:rPr>
            </w:pPr>
            <w:r w:rsidRPr="007C705C">
              <w:rPr>
                <w:rFonts w:eastAsiaTheme="minorEastAsia" w:cs="Times New Roman"/>
                <w:sz w:val="20"/>
                <w:szCs w:val="20"/>
              </w:rPr>
              <w:t>Velké půdní bloky</w:t>
            </w:r>
          </w:p>
          <w:p w14:paraId="6DC194BD" w14:textId="77777777" w:rsidR="003E0F58" w:rsidRPr="007C705C" w:rsidRDefault="003E0F58" w:rsidP="004D2249">
            <w:pPr>
              <w:jc w:val="left"/>
              <w:rPr>
                <w:rFonts w:eastAsiaTheme="minorEastAsia" w:cs="Times New Roman"/>
                <w:sz w:val="20"/>
                <w:szCs w:val="20"/>
              </w:rPr>
            </w:pPr>
          </w:p>
          <w:p w14:paraId="3673F7FE" w14:textId="77777777" w:rsidR="003E0F58" w:rsidRPr="007C705C" w:rsidRDefault="003E0F58" w:rsidP="004D2249">
            <w:pPr>
              <w:jc w:val="left"/>
              <w:rPr>
                <w:rFonts w:eastAsiaTheme="minorEastAsia" w:cs="Times New Roman"/>
                <w:sz w:val="20"/>
                <w:szCs w:val="20"/>
              </w:rPr>
            </w:pPr>
            <w:r w:rsidRPr="007C705C">
              <w:rPr>
                <w:rFonts w:eastAsiaTheme="minorEastAsia" w:cs="Times New Roman"/>
                <w:sz w:val="20"/>
                <w:szCs w:val="20"/>
              </w:rPr>
              <w:t>Zábor ZPF</w:t>
            </w:r>
          </w:p>
          <w:p w14:paraId="19FDA351" w14:textId="77777777" w:rsidR="003E0F58" w:rsidRPr="007C705C" w:rsidRDefault="003E0F58" w:rsidP="004D2249">
            <w:pPr>
              <w:jc w:val="left"/>
              <w:rPr>
                <w:rFonts w:eastAsiaTheme="minorEastAsia" w:cs="Times New Roman"/>
                <w:sz w:val="20"/>
                <w:szCs w:val="20"/>
              </w:rPr>
            </w:pPr>
          </w:p>
          <w:p w14:paraId="326F1E50" w14:textId="77777777" w:rsidR="003E0F58" w:rsidRPr="007C705C" w:rsidRDefault="003E0F58" w:rsidP="004D2249">
            <w:pPr>
              <w:jc w:val="left"/>
              <w:rPr>
                <w:rFonts w:eastAsiaTheme="minorEastAsia" w:cs="Times New Roman"/>
                <w:sz w:val="20"/>
                <w:szCs w:val="20"/>
              </w:rPr>
            </w:pPr>
            <w:r w:rsidRPr="007C705C">
              <w:rPr>
                <w:rFonts w:eastAsiaTheme="minorEastAsia" w:cs="Times New Roman"/>
                <w:sz w:val="20"/>
                <w:szCs w:val="20"/>
              </w:rPr>
              <w:t>Dehumifikace</w:t>
            </w:r>
          </w:p>
          <w:p w14:paraId="6BEAAC44" w14:textId="77777777" w:rsidR="003E0F58" w:rsidRPr="007C705C" w:rsidRDefault="003E0F58" w:rsidP="004D2249">
            <w:pPr>
              <w:jc w:val="left"/>
              <w:rPr>
                <w:rFonts w:eastAsiaTheme="minorEastAsia" w:cs="Times New Roman"/>
                <w:sz w:val="20"/>
                <w:szCs w:val="20"/>
              </w:rPr>
            </w:pPr>
            <w:r w:rsidRPr="007C705C">
              <w:rPr>
                <w:rFonts w:eastAsiaTheme="minorEastAsia" w:cs="Times New Roman"/>
                <w:sz w:val="20"/>
                <w:szCs w:val="20"/>
              </w:rPr>
              <w:t>eroze</w:t>
            </w:r>
          </w:p>
        </w:tc>
        <w:tc>
          <w:tcPr>
            <w:tcW w:w="2268" w:type="dxa"/>
          </w:tcPr>
          <w:p w14:paraId="24DF984D" w14:textId="77777777" w:rsidR="003E0F58" w:rsidRPr="007C705C" w:rsidRDefault="003E0F58" w:rsidP="004D2249">
            <w:pPr>
              <w:jc w:val="left"/>
              <w:rPr>
                <w:rFonts w:eastAsiaTheme="minorEastAsia" w:cs="Times New Roman"/>
                <w:sz w:val="20"/>
                <w:szCs w:val="20"/>
              </w:rPr>
            </w:pPr>
            <w:r w:rsidRPr="007C705C">
              <w:rPr>
                <w:rFonts w:eastAsiaTheme="minorEastAsia" w:cs="Times New Roman"/>
                <w:sz w:val="20"/>
                <w:szCs w:val="20"/>
              </w:rPr>
              <w:t>Neodstraňují odvodnění</w:t>
            </w:r>
          </w:p>
          <w:p w14:paraId="30E29585" w14:textId="77777777" w:rsidR="003E0F58" w:rsidRPr="007C705C" w:rsidRDefault="003E0F58" w:rsidP="004D2249">
            <w:pPr>
              <w:jc w:val="left"/>
              <w:rPr>
                <w:rFonts w:eastAsiaTheme="minorEastAsia" w:cs="Times New Roman"/>
                <w:sz w:val="20"/>
                <w:szCs w:val="20"/>
              </w:rPr>
            </w:pPr>
          </w:p>
          <w:p w14:paraId="7F8ED718" w14:textId="77777777" w:rsidR="003E0F58" w:rsidRPr="007C705C" w:rsidRDefault="003E0F58" w:rsidP="004D2249">
            <w:pPr>
              <w:jc w:val="left"/>
              <w:rPr>
                <w:rFonts w:eastAsiaTheme="minorEastAsia" w:cs="Times New Roman"/>
                <w:sz w:val="20"/>
                <w:szCs w:val="20"/>
              </w:rPr>
            </w:pPr>
            <w:r w:rsidRPr="007C705C">
              <w:rPr>
                <w:rFonts w:eastAsiaTheme="minorEastAsia" w:cs="Times New Roman"/>
                <w:sz w:val="20"/>
                <w:szCs w:val="20"/>
              </w:rPr>
              <w:t>Zanedbávají údržbu odvodnění</w:t>
            </w:r>
          </w:p>
          <w:p w14:paraId="25DEB45F" w14:textId="77777777" w:rsidR="003E0F58" w:rsidRPr="007C705C" w:rsidRDefault="003E0F58" w:rsidP="004D2249">
            <w:pPr>
              <w:jc w:val="left"/>
              <w:rPr>
                <w:rFonts w:eastAsiaTheme="minorEastAsia" w:cs="Times New Roman"/>
                <w:sz w:val="20"/>
                <w:szCs w:val="20"/>
              </w:rPr>
            </w:pPr>
          </w:p>
          <w:p w14:paraId="6BBA75B4" w14:textId="77777777" w:rsidR="003E0F58" w:rsidRPr="007C705C" w:rsidRDefault="003E0F58" w:rsidP="004D2249">
            <w:pPr>
              <w:jc w:val="left"/>
              <w:rPr>
                <w:rFonts w:eastAsiaTheme="minorEastAsia" w:cs="Times New Roman"/>
                <w:sz w:val="20"/>
                <w:szCs w:val="20"/>
              </w:rPr>
            </w:pPr>
            <w:r w:rsidRPr="007C705C">
              <w:rPr>
                <w:rFonts w:eastAsiaTheme="minorEastAsia" w:cs="Times New Roman"/>
                <w:sz w:val="20"/>
                <w:szCs w:val="20"/>
              </w:rPr>
              <w:t>Používají těžkou techniku</w:t>
            </w:r>
          </w:p>
          <w:p w14:paraId="6B426862" w14:textId="77777777" w:rsidR="003E0F58" w:rsidRPr="007C705C" w:rsidRDefault="003E0F58" w:rsidP="004D2249">
            <w:pPr>
              <w:jc w:val="left"/>
              <w:rPr>
                <w:rFonts w:eastAsiaTheme="minorEastAsia" w:cs="Times New Roman"/>
                <w:sz w:val="20"/>
                <w:szCs w:val="20"/>
              </w:rPr>
            </w:pPr>
          </w:p>
          <w:p w14:paraId="6DAB6A50" w14:textId="77777777" w:rsidR="003E0F58" w:rsidRPr="007C705C" w:rsidRDefault="003E0F58" w:rsidP="004D2249">
            <w:pPr>
              <w:jc w:val="left"/>
              <w:rPr>
                <w:rFonts w:eastAsiaTheme="minorEastAsia" w:cs="Times New Roman"/>
                <w:sz w:val="20"/>
                <w:szCs w:val="20"/>
              </w:rPr>
            </w:pPr>
            <w:r w:rsidRPr="007C705C">
              <w:rPr>
                <w:rFonts w:eastAsiaTheme="minorEastAsia" w:cs="Times New Roman"/>
                <w:sz w:val="20"/>
                <w:szCs w:val="20"/>
              </w:rPr>
              <w:t>Časté pojezdy</w:t>
            </w:r>
          </w:p>
          <w:p w14:paraId="641A82DC" w14:textId="77777777" w:rsidR="003E0F58" w:rsidRPr="007C705C" w:rsidRDefault="003E0F58" w:rsidP="004D2249">
            <w:pPr>
              <w:jc w:val="left"/>
              <w:rPr>
                <w:rFonts w:eastAsiaTheme="minorEastAsia" w:cs="Times New Roman"/>
                <w:sz w:val="20"/>
                <w:szCs w:val="20"/>
              </w:rPr>
            </w:pPr>
          </w:p>
          <w:p w14:paraId="681B1F3D" w14:textId="77777777" w:rsidR="003E0F58" w:rsidRPr="007C705C" w:rsidRDefault="003E0F58" w:rsidP="004D2249">
            <w:pPr>
              <w:jc w:val="left"/>
              <w:rPr>
                <w:rFonts w:eastAsiaTheme="minorEastAsia" w:cs="Times New Roman"/>
                <w:sz w:val="20"/>
                <w:szCs w:val="20"/>
              </w:rPr>
            </w:pPr>
            <w:r w:rsidRPr="007C705C">
              <w:rPr>
                <w:rFonts w:eastAsiaTheme="minorEastAsia" w:cs="Times New Roman"/>
                <w:sz w:val="20"/>
                <w:szCs w:val="20"/>
              </w:rPr>
              <w:t>Chybí krajinné prvky</w:t>
            </w:r>
          </w:p>
          <w:p w14:paraId="738A67E2" w14:textId="77777777" w:rsidR="003E0F58" w:rsidRPr="007C705C" w:rsidRDefault="003E0F58" w:rsidP="004D2249">
            <w:pPr>
              <w:jc w:val="left"/>
              <w:rPr>
                <w:rFonts w:eastAsiaTheme="minorEastAsia" w:cs="Times New Roman"/>
                <w:sz w:val="20"/>
                <w:szCs w:val="20"/>
              </w:rPr>
            </w:pPr>
          </w:p>
          <w:p w14:paraId="1FC04B8E" w14:textId="77777777" w:rsidR="003E0F58" w:rsidRPr="007C705C" w:rsidRDefault="003E0F58" w:rsidP="004D2249">
            <w:pPr>
              <w:jc w:val="left"/>
              <w:rPr>
                <w:rFonts w:eastAsiaTheme="minorEastAsia" w:cs="Times New Roman"/>
                <w:sz w:val="20"/>
                <w:szCs w:val="20"/>
              </w:rPr>
            </w:pPr>
            <w:r w:rsidRPr="007C705C">
              <w:rPr>
                <w:rFonts w:eastAsiaTheme="minorEastAsia" w:cs="Times New Roman"/>
                <w:sz w:val="20"/>
                <w:szCs w:val="20"/>
              </w:rPr>
              <w:t>Nedostatek org. hmoty</w:t>
            </w:r>
          </w:p>
          <w:p w14:paraId="2F1F4334" w14:textId="77777777" w:rsidR="003E0F58" w:rsidRPr="007C705C" w:rsidRDefault="003E0F58" w:rsidP="004D2249">
            <w:pPr>
              <w:jc w:val="left"/>
              <w:rPr>
                <w:rFonts w:eastAsiaTheme="minorEastAsia" w:cs="Times New Roman"/>
                <w:sz w:val="20"/>
                <w:szCs w:val="20"/>
              </w:rPr>
            </w:pPr>
          </w:p>
          <w:p w14:paraId="5D61F9B5" w14:textId="77777777" w:rsidR="003E0F58" w:rsidRPr="007C705C" w:rsidRDefault="003E0F58" w:rsidP="004D2249">
            <w:pPr>
              <w:jc w:val="left"/>
              <w:rPr>
                <w:rFonts w:eastAsiaTheme="minorEastAsia" w:cs="Times New Roman"/>
                <w:sz w:val="20"/>
                <w:szCs w:val="20"/>
              </w:rPr>
            </w:pPr>
            <w:r w:rsidRPr="007C705C">
              <w:rPr>
                <w:rFonts w:eastAsiaTheme="minorEastAsia" w:cs="Times New Roman"/>
                <w:sz w:val="20"/>
                <w:szCs w:val="20"/>
              </w:rPr>
              <w:t>Nevhodné osevní postupy</w:t>
            </w:r>
          </w:p>
          <w:p w14:paraId="12B56A1A" w14:textId="77777777" w:rsidR="003E0F58" w:rsidRPr="007C705C" w:rsidRDefault="003E0F58" w:rsidP="004D2249">
            <w:pPr>
              <w:jc w:val="left"/>
              <w:rPr>
                <w:rFonts w:eastAsiaTheme="minorEastAsia" w:cs="Times New Roman"/>
                <w:sz w:val="20"/>
                <w:szCs w:val="20"/>
              </w:rPr>
            </w:pPr>
          </w:p>
          <w:p w14:paraId="54B416A6" w14:textId="77777777" w:rsidR="003E0F58" w:rsidRPr="007C705C" w:rsidRDefault="003E0F58" w:rsidP="004D2249">
            <w:pPr>
              <w:jc w:val="left"/>
              <w:rPr>
                <w:rFonts w:eastAsiaTheme="minorEastAsia" w:cs="Times New Roman"/>
                <w:sz w:val="20"/>
                <w:szCs w:val="20"/>
              </w:rPr>
            </w:pPr>
            <w:r w:rsidRPr="007C705C">
              <w:rPr>
                <w:rFonts w:eastAsiaTheme="minorEastAsia" w:cs="Times New Roman"/>
                <w:sz w:val="20"/>
                <w:szCs w:val="20"/>
              </w:rPr>
              <w:t>Nepěstují pícniny</w:t>
            </w:r>
          </w:p>
        </w:tc>
        <w:tc>
          <w:tcPr>
            <w:tcW w:w="1701" w:type="dxa"/>
          </w:tcPr>
          <w:p w14:paraId="1BD5C8C8" w14:textId="77777777" w:rsidR="003E0F58" w:rsidRPr="007C705C" w:rsidRDefault="003E0F58" w:rsidP="004D2249">
            <w:pPr>
              <w:jc w:val="left"/>
              <w:rPr>
                <w:rFonts w:eastAsiaTheme="minorEastAsia" w:cs="Times New Roman"/>
                <w:sz w:val="20"/>
                <w:szCs w:val="20"/>
              </w:rPr>
            </w:pPr>
            <w:r w:rsidRPr="007C705C">
              <w:rPr>
                <w:rFonts w:eastAsiaTheme="minorEastAsia" w:cs="Times New Roman"/>
                <w:sz w:val="20"/>
                <w:szCs w:val="20"/>
              </w:rPr>
              <w:t>Více používat organická hnojiva</w:t>
            </w:r>
          </w:p>
          <w:p w14:paraId="73845866" w14:textId="77777777" w:rsidR="003E0F58" w:rsidRPr="007C705C" w:rsidRDefault="003E0F58" w:rsidP="004D2249">
            <w:pPr>
              <w:jc w:val="left"/>
              <w:rPr>
                <w:rFonts w:eastAsiaTheme="minorEastAsia" w:cs="Times New Roman"/>
                <w:sz w:val="20"/>
                <w:szCs w:val="20"/>
              </w:rPr>
            </w:pPr>
          </w:p>
          <w:p w14:paraId="374046A7" w14:textId="77777777" w:rsidR="003E0F58" w:rsidRPr="007C705C" w:rsidRDefault="003E0F58" w:rsidP="004D2249">
            <w:pPr>
              <w:jc w:val="left"/>
              <w:rPr>
                <w:rFonts w:eastAsiaTheme="minorEastAsia" w:cs="Times New Roman"/>
                <w:sz w:val="20"/>
                <w:szCs w:val="20"/>
              </w:rPr>
            </w:pPr>
            <w:r w:rsidRPr="007C705C">
              <w:rPr>
                <w:rFonts w:eastAsiaTheme="minorEastAsia" w:cs="Times New Roman"/>
                <w:sz w:val="20"/>
                <w:szCs w:val="20"/>
              </w:rPr>
              <w:t>Používat lehčí mechanizaci</w:t>
            </w:r>
          </w:p>
          <w:p w14:paraId="37E3496A" w14:textId="77777777" w:rsidR="003E0F58" w:rsidRPr="007C705C" w:rsidRDefault="003E0F58" w:rsidP="004D2249">
            <w:pPr>
              <w:jc w:val="left"/>
              <w:rPr>
                <w:rFonts w:eastAsiaTheme="minorEastAsia" w:cs="Times New Roman"/>
                <w:sz w:val="20"/>
                <w:szCs w:val="20"/>
              </w:rPr>
            </w:pPr>
          </w:p>
          <w:p w14:paraId="25842BB2" w14:textId="77777777" w:rsidR="003E0F58" w:rsidRPr="007C705C" w:rsidRDefault="003E0F58" w:rsidP="004D2249">
            <w:pPr>
              <w:jc w:val="left"/>
              <w:rPr>
                <w:rFonts w:eastAsiaTheme="minorEastAsia" w:cs="Times New Roman"/>
                <w:sz w:val="20"/>
                <w:szCs w:val="20"/>
              </w:rPr>
            </w:pPr>
            <w:r w:rsidRPr="007C705C">
              <w:rPr>
                <w:rFonts w:eastAsiaTheme="minorEastAsia" w:cs="Times New Roman"/>
                <w:sz w:val="20"/>
                <w:szCs w:val="20"/>
              </w:rPr>
              <w:t>Omezovat pojezdy</w:t>
            </w:r>
          </w:p>
          <w:p w14:paraId="5A8D0A61" w14:textId="77777777" w:rsidR="003E0F58" w:rsidRPr="007C705C" w:rsidRDefault="003E0F58" w:rsidP="004D2249">
            <w:pPr>
              <w:jc w:val="left"/>
              <w:rPr>
                <w:rFonts w:eastAsiaTheme="minorEastAsia" w:cs="Times New Roman"/>
                <w:sz w:val="20"/>
                <w:szCs w:val="20"/>
              </w:rPr>
            </w:pPr>
          </w:p>
          <w:p w14:paraId="6FD40659" w14:textId="77777777" w:rsidR="003E0F58" w:rsidRPr="007C705C" w:rsidRDefault="003E0F58" w:rsidP="004D2249">
            <w:pPr>
              <w:jc w:val="left"/>
              <w:rPr>
                <w:rFonts w:eastAsiaTheme="minorEastAsia" w:cs="Times New Roman"/>
                <w:sz w:val="20"/>
                <w:szCs w:val="20"/>
              </w:rPr>
            </w:pPr>
            <w:r w:rsidRPr="007C705C">
              <w:rPr>
                <w:rFonts w:eastAsiaTheme="minorEastAsia" w:cs="Times New Roman"/>
                <w:sz w:val="20"/>
                <w:szCs w:val="20"/>
              </w:rPr>
              <w:t>Upravit osevní postupy</w:t>
            </w:r>
          </w:p>
          <w:p w14:paraId="34047FBD" w14:textId="77777777" w:rsidR="003E0F58" w:rsidRPr="007C705C" w:rsidRDefault="003E0F58" w:rsidP="004D2249">
            <w:pPr>
              <w:jc w:val="left"/>
              <w:rPr>
                <w:rFonts w:eastAsiaTheme="minorEastAsia" w:cs="Times New Roman"/>
                <w:sz w:val="20"/>
                <w:szCs w:val="20"/>
              </w:rPr>
            </w:pPr>
          </w:p>
          <w:p w14:paraId="2BA555CB" w14:textId="77777777" w:rsidR="003E0F58" w:rsidRPr="007C705C" w:rsidRDefault="003E0F58" w:rsidP="004D2249">
            <w:pPr>
              <w:jc w:val="left"/>
              <w:rPr>
                <w:rFonts w:eastAsiaTheme="minorEastAsia" w:cs="Times New Roman"/>
                <w:sz w:val="20"/>
                <w:szCs w:val="20"/>
              </w:rPr>
            </w:pPr>
            <w:r w:rsidRPr="007C705C">
              <w:rPr>
                <w:rFonts w:eastAsiaTheme="minorEastAsia" w:cs="Times New Roman"/>
                <w:sz w:val="20"/>
                <w:szCs w:val="20"/>
              </w:rPr>
              <w:t>Více pícnin</w:t>
            </w:r>
          </w:p>
          <w:p w14:paraId="00D92850" w14:textId="77777777" w:rsidR="003E0F58" w:rsidRPr="007C705C" w:rsidRDefault="003E0F58" w:rsidP="004D2249">
            <w:pPr>
              <w:jc w:val="left"/>
              <w:rPr>
                <w:rFonts w:eastAsiaTheme="minorEastAsia" w:cs="Times New Roman"/>
                <w:sz w:val="20"/>
                <w:szCs w:val="20"/>
              </w:rPr>
            </w:pPr>
          </w:p>
          <w:p w14:paraId="25EC3731" w14:textId="77777777" w:rsidR="003E0F58" w:rsidRPr="007C705C" w:rsidRDefault="003E0F58" w:rsidP="004D2249">
            <w:pPr>
              <w:jc w:val="left"/>
              <w:rPr>
                <w:rFonts w:eastAsiaTheme="minorEastAsia" w:cs="Times New Roman"/>
                <w:sz w:val="20"/>
                <w:szCs w:val="20"/>
              </w:rPr>
            </w:pPr>
            <w:r w:rsidRPr="007C705C">
              <w:rPr>
                <w:rFonts w:eastAsiaTheme="minorEastAsia" w:cs="Times New Roman"/>
                <w:sz w:val="20"/>
                <w:szCs w:val="20"/>
              </w:rPr>
              <w:t>Rozčlenit velké půdní bloky</w:t>
            </w:r>
          </w:p>
          <w:p w14:paraId="720E1A22" w14:textId="77777777" w:rsidR="003E0F58" w:rsidRPr="007C705C" w:rsidRDefault="003E0F58" w:rsidP="004D2249">
            <w:pPr>
              <w:jc w:val="left"/>
              <w:rPr>
                <w:rFonts w:eastAsiaTheme="minorEastAsia" w:cs="Times New Roman"/>
                <w:sz w:val="20"/>
                <w:szCs w:val="20"/>
              </w:rPr>
            </w:pPr>
          </w:p>
          <w:p w14:paraId="220D6CB2" w14:textId="77777777" w:rsidR="003E0F58" w:rsidRPr="007C705C" w:rsidRDefault="003E0F58" w:rsidP="004D2249">
            <w:pPr>
              <w:jc w:val="left"/>
              <w:rPr>
                <w:rFonts w:eastAsiaTheme="minorEastAsia" w:cs="Times New Roman"/>
                <w:sz w:val="20"/>
                <w:szCs w:val="20"/>
              </w:rPr>
            </w:pPr>
            <w:r w:rsidRPr="007C705C">
              <w:rPr>
                <w:rFonts w:eastAsiaTheme="minorEastAsia" w:cs="Times New Roman"/>
                <w:sz w:val="20"/>
                <w:szCs w:val="20"/>
              </w:rPr>
              <w:lastRenderedPageBreak/>
              <w:t>Eliminovat odvodnění</w:t>
            </w:r>
          </w:p>
          <w:p w14:paraId="780FBEE7" w14:textId="77777777" w:rsidR="003E0F58" w:rsidRPr="007C705C" w:rsidRDefault="003E0F58" w:rsidP="004D2249">
            <w:pPr>
              <w:jc w:val="left"/>
              <w:rPr>
                <w:rFonts w:eastAsiaTheme="minorEastAsia" w:cs="Times New Roman"/>
                <w:sz w:val="20"/>
                <w:szCs w:val="20"/>
              </w:rPr>
            </w:pPr>
          </w:p>
          <w:p w14:paraId="0F1BA6BF" w14:textId="77777777" w:rsidR="003E0F58" w:rsidRPr="007C705C" w:rsidRDefault="003E0F58" w:rsidP="004D2249">
            <w:pPr>
              <w:jc w:val="left"/>
              <w:rPr>
                <w:rFonts w:eastAsiaTheme="minorEastAsia" w:cs="Times New Roman"/>
                <w:sz w:val="20"/>
                <w:szCs w:val="20"/>
              </w:rPr>
            </w:pPr>
            <w:r w:rsidRPr="007C705C">
              <w:rPr>
                <w:rFonts w:eastAsiaTheme="minorEastAsia" w:cs="Times New Roman"/>
                <w:sz w:val="20"/>
                <w:szCs w:val="20"/>
              </w:rPr>
              <w:t>Zkapacitnění koryt vodních toků</w:t>
            </w:r>
          </w:p>
          <w:p w14:paraId="32D8A68F" w14:textId="77777777" w:rsidR="003E0F58" w:rsidRPr="007C705C" w:rsidRDefault="003E0F58" w:rsidP="004D2249">
            <w:pPr>
              <w:jc w:val="left"/>
              <w:rPr>
                <w:rFonts w:eastAsiaTheme="minorEastAsia" w:cs="Times New Roman"/>
                <w:sz w:val="20"/>
                <w:szCs w:val="20"/>
              </w:rPr>
            </w:pPr>
          </w:p>
        </w:tc>
        <w:tc>
          <w:tcPr>
            <w:tcW w:w="1275" w:type="dxa"/>
          </w:tcPr>
          <w:p w14:paraId="3C7A8621" w14:textId="77777777" w:rsidR="003E0F58" w:rsidRPr="007C705C" w:rsidRDefault="003E0F58" w:rsidP="004D2249">
            <w:pPr>
              <w:jc w:val="left"/>
              <w:rPr>
                <w:rFonts w:eastAsiaTheme="minorEastAsia" w:cs="Times New Roman"/>
                <w:sz w:val="20"/>
                <w:szCs w:val="20"/>
              </w:rPr>
            </w:pPr>
            <w:r w:rsidRPr="007C705C">
              <w:rPr>
                <w:rFonts w:eastAsiaTheme="minorEastAsia" w:cs="Times New Roman"/>
                <w:sz w:val="20"/>
                <w:szCs w:val="20"/>
              </w:rPr>
              <w:lastRenderedPageBreak/>
              <w:t>DZES</w:t>
            </w:r>
          </w:p>
          <w:p w14:paraId="43787315" w14:textId="77777777" w:rsidR="003E0F58" w:rsidRPr="007C705C" w:rsidRDefault="003E0F58" w:rsidP="004D2249">
            <w:pPr>
              <w:jc w:val="left"/>
              <w:rPr>
                <w:rFonts w:eastAsiaTheme="minorEastAsia" w:cs="Times New Roman"/>
                <w:sz w:val="20"/>
                <w:szCs w:val="20"/>
              </w:rPr>
            </w:pPr>
          </w:p>
          <w:p w14:paraId="7EE3D753" w14:textId="77777777" w:rsidR="003E0F58" w:rsidRPr="007C705C" w:rsidRDefault="003E0F58" w:rsidP="004D2249">
            <w:pPr>
              <w:jc w:val="left"/>
              <w:rPr>
                <w:rFonts w:eastAsiaTheme="minorEastAsia" w:cs="Times New Roman"/>
                <w:sz w:val="20"/>
                <w:szCs w:val="20"/>
              </w:rPr>
            </w:pPr>
            <w:r w:rsidRPr="007C705C">
              <w:rPr>
                <w:rFonts w:eastAsiaTheme="minorEastAsia" w:cs="Times New Roman"/>
                <w:sz w:val="20"/>
                <w:szCs w:val="20"/>
              </w:rPr>
              <w:t>.</w:t>
            </w:r>
          </w:p>
          <w:p w14:paraId="05C87E2C" w14:textId="77777777" w:rsidR="003E0F58" w:rsidRPr="007C705C" w:rsidRDefault="003E0F58" w:rsidP="004D2249">
            <w:pPr>
              <w:jc w:val="left"/>
              <w:rPr>
                <w:rFonts w:eastAsiaTheme="minorEastAsia" w:cs="Times New Roman"/>
                <w:sz w:val="20"/>
                <w:szCs w:val="20"/>
              </w:rPr>
            </w:pPr>
          </w:p>
          <w:p w14:paraId="779D0A90" w14:textId="77777777" w:rsidR="003E0F58" w:rsidRPr="007C705C" w:rsidRDefault="003E0F58" w:rsidP="004D2249">
            <w:pPr>
              <w:jc w:val="left"/>
              <w:rPr>
                <w:rFonts w:eastAsiaTheme="minorEastAsia" w:cs="Times New Roman"/>
                <w:sz w:val="20"/>
                <w:szCs w:val="20"/>
              </w:rPr>
            </w:pPr>
            <w:r w:rsidRPr="007C705C">
              <w:rPr>
                <w:rFonts w:eastAsiaTheme="minorEastAsia" w:cs="Times New Roman"/>
                <w:sz w:val="20"/>
                <w:szCs w:val="20"/>
              </w:rPr>
              <w:t>Náhrada 1letých víceletými plodinami</w:t>
            </w:r>
          </w:p>
          <w:p w14:paraId="5EAB396F" w14:textId="77777777" w:rsidR="003E0F58" w:rsidRPr="007C705C" w:rsidRDefault="003E0F58" w:rsidP="004D2249">
            <w:pPr>
              <w:jc w:val="left"/>
              <w:rPr>
                <w:rFonts w:eastAsiaTheme="minorEastAsia" w:cs="Times New Roman"/>
                <w:sz w:val="20"/>
                <w:szCs w:val="20"/>
              </w:rPr>
            </w:pPr>
          </w:p>
          <w:p w14:paraId="69C752BB" w14:textId="77777777" w:rsidR="003E0F58" w:rsidRPr="007C705C" w:rsidRDefault="003E0F58" w:rsidP="004D2249">
            <w:pPr>
              <w:jc w:val="left"/>
              <w:rPr>
                <w:rFonts w:eastAsiaTheme="minorEastAsia" w:cs="Times New Roman"/>
                <w:sz w:val="20"/>
                <w:szCs w:val="20"/>
              </w:rPr>
            </w:pPr>
            <w:r w:rsidRPr="007C705C">
              <w:rPr>
                <w:rFonts w:eastAsiaTheme="minorEastAsia" w:cs="Times New Roman"/>
                <w:sz w:val="20"/>
                <w:szCs w:val="20"/>
              </w:rPr>
              <w:t>hluboce kořenící plodiny</w:t>
            </w:r>
          </w:p>
          <w:p w14:paraId="1EBDAFFE" w14:textId="77777777" w:rsidR="003E0F58" w:rsidRPr="007C705C" w:rsidRDefault="003E0F58" w:rsidP="004D2249">
            <w:pPr>
              <w:jc w:val="left"/>
              <w:rPr>
                <w:rFonts w:eastAsiaTheme="minorEastAsia" w:cs="Times New Roman"/>
                <w:sz w:val="20"/>
                <w:szCs w:val="20"/>
              </w:rPr>
            </w:pPr>
          </w:p>
          <w:p w14:paraId="6E1577DD" w14:textId="77777777" w:rsidR="003E0F58" w:rsidRPr="007C705C" w:rsidRDefault="003E0F58" w:rsidP="004D2249">
            <w:pPr>
              <w:jc w:val="left"/>
              <w:rPr>
                <w:rFonts w:eastAsiaTheme="minorEastAsia" w:cs="Times New Roman"/>
                <w:sz w:val="20"/>
                <w:szCs w:val="20"/>
              </w:rPr>
            </w:pPr>
            <w:r w:rsidRPr="007C705C">
              <w:rPr>
                <w:rFonts w:eastAsiaTheme="minorEastAsia" w:cs="Times New Roman"/>
                <w:sz w:val="20"/>
                <w:szCs w:val="20"/>
              </w:rPr>
              <w:t>krajinné prvky</w:t>
            </w:r>
          </w:p>
          <w:p w14:paraId="48A45C42" w14:textId="77777777" w:rsidR="003E0F58" w:rsidRPr="007C705C" w:rsidRDefault="003E0F58" w:rsidP="004D2249">
            <w:pPr>
              <w:jc w:val="left"/>
              <w:rPr>
                <w:rFonts w:eastAsiaTheme="minorEastAsia" w:cs="Times New Roman"/>
                <w:sz w:val="20"/>
                <w:szCs w:val="20"/>
              </w:rPr>
            </w:pPr>
          </w:p>
          <w:p w14:paraId="64743D4C" w14:textId="77777777" w:rsidR="003E0F58" w:rsidRPr="007C705C" w:rsidRDefault="003E0F58" w:rsidP="004D2249">
            <w:pPr>
              <w:jc w:val="left"/>
              <w:rPr>
                <w:rFonts w:eastAsiaTheme="minorEastAsia" w:cs="Times New Roman"/>
                <w:sz w:val="20"/>
                <w:szCs w:val="20"/>
              </w:rPr>
            </w:pPr>
            <w:r w:rsidRPr="007C705C">
              <w:rPr>
                <w:rFonts w:eastAsiaTheme="minorEastAsia" w:cs="Times New Roman"/>
                <w:sz w:val="20"/>
                <w:szCs w:val="20"/>
              </w:rPr>
              <w:lastRenderedPageBreak/>
              <w:t>podpora eliminace odvodnění</w:t>
            </w:r>
          </w:p>
          <w:p w14:paraId="5A6066F9" w14:textId="77777777" w:rsidR="003E0F58" w:rsidRPr="007C705C" w:rsidRDefault="003E0F58" w:rsidP="004D2249">
            <w:pPr>
              <w:jc w:val="left"/>
              <w:rPr>
                <w:rFonts w:eastAsiaTheme="minorEastAsia" w:cs="Times New Roman"/>
                <w:sz w:val="20"/>
                <w:szCs w:val="20"/>
              </w:rPr>
            </w:pPr>
          </w:p>
          <w:p w14:paraId="3F5B3A8B" w14:textId="77777777" w:rsidR="003E0F58" w:rsidRPr="007C705C" w:rsidRDefault="003E0F58" w:rsidP="004D2249">
            <w:pPr>
              <w:jc w:val="left"/>
              <w:rPr>
                <w:rFonts w:eastAsiaTheme="minorEastAsia" w:cs="Times New Roman"/>
                <w:sz w:val="20"/>
                <w:szCs w:val="20"/>
              </w:rPr>
            </w:pPr>
            <w:r w:rsidRPr="007C705C">
              <w:rPr>
                <w:rFonts w:eastAsiaTheme="minorEastAsia" w:cs="Times New Roman"/>
                <w:sz w:val="20"/>
                <w:szCs w:val="20"/>
              </w:rPr>
              <w:t>Podpora revitalizací toků</w:t>
            </w:r>
          </w:p>
          <w:p w14:paraId="29E1C967" w14:textId="77777777" w:rsidR="003E0F58" w:rsidRPr="007C705C" w:rsidRDefault="003E0F58" w:rsidP="004D2249">
            <w:pPr>
              <w:jc w:val="left"/>
              <w:rPr>
                <w:rFonts w:eastAsiaTheme="minorEastAsia" w:cs="Times New Roman"/>
                <w:sz w:val="20"/>
                <w:szCs w:val="20"/>
              </w:rPr>
            </w:pPr>
          </w:p>
          <w:p w14:paraId="55F84544" w14:textId="77777777" w:rsidR="003E0F58" w:rsidRPr="007C705C" w:rsidRDefault="003E0F58" w:rsidP="004D2249">
            <w:pPr>
              <w:jc w:val="left"/>
              <w:rPr>
                <w:rFonts w:eastAsiaTheme="minorEastAsia" w:cs="Times New Roman"/>
                <w:sz w:val="20"/>
                <w:szCs w:val="20"/>
              </w:rPr>
            </w:pPr>
            <w:r w:rsidRPr="007C705C">
              <w:rPr>
                <w:rFonts w:eastAsiaTheme="minorEastAsia" w:cs="Times New Roman"/>
                <w:sz w:val="20"/>
                <w:szCs w:val="20"/>
              </w:rPr>
              <w:t>využívání sedimentů</w:t>
            </w:r>
          </w:p>
        </w:tc>
        <w:tc>
          <w:tcPr>
            <w:tcW w:w="1134" w:type="dxa"/>
          </w:tcPr>
          <w:p w14:paraId="30861B2B" w14:textId="77777777" w:rsidR="003E0F58" w:rsidRPr="007C705C" w:rsidRDefault="003E0F58" w:rsidP="004D2249">
            <w:pPr>
              <w:jc w:val="left"/>
              <w:rPr>
                <w:rFonts w:eastAsiaTheme="minorEastAsia" w:cs="Times New Roman"/>
                <w:sz w:val="20"/>
                <w:szCs w:val="20"/>
              </w:rPr>
            </w:pPr>
          </w:p>
          <w:p w14:paraId="23CD15D1" w14:textId="77777777" w:rsidR="003E0F58" w:rsidRPr="007C705C" w:rsidRDefault="003E0F58" w:rsidP="004D2249">
            <w:pPr>
              <w:jc w:val="left"/>
              <w:rPr>
                <w:rFonts w:eastAsiaTheme="minorEastAsia" w:cs="Times New Roman"/>
                <w:sz w:val="20"/>
                <w:szCs w:val="20"/>
              </w:rPr>
            </w:pPr>
            <w:r w:rsidRPr="007C705C">
              <w:rPr>
                <w:rFonts w:eastAsiaTheme="minorEastAsia" w:cs="Times New Roman"/>
                <w:sz w:val="20"/>
                <w:szCs w:val="20"/>
              </w:rPr>
              <w:t>Investice do majetku</w:t>
            </w:r>
          </w:p>
          <w:p w14:paraId="0DCABA90" w14:textId="77777777" w:rsidR="003E0F58" w:rsidRPr="007C705C" w:rsidRDefault="003E0F58" w:rsidP="004D2249">
            <w:pPr>
              <w:jc w:val="left"/>
              <w:rPr>
                <w:rFonts w:eastAsiaTheme="minorEastAsia" w:cs="Times New Roman"/>
                <w:sz w:val="20"/>
                <w:szCs w:val="20"/>
              </w:rPr>
            </w:pPr>
          </w:p>
          <w:p w14:paraId="3563CC4D" w14:textId="77777777" w:rsidR="003E0F58" w:rsidRPr="007C705C" w:rsidRDefault="003E0F58" w:rsidP="004D2249">
            <w:pPr>
              <w:jc w:val="left"/>
              <w:rPr>
                <w:rFonts w:eastAsiaTheme="minorEastAsia" w:cs="Times New Roman"/>
                <w:sz w:val="20"/>
                <w:szCs w:val="20"/>
              </w:rPr>
            </w:pPr>
            <w:r w:rsidRPr="007C705C">
              <w:rPr>
                <w:rFonts w:eastAsiaTheme="minorEastAsia" w:cs="Times New Roman"/>
                <w:sz w:val="20"/>
                <w:szCs w:val="20"/>
              </w:rPr>
              <w:t>AEKO</w:t>
            </w:r>
          </w:p>
          <w:p w14:paraId="50A18355" w14:textId="77777777" w:rsidR="003E0F58" w:rsidRPr="007C705C" w:rsidRDefault="003E0F58" w:rsidP="004D2249">
            <w:pPr>
              <w:jc w:val="left"/>
              <w:rPr>
                <w:rFonts w:eastAsiaTheme="minorEastAsia" w:cs="Times New Roman"/>
                <w:sz w:val="20"/>
                <w:szCs w:val="20"/>
              </w:rPr>
            </w:pPr>
          </w:p>
          <w:p w14:paraId="5F383A28" w14:textId="77777777" w:rsidR="003E0F58" w:rsidRPr="007C705C" w:rsidRDefault="003E0F58" w:rsidP="004D2249">
            <w:pPr>
              <w:jc w:val="left"/>
              <w:rPr>
                <w:rFonts w:eastAsiaTheme="minorEastAsia" w:cs="Times New Roman"/>
                <w:sz w:val="20"/>
                <w:szCs w:val="20"/>
              </w:rPr>
            </w:pPr>
            <w:r w:rsidRPr="007C705C">
              <w:rPr>
                <w:rFonts w:eastAsiaTheme="minorEastAsia" w:cs="Times New Roman"/>
                <w:sz w:val="20"/>
                <w:szCs w:val="20"/>
              </w:rPr>
              <w:t>Investice do lesních oblastí a lesů</w:t>
            </w:r>
          </w:p>
          <w:p w14:paraId="0B1BE80D" w14:textId="77777777" w:rsidR="003E0F58" w:rsidRPr="007C705C" w:rsidRDefault="003E0F58" w:rsidP="004D2249">
            <w:pPr>
              <w:jc w:val="left"/>
              <w:rPr>
                <w:rFonts w:eastAsiaTheme="minorEastAsia" w:cs="Times New Roman"/>
                <w:sz w:val="20"/>
                <w:szCs w:val="20"/>
              </w:rPr>
            </w:pPr>
          </w:p>
          <w:p w14:paraId="48A1F431" w14:textId="77777777" w:rsidR="003E0F58" w:rsidRPr="007C705C" w:rsidRDefault="003E0F58" w:rsidP="004D2249">
            <w:pPr>
              <w:jc w:val="left"/>
              <w:rPr>
                <w:rFonts w:eastAsiaTheme="minorEastAsia" w:cs="Times New Roman"/>
                <w:sz w:val="20"/>
                <w:szCs w:val="20"/>
              </w:rPr>
            </w:pPr>
            <w:r w:rsidRPr="007C705C">
              <w:rPr>
                <w:rFonts w:eastAsiaTheme="minorEastAsia" w:cs="Times New Roman"/>
                <w:sz w:val="20"/>
                <w:szCs w:val="20"/>
              </w:rPr>
              <w:t>ekoschémata</w:t>
            </w:r>
          </w:p>
          <w:p w14:paraId="0821E1DB" w14:textId="77777777" w:rsidR="003E0F58" w:rsidRPr="007C705C" w:rsidRDefault="003E0F58" w:rsidP="004D2249">
            <w:pPr>
              <w:jc w:val="left"/>
              <w:rPr>
                <w:rFonts w:eastAsiaTheme="minorEastAsia" w:cs="Times New Roman"/>
                <w:sz w:val="20"/>
                <w:szCs w:val="20"/>
              </w:rPr>
            </w:pPr>
          </w:p>
          <w:p w14:paraId="16E2512C" w14:textId="77777777" w:rsidR="003E0F58" w:rsidRPr="007C705C" w:rsidRDefault="003E0F58" w:rsidP="004D2249">
            <w:pPr>
              <w:jc w:val="left"/>
              <w:rPr>
                <w:rFonts w:eastAsiaTheme="minorEastAsia" w:cs="Times New Roman"/>
                <w:sz w:val="20"/>
                <w:szCs w:val="20"/>
              </w:rPr>
            </w:pPr>
          </w:p>
          <w:p w14:paraId="0350CAD2" w14:textId="77777777" w:rsidR="003E0F58" w:rsidRPr="007C705C" w:rsidRDefault="003E0F58" w:rsidP="004D2249">
            <w:pPr>
              <w:jc w:val="left"/>
              <w:rPr>
                <w:rFonts w:eastAsiaTheme="minorEastAsia" w:cs="Times New Roman"/>
                <w:sz w:val="20"/>
                <w:szCs w:val="20"/>
              </w:rPr>
            </w:pPr>
          </w:p>
        </w:tc>
      </w:tr>
    </w:tbl>
    <w:p w14:paraId="7FD1D6BC" w14:textId="77777777" w:rsidR="003E0F58" w:rsidRPr="007C705C" w:rsidRDefault="003E0F58" w:rsidP="00C4544F">
      <w:pPr>
        <w:pStyle w:val="UZEIZdroj"/>
        <w:spacing w:after="0"/>
      </w:pPr>
      <w:r w:rsidRPr="007C705C">
        <w:rPr>
          <w:b/>
          <w:color w:val="FF0000"/>
        </w:rPr>
        <w:t xml:space="preserve"> Červeně/tučně</w:t>
      </w:r>
      <w:r w:rsidRPr="007C705C">
        <w:rPr>
          <w:color w:val="FF0000"/>
        </w:rPr>
        <w:t xml:space="preserve"> </w:t>
      </w:r>
      <w:r w:rsidRPr="007C705C">
        <w:t>= mimo dosah zemědělce – příčinu nemůže změnit, ani SZP nemá nástroje na řešení</w:t>
      </w:r>
    </w:p>
    <w:p w14:paraId="3027DE96" w14:textId="77777777" w:rsidR="003E0F58" w:rsidRPr="007C705C" w:rsidRDefault="003E0F58" w:rsidP="00C4544F">
      <w:pPr>
        <w:pStyle w:val="UZEIZdroj"/>
        <w:spacing w:after="0"/>
      </w:pPr>
      <w:r w:rsidRPr="007C705C">
        <w:rPr>
          <w:b/>
          <w:color w:val="7030A0"/>
        </w:rPr>
        <w:t>Fialově/tučně</w:t>
      </w:r>
      <w:r w:rsidRPr="007C705C">
        <w:rPr>
          <w:color w:val="7030A0"/>
        </w:rPr>
        <w:t xml:space="preserve"> </w:t>
      </w:r>
      <w:r w:rsidRPr="007C705C">
        <w:t>= může ovlivnit jen do jisté míry</w:t>
      </w:r>
    </w:p>
    <w:p w14:paraId="151066C3" w14:textId="1FE93307" w:rsidR="003E0F58" w:rsidRPr="007C705C" w:rsidRDefault="003E0F58" w:rsidP="00C4544F">
      <w:pPr>
        <w:pStyle w:val="UZEIZdroj"/>
        <w:spacing w:after="0"/>
        <w:rPr>
          <w:rFonts w:eastAsiaTheme="minorEastAsia"/>
        </w:rPr>
      </w:pPr>
      <w:r w:rsidRPr="007C705C">
        <w:t>Zdroj: Pracovní skupina Klima, 2018</w:t>
      </w:r>
    </w:p>
    <w:p w14:paraId="3142FFDD" w14:textId="5057490B" w:rsidR="003E0F58" w:rsidRPr="007C705C" w:rsidRDefault="003E0F58" w:rsidP="00C4544F">
      <w:pPr>
        <w:pStyle w:val="UZEIOdrky"/>
        <w:rPr>
          <w:rFonts w:eastAsiaTheme="minorEastAsia"/>
        </w:rPr>
      </w:pPr>
      <w:r w:rsidRPr="007C705C">
        <w:rPr>
          <w:rFonts w:eastAsiaTheme="minorEastAsia"/>
        </w:rPr>
        <w:t>Zvyšování teplot</w:t>
      </w:r>
    </w:p>
    <w:p w14:paraId="725E7D86" w14:textId="77777777" w:rsidR="003E0F58" w:rsidRPr="007C705C" w:rsidRDefault="003E0F58" w:rsidP="00C4544F">
      <w:pPr>
        <w:pStyle w:val="UZEINormaln"/>
        <w:ind w:firstLine="720"/>
        <w:rPr>
          <w:rFonts w:eastAsiaTheme="minorEastAsia"/>
        </w:rPr>
      </w:pPr>
      <w:r w:rsidRPr="007C705C">
        <w:rPr>
          <w:rFonts w:eastAsiaTheme="minorEastAsia"/>
        </w:rPr>
        <w:t>Možnosti řešení jsou převážně adaptačního charakteru:</w:t>
      </w:r>
    </w:p>
    <w:p w14:paraId="2E027F62" w14:textId="77777777" w:rsidR="003E0F58" w:rsidRPr="007C705C" w:rsidRDefault="003E0F58" w:rsidP="008A1AE3">
      <w:pPr>
        <w:pStyle w:val="UZEINormaln"/>
        <w:numPr>
          <w:ilvl w:val="0"/>
          <w:numId w:val="43"/>
        </w:numPr>
        <w:rPr>
          <w:rFonts w:eastAsiaTheme="minorEastAsia"/>
        </w:rPr>
      </w:pPr>
      <w:r w:rsidRPr="007C705C">
        <w:rPr>
          <w:rFonts w:eastAsiaTheme="minorEastAsia"/>
        </w:rPr>
        <w:t>Podpora závlahových technologií</w:t>
      </w:r>
    </w:p>
    <w:p w14:paraId="30DD9643" w14:textId="77777777" w:rsidR="003E0F58" w:rsidRPr="007C705C" w:rsidRDefault="003E0F58" w:rsidP="008A1AE3">
      <w:pPr>
        <w:pStyle w:val="UZEINormaln"/>
        <w:numPr>
          <w:ilvl w:val="0"/>
          <w:numId w:val="43"/>
        </w:numPr>
        <w:rPr>
          <w:rFonts w:eastAsiaTheme="minorEastAsia"/>
        </w:rPr>
      </w:pPr>
      <w:r w:rsidRPr="007C705C">
        <w:rPr>
          <w:rFonts w:eastAsiaTheme="minorEastAsia"/>
        </w:rPr>
        <w:t>Tlak na změnu druhové skladby rostlinného pokryvu</w:t>
      </w:r>
    </w:p>
    <w:p w14:paraId="3FDA6301" w14:textId="77777777" w:rsidR="003E0F58" w:rsidRPr="007C705C" w:rsidRDefault="003E0F58" w:rsidP="008A1AE3">
      <w:pPr>
        <w:pStyle w:val="UZEINormaln"/>
        <w:numPr>
          <w:ilvl w:val="0"/>
          <w:numId w:val="43"/>
        </w:numPr>
        <w:rPr>
          <w:rFonts w:eastAsiaTheme="minorEastAsia"/>
        </w:rPr>
      </w:pPr>
      <w:r w:rsidRPr="007C705C">
        <w:rPr>
          <w:rFonts w:eastAsiaTheme="minorEastAsia"/>
        </w:rPr>
        <w:t>Podpora zadržování vody v krajině</w:t>
      </w:r>
    </w:p>
    <w:p w14:paraId="3814EEF6" w14:textId="77777777" w:rsidR="003E0F58" w:rsidRPr="007C705C" w:rsidRDefault="003E0F58" w:rsidP="008A1AE3">
      <w:pPr>
        <w:pStyle w:val="UZEINormaln"/>
        <w:numPr>
          <w:ilvl w:val="0"/>
          <w:numId w:val="43"/>
        </w:numPr>
        <w:rPr>
          <w:rFonts w:eastAsiaTheme="minorEastAsia"/>
        </w:rPr>
      </w:pPr>
      <w:r w:rsidRPr="007C705C">
        <w:rPr>
          <w:rFonts w:eastAsiaTheme="minorEastAsia"/>
        </w:rPr>
        <w:t>Podpora prvků zelené infrastruktury</w:t>
      </w:r>
    </w:p>
    <w:p w14:paraId="6A5688BA" w14:textId="6E11B7B6" w:rsidR="003E0F58" w:rsidRPr="00C4544F" w:rsidRDefault="003E0F58" w:rsidP="008A1AE3">
      <w:pPr>
        <w:pStyle w:val="UZEINormaln"/>
        <w:numPr>
          <w:ilvl w:val="0"/>
          <w:numId w:val="43"/>
        </w:numPr>
        <w:rPr>
          <w:rFonts w:eastAsiaTheme="minorEastAsia"/>
        </w:rPr>
      </w:pPr>
      <w:r w:rsidRPr="007C705C">
        <w:rPr>
          <w:rFonts w:eastAsiaTheme="minorEastAsia"/>
        </w:rPr>
        <w:t>Podpora pro zlepšení mikroklimatických podmínek v rámci provozů živočišné výroby</w:t>
      </w:r>
    </w:p>
    <w:p w14:paraId="14C83950" w14:textId="1AABEE30" w:rsidR="003E0F58" w:rsidRPr="007C705C" w:rsidRDefault="00C4544F" w:rsidP="00C4544F">
      <w:pPr>
        <w:pStyle w:val="UZEITaB"/>
      </w:pPr>
      <w:bookmarkStart w:id="367" w:name="_Toc77245844"/>
      <w:r>
        <w:t xml:space="preserve"> </w:t>
      </w:r>
      <w:bookmarkStart w:id="368" w:name="_Toc94181608"/>
      <w:r w:rsidR="003E0F58" w:rsidRPr="007C705C">
        <w:t>Možnosti efektivního řešení problému v rámci nástrojů SZP - Zvyšování teplot</w:t>
      </w:r>
      <w:bookmarkEnd w:id="367"/>
      <w:bookmarkEnd w:id="368"/>
    </w:p>
    <w:tbl>
      <w:tblPr>
        <w:tblStyle w:val="Mkatabulky2"/>
        <w:tblpPr w:leftFromText="141" w:rightFromText="141" w:vertAnchor="text" w:horzAnchor="margin" w:tblpY="228"/>
        <w:tblW w:w="9180" w:type="dxa"/>
        <w:tblLayout w:type="fixed"/>
        <w:tblLook w:val="04A0" w:firstRow="1" w:lastRow="0" w:firstColumn="1" w:lastColumn="0" w:noHBand="0" w:noVBand="1"/>
      </w:tblPr>
      <w:tblGrid>
        <w:gridCol w:w="1384"/>
        <w:gridCol w:w="1418"/>
        <w:gridCol w:w="2268"/>
        <w:gridCol w:w="1701"/>
        <w:gridCol w:w="1275"/>
        <w:gridCol w:w="1134"/>
      </w:tblGrid>
      <w:tr w:rsidR="003E0F58" w:rsidRPr="007C705C" w14:paraId="5EB2CC7D" w14:textId="77777777" w:rsidTr="004D2249">
        <w:tc>
          <w:tcPr>
            <w:tcW w:w="1384" w:type="dxa"/>
            <w:shd w:val="clear" w:color="auto" w:fill="E7E6E6" w:themeFill="background2"/>
          </w:tcPr>
          <w:p w14:paraId="604B818F"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Problém</w:t>
            </w:r>
          </w:p>
        </w:tc>
        <w:tc>
          <w:tcPr>
            <w:tcW w:w="1418" w:type="dxa"/>
            <w:shd w:val="clear" w:color="auto" w:fill="E7E6E6" w:themeFill="background2"/>
          </w:tcPr>
          <w:p w14:paraId="4BB64070"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Příčiny</w:t>
            </w:r>
          </w:p>
        </w:tc>
        <w:tc>
          <w:tcPr>
            <w:tcW w:w="2268" w:type="dxa"/>
            <w:shd w:val="clear" w:color="auto" w:fill="E7E6E6" w:themeFill="background2"/>
          </w:tcPr>
          <w:p w14:paraId="29D2DB56"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Převládající chování/reakce zemědělců</w:t>
            </w:r>
          </w:p>
        </w:tc>
        <w:tc>
          <w:tcPr>
            <w:tcW w:w="1701" w:type="dxa"/>
            <w:shd w:val="clear" w:color="auto" w:fill="E7E6E6" w:themeFill="background2"/>
          </w:tcPr>
          <w:p w14:paraId="19353322"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Nutná změna</w:t>
            </w:r>
          </w:p>
        </w:tc>
        <w:tc>
          <w:tcPr>
            <w:tcW w:w="1275" w:type="dxa"/>
            <w:shd w:val="clear" w:color="auto" w:fill="E7E6E6" w:themeFill="background2"/>
          </w:tcPr>
          <w:p w14:paraId="28F75E5E"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Prvek intervence</w:t>
            </w:r>
          </w:p>
        </w:tc>
        <w:tc>
          <w:tcPr>
            <w:tcW w:w="1134" w:type="dxa"/>
            <w:shd w:val="clear" w:color="auto" w:fill="E7E6E6" w:themeFill="background2"/>
          </w:tcPr>
          <w:p w14:paraId="34EC0CC6"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Intervence</w:t>
            </w:r>
          </w:p>
        </w:tc>
      </w:tr>
      <w:tr w:rsidR="003E0F58" w:rsidRPr="007C705C" w14:paraId="3E93F8C6" w14:textId="77777777" w:rsidTr="004D2249">
        <w:tc>
          <w:tcPr>
            <w:tcW w:w="1384" w:type="dxa"/>
          </w:tcPr>
          <w:p w14:paraId="0C5BB8F8"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Zvyšování teplot</w:t>
            </w:r>
          </w:p>
        </w:tc>
        <w:tc>
          <w:tcPr>
            <w:tcW w:w="1418" w:type="dxa"/>
          </w:tcPr>
          <w:p w14:paraId="35D3C89A" w14:textId="77777777" w:rsidR="003E0F58" w:rsidRPr="007C705C" w:rsidRDefault="003E0F58" w:rsidP="004D2249">
            <w:pPr>
              <w:jc w:val="left"/>
              <w:rPr>
                <w:rFonts w:eastAsia="Calibri" w:cs="Times New Roman"/>
                <w:color w:val="FF0000"/>
                <w:sz w:val="20"/>
                <w:szCs w:val="20"/>
              </w:rPr>
            </w:pPr>
            <w:r w:rsidRPr="007C705C">
              <w:rPr>
                <w:rFonts w:eastAsia="Calibri" w:cs="Times New Roman"/>
                <w:color w:val="FF0000"/>
                <w:sz w:val="20"/>
                <w:szCs w:val="20"/>
              </w:rPr>
              <w:t>Klimatická změna</w:t>
            </w:r>
          </w:p>
          <w:p w14:paraId="18C392DD" w14:textId="77777777" w:rsidR="003E0F58" w:rsidRPr="007C705C" w:rsidRDefault="003E0F58" w:rsidP="004D2249">
            <w:pPr>
              <w:jc w:val="left"/>
              <w:rPr>
                <w:rFonts w:eastAsia="Calibri" w:cs="Times New Roman"/>
                <w:color w:val="FF0000"/>
                <w:sz w:val="20"/>
                <w:szCs w:val="20"/>
              </w:rPr>
            </w:pPr>
          </w:p>
          <w:p w14:paraId="21E5F6BD" w14:textId="77777777" w:rsidR="003E0F58" w:rsidRPr="007C705C" w:rsidRDefault="003E0F58" w:rsidP="004D2249">
            <w:pPr>
              <w:jc w:val="left"/>
              <w:rPr>
                <w:rFonts w:eastAsia="Calibri" w:cs="Times New Roman"/>
                <w:color w:val="FF0000"/>
                <w:sz w:val="20"/>
                <w:szCs w:val="20"/>
              </w:rPr>
            </w:pPr>
            <w:r w:rsidRPr="007C705C">
              <w:rPr>
                <w:rFonts w:eastAsia="Calibri" w:cs="Times New Roman"/>
                <w:color w:val="FF0000"/>
                <w:sz w:val="20"/>
                <w:szCs w:val="20"/>
              </w:rPr>
              <w:t>Nárůst prům. teplot</w:t>
            </w:r>
          </w:p>
          <w:p w14:paraId="0E376AF5" w14:textId="77777777" w:rsidR="003E0F58" w:rsidRPr="007C705C" w:rsidRDefault="003E0F58" w:rsidP="004D2249">
            <w:pPr>
              <w:jc w:val="left"/>
              <w:rPr>
                <w:rFonts w:eastAsia="Calibri" w:cs="Times New Roman"/>
                <w:color w:val="FF0000"/>
                <w:sz w:val="20"/>
                <w:szCs w:val="20"/>
              </w:rPr>
            </w:pPr>
            <w:r w:rsidRPr="007C705C">
              <w:rPr>
                <w:rFonts w:eastAsia="Calibri" w:cs="Times New Roman"/>
                <w:color w:val="FF0000"/>
                <w:sz w:val="20"/>
                <w:szCs w:val="20"/>
              </w:rPr>
              <w:t>Častější epizody sucha</w:t>
            </w:r>
          </w:p>
          <w:p w14:paraId="7F0EF89D" w14:textId="77777777" w:rsidR="003E0F58" w:rsidRPr="007C705C" w:rsidRDefault="003E0F58" w:rsidP="004D2249">
            <w:pPr>
              <w:jc w:val="left"/>
              <w:rPr>
                <w:rFonts w:eastAsia="Calibri" w:cs="Times New Roman"/>
                <w:color w:val="FF0000"/>
                <w:sz w:val="20"/>
                <w:szCs w:val="20"/>
              </w:rPr>
            </w:pPr>
            <w:r w:rsidRPr="007C705C">
              <w:rPr>
                <w:rFonts w:eastAsia="Calibri" w:cs="Times New Roman"/>
                <w:color w:val="FF0000"/>
                <w:sz w:val="20"/>
                <w:szCs w:val="20"/>
              </w:rPr>
              <w:t>Častější přívalové deště, povodně a mrazy</w:t>
            </w:r>
          </w:p>
          <w:p w14:paraId="7C64A767" w14:textId="77777777" w:rsidR="003E0F58" w:rsidRPr="007C705C" w:rsidRDefault="003E0F58" w:rsidP="004D2249">
            <w:pPr>
              <w:jc w:val="left"/>
              <w:rPr>
                <w:rFonts w:eastAsia="Calibri" w:cs="Times New Roman"/>
                <w:color w:val="FF0000"/>
                <w:sz w:val="20"/>
                <w:szCs w:val="20"/>
              </w:rPr>
            </w:pPr>
            <w:r w:rsidRPr="007C705C">
              <w:rPr>
                <w:rFonts w:eastAsia="Calibri" w:cs="Times New Roman"/>
                <w:color w:val="FF0000"/>
                <w:sz w:val="20"/>
                <w:szCs w:val="20"/>
              </w:rPr>
              <w:t>Teplé zimy bez sněh. pokryvu</w:t>
            </w:r>
          </w:p>
          <w:p w14:paraId="3C770ABC" w14:textId="77777777" w:rsidR="003E0F58" w:rsidRPr="007C705C" w:rsidRDefault="003E0F58" w:rsidP="004D2249">
            <w:pPr>
              <w:jc w:val="left"/>
              <w:rPr>
                <w:rFonts w:eastAsia="Calibri" w:cs="Times New Roman"/>
                <w:color w:val="FF0000"/>
                <w:sz w:val="20"/>
                <w:szCs w:val="20"/>
              </w:rPr>
            </w:pPr>
            <w:r w:rsidRPr="007C705C">
              <w:rPr>
                <w:rFonts w:eastAsia="Calibri" w:cs="Times New Roman"/>
                <w:color w:val="FF0000"/>
                <w:sz w:val="20"/>
                <w:szCs w:val="20"/>
              </w:rPr>
              <w:t>Jarní mrazy</w:t>
            </w:r>
          </w:p>
          <w:p w14:paraId="3DE3B2ED" w14:textId="77777777" w:rsidR="003E0F58" w:rsidRPr="007C705C" w:rsidRDefault="003E0F58" w:rsidP="004D2249">
            <w:pPr>
              <w:jc w:val="left"/>
              <w:rPr>
                <w:rFonts w:eastAsia="Calibri" w:cs="Times New Roman"/>
                <w:color w:val="FF0000"/>
                <w:sz w:val="20"/>
                <w:szCs w:val="20"/>
              </w:rPr>
            </w:pPr>
          </w:p>
          <w:p w14:paraId="635405C3" w14:textId="77777777" w:rsidR="003E0F58" w:rsidRPr="007C705C" w:rsidRDefault="003E0F58" w:rsidP="004D2249">
            <w:pPr>
              <w:spacing w:after="160" w:line="259" w:lineRule="auto"/>
              <w:jc w:val="left"/>
              <w:rPr>
                <w:rFonts w:eastAsia="Calibri" w:cs="Times New Roman"/>
                <w:sz w:val="20"/>
                <w:szCs w:val="20"/>
              </w:rPr>
            </w:pPr>
            <w:r w:rsidRPr="007C705C">
              <w:rPr>
                <w:rFonts w:eastAsia="Calibri" w:cs="Times New Roman"/>
                <w:sz w:val="20"/>
                <w:szCs w:val="20"/>
              </w:rPr>
              <w:t>Nižší sch. zachytit vodu</w:t>
            </w:r>
          </w:p>
          <w:p w14:paraId="296DF79D" w14:textId="77777777" w:rsidR="003E0F58" w:rsidRPr="007C705C" w:rsidRDefault="003E0F58" w:rsidP="004D2249">
            <w:pPr>
              <w:spacing w:after="160" w:line="259" w:lineRule="auto"/>
              <w:jc w:val="left"/>
              <w:rPr>
                <w:rFonts w:eastAsia="Calibri" w:cs="Times New Roman"/>
                <w:sz w:val="20"/>
                <w:szCs w:val="20"/>
              </w:rPr>
            </w:pPr>
            <w:r w:rsidRPr="007C705C">
              <w:rPr>
                <w:rFonts w:eastAsia="Calibri" w:cs="Times New Roman"/>
                <w:sz w:val="20"/>
                <w:szCs w:val="20"/>
              </w:rPr>
              <w:t>Odvodnění pozemků</w:t>
            </w:r>
          </w:p>
          <w:p w14:paraId="7AC0F97B" w14:textId="77777777" w:rsidR="003E0F58" w:rsidRPr="007C705C" w:rsidRDefault="003E0F58" w:rsidP="004D2249">
            <w:pPr>
              <w:jc w:val="left"/>
              <w:rPr>
                <w:rFonts w:eastAsia="Calibri" w:cs="Times New Roman"/>
                <w:color w:val="FF0000"/>
                <w:sz w:val="20"/>
                <w:szCs w:val="20"/>
              </w:rPr>
            </w:pPr>
            <w:r w:rsidRPr="007C705C">
              <w:rPr>
                <w:rFonts w:eastAsia="Calibri" w:cs="Times New Roman"/>
                <w:sz w:val="20"/>
                <w:szCs w:val="20"/>
              </w:rPr>
              <w:t>Nízký přísun org. hmoty</w:t>
            </w:r>
          </w:p>
        </w:tc>
        <w:tc>
          <w:tcPr>
            <w:tcW w:w="2268" w:type="dxa"/>
          </w:tcPr>
          <w:p w14:paraId="582FCD68" w14:textId="77777777" w:rsidR="003E0F58" w:rsidRPr="007C705C" w:rsidRDefault="003E0F58" w:rsidP="004D2249">
            <w:pPr>
              <w:spacing w:after="160" w:line="259" w:lineRule="auto"/>
              <w:jc w:val="left"/>
              <w:rPr>
                <w:rFonts w:eastAsia="Calibri" w:cs="Times New Roman"/>
                <w:sz w:val="20"/>
                <w:szCs w:val="20"/>
              </w:rPr>
            </w:pPr>
            <w:r w:rsidRPr="007C705C">
              <w:rPr>
                <w:rFonts w:eastAsia="Calibri" w:cs="Times New Roman"/>
                <w:sz w:val="20"/>
                <w:szCs w:val="20"/>
              </w:rPr>
              <w:t>Tento faktor není ovlivnitelný</w:t>
            </w:r>
          </w:p>
          <w:p w14:paraId="3CE7F403" w14:textId="77777777" w:rsidR="003E0F58" w:rsidRPr="007C705C" w:rsidRDefault="003E0F58" w:rsidP="004D2249">
            <w:pPr>
              <w:spacing w:after="160" w:line="259" w:lineRule="auto"/>
              <w:jc w:val="left"/>
              <w:rPr>
                <w:rFonts w:eastAsia="Calibri" w:cs="Times New Roman"/>
                <w:sz w:val="20"/>
                <w:szCs w:val="20"/>
              </w:rPr>
            </w:pPr>
          </w:p>
          <w:p w14:paraId="2988D9C7" w14:textId="77777777" w:rsidR="003E0F58" w:rsidRPr="007C705C" w:rsidRDefault="003E0F58" w:rsidP="004D2249">
            <w:pPr>
              <w:spacing w:after="160" w:line="259" w:lineRule="auto"/>
              <w:jc w:val="left"/>
              <w:rPr>
                <w:rFonts w:eastAsia="Calibri" w:cs="Times New Roman"/>
                <w:sz w:val="20"/>
                <w:szCs w:val="20"/>
              </w:rPr>
            </w:pPr>
          </w:p>
          <w:p w14:paraId="02177419" w14:textId="77777777" w:rsidR="003E0F58" w:rsidRPr="007C705C" w:rsidRDefault="003E0F58" w:rsidP="004D2249">
            <w:pPr>
              <w:spacing w:after="160" w:line="259" w:lineRule="auto"/>
              <w:jc w:val="left"/>
              <w:rPr>
                <w:rFonts w:eastAsia="Calibri" w:cs="Times New Roman"/>
                <w:sz w:val="20"/>
                <w:szCs w:val="20"/>
              </w:rPr>
            </w:pPr>
          </w:p>
          <w:p w14:paraId="58CD9D86" w14:textId="77777777" w:rsidR="003E0F58" w:rsidRPr="007C705C" w:rsidRDefault="003E0F58" w:rsidP="004D2249">
            <w:pPr>
              <w:spacing w:after="160" w:line="259" w:lineRule="auto"/>
              <w:jc w:val="left"/>
              <w:rPr>
                <w:rFonts w:eastAsia="Calibri" w:cs="Times New Roman"/>
                <w:sz w:val="20"/>
                <w:szCs w:val="20"/>
              </w:rPr>
            </w:pPr>
          </w:p>
          <w:p w14:paraId="63211198" w14:textId="77777777" w:rsidR="003E0F58" w:rsidRPr="007C705C" w:rsidRDefault="003E0F58" w:rsidP="004D2249">
            <w:pPr>
              <w:spacing w:after="160" w:line="259" w:lineRule="auto"/>
              <w:jc w:val="left"/>
              <w:rPr>
                <w:rFonts w:eastAsia="Calibri" w:cs="Times New Roman"/>
                <w:sz w:val="20"/>
                <w:szCs w:val="20"/>
              </w:rPr>
            </w:pPr>
          </w:p>
          <w:p w14:paraId="06ACE4FD" w14:textId="77777777" w:rsidR="003E0F58" w:rsidRPr="007C705C" w:rsidRDefault="003E0F58" w:rsidP="004D2249">
            <w:pPr>
              <w:spacing w:after="160" w:line="259" w:lineRule="auto"/>
              <w:jc w:val="left"/>
              <w:rPr>
                <w:rFonts w:eastAsia="Calibri" w:cs="Times New Roman"/>
                <w:sz w:val="20"/>
                <w:szCs w:val="20"/>
              </w:rPr>
            </w:pPr>
          </w:p>
          <w:p w14:paraId="31D97F8C" w14:textId="77777777" w:rsidR="003E0F58" w:rsidRPr="007C705C" w:rsidRDefault="003E0F58" w:rsidP="004D2249">
            <w:pPr>
              <w:spacing w:after="160" w:line="259" w:lineRule="auto"/>
              <w:jc w:val="left"/>
              <w:rPr>
                <w:rFonts w:eastAsia="Calibri" w:cs="Times New Roman"/>
                <w:sz w:val="20"/>
                <w:szCs w:val="20"/>
              </w:rPr>
            </w:pPr>
          </w:p>
          <w:p w14:paraId="7FFEFC31" w14:textId="77777777" w:rsidR="003E0F58" w:rsidRPr="007C705C" w:rsidRDefault="003E0F58" w:rsidP="004D2249">
            <w:pPr>
              <w:spacing w:after="160" w:line="259" w:lineRule="auto"/>
              <w:jc w:val="left"/>
              <w:rPr>
                <w:rFonts w:eastAsia="Calibri" w:cs="Times New Roman"/>
                <w:sz w:val="20"/>
                <w:szCs w:val="20"/>
              </w:rPr>
            </w:pPr>
          </w:p>
          <w:p w14:paraId="741DD7F0" w14:textId="77777777" w:rsidR="003E0F58" w:rsidRPr="007C705C" w:rsidRDefault="003E0F58" w:rsidP="004D2249">
            <w:pPr>
              <w:spacing w:after="160" w:line="259" w:lineRule="auto"/>
              <w:jc w:val="left"/>
              <w:rPr>
                <w:rFonts w:eastAsia="Calibri" w:cs="Times New Roman"/>
                <w:sz w:val="20"/>
                <w:szCs w:val="20"/>
              </w:rPr>
            </w:pPr>
            <w:r w:rsidRPr="007C705C">
              <w:rPr>
                <w:rFonts w:eastAsia="Calibri" w:cs="Times New Roman"/>
                <w:sz w:val="20"/>
                <w:szCs w:val="20"/>
              </w:rPr>
              <w:t>Orba</w:t>
            </w:r>
          </w:p>
          <w:p w14:paraId="37F20102" w14:textId="77777777" w:rsidR="003E0F58" w:rsidRPr="007C705C" w:rsidRDefault="003E0F58" w:rsidP="004D2249">
            <w:pPr>
              <w:spacing w:after="160" w:line="259" w:lineRule="auto"/>
              <w:jc w:val="left"/>
              <w:rPr>
                <w:rFonts w:eastAsia="Calibri" w:cs="Times New Roman"/>
                <w:sz w:val="20"/>
                <w:szCs w:val="20"/>
              </w:rPr>
            </w:pPr>
            <w:r w:rsidRPr="007C705C">
              <w:rPr>
                <w:rFonts w:eastAsia="Calibri" w:cs="Times New Roman"/>
                <w:sz w:val="20"/>
                <w:szCs w:val="20"/>
              </w:rPr>
              <w:t>Zrušili ž.v.</w:t>
            </w:r>
          </w:p>
          <w:p w14:paraId="5A1D7614" w14:textId="77777777" w:rsidR="003E0F58" w:rsidRPr="007C705C" w:rsidRDefault="003E0F58" w:rsidP="004D2249">
            <w:pPr>
              <w:spacing w:after="160" w:line="259" w:lineRule="auto"/>
              <w:jc w:val="left"/>
              <w:rPr>
                <w:rFonts w:eastAsia="Calibri" w:cs="Times New Roman"/>
                <w:sz w:val="20"/>
                <w:szCs w:val="20"/>
              </w:rPr>
            </w:pPr>
            <w:r w:rsidRPr="007C705C">
              <w:rPr>
                <w:rFonts w:eastAsia="Calibri" w:cs="Times New Roman"/>
                <w:sz w:val="20"/>
                <w:szCs w:val="20"/>
              </w:rPr>
              <w:t>Příliš 1-letých plodin</w:t>
            </w:r>
          </w:p>
          <w:p w14:paraId="3747BAA1" w14:textId="77777777" w:rsidR="003E0F58" w:rsidRPr="007C705C" w:rsidRDefault="003E0F58" w:rsidP="004D2249">
            <w:pPr>
              <w:spacing w:after="160" w:line="259" w:lineRule="auto"/>
              <w:jc w:val="left"/>
              <w:rPr>
                <w:rFonts w:eastAsia="Calibri" w:cs="Times New Roman"/>
                <w:sz w:val="20"/>
                <w:szCs w:val="20"/>
              </w:rPr>
            </w:pPr>
            <w:r w:rsidRPr="007C705C">
              <w:rPr>
                <w:rFonts w:eastAsia="Calibri" w:cs="Times New Roman"/>
                <w:sz w:val="20"/>
                <w:szCs w:val="20"/>
              </w:rPr>
              <w:t>Nepěstují víceleté plodiny</w:t>
            </w:r>
          </w:p>
          <w:p w14:paraId="55CF7267" w14:textId="77777777" w:rsidR="003E0F58" w:rsidRPr="007C705C" w:rsidRDefault="003E0F58" w:rsidP="004D2249">
            <w:pPr>
              <w:spacing w:after="160" w:line="259" w:lineRule="auto"/>
              <w:jc w:val="left"/>
              <w:rPr>
                <w:rFonts w:eastAsia="Calibri" w:cs="Times New Roman"/>
                <w:sz w:val="20"/>
                <w:szCs w:val="20"/>
              </w:rPr>
            </w:pPr>
            <w:r w:rsidRPr="007C705C">
              <w:rPr>
                <w:rFonts w:eastAsia="Calibri" w:cs="Times New Roman"/>
                <w:sz w:val="20"/>
                <w:szCs w:val="20"/>
              </w:rPr>
              <w:t>Nevyužívají meziplodiny</w:t>
            </w:r>
          </w:p>
          <w:p w14:paraId="1264B0F0" w14:textId="77777777" w:rsidR="003E0F58" w:rsidRPr="007C705C" w:rsidRDefault="003E0F58" w:rsidP="004D2249">
            <w:pPr>
              <w:jc w:val="left"/>
              <w:rPr>
                <w:rFonts w:eastAsia="Calibri" w:cs="Times New Roman"/>
                <w:sz w:val="20"/>
                <w:szCs w:val="20"/>
              </w:rPr>
            </w:pPr>
          </w:p>
        </w:tc>
        <w:tc>
          <w:tcPr>
            <w:tcW w:w="1701" w:type="dxa"/>
          </w:tcPr>
          <w:p w14:paraId="3BE4A0A8"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Zlepšit mikroklima v ž.v.</w:t>
            </w:r>
          </w:p>
          <w:p w14:paraId="4CF43315" w14:textId="77777777" w:rsidR="003E0F58" w:rsidRPr="007C705C" w:rsidRDefault="003E0F58" w:rsidP="004D2249">
            <w:pPr>
              <w:spacing w:after="160" w:line="259" w:lineRule="auto"/>
              <w:jc w:val="left"/>
              <w:rPr>
                <w:rFonts w:eastAsia="Calibri" w:cs="Times New Roman"/>
                <w:sz w:val="20"/>
                <w:szCs w:val="20"/>
              </w:rPr>
            </w:pPr>
          </w:p>
          <w:p w14:paraId="4F58959A" w14:textId="77777777" w:rsidR="003E0F58" w:rsidRPr="007C705C" w:rsidRDefault="003E0F58" w:rsidP="004D2249">
            <w:pPr>
              <w:spacing w:after="160" w:line="259" w:lineRule="auto"/>
              <w:jc w:val="left"/>
              <w:rPr>
                <w:rFonts w:eastAsia="Calibri" w:cs="Times New Roman"/>
                <w:sz w:val="20"/>
                <w:szCs w:val="20"/>
              </w:rPr>
            </w:pPr>
            <w:r w:rsidRPr="007C705C">
              <w:rPr>
                <w:rFonts w:eastAsia="Calibri" w:cs="Times New Roman"/>
                <w:sz w:val="20"/>
                <w:szCs w:val="20"/>
              </w:rPr>
              <w:t>Omezit orbu</w:t>
            </w:r>
          </w:p>
          <w:p w14:paraId="14702125" w14:textId="77777777" w:rsidR="003E0F58" w:rsidRPr="007C705C" w:rsidRDefault="003E0F58" w:rsidP="004D2249">
            <w:pPr>
              <w:spacing w:after="160" w:line="259" w:lineRule="auto"/>
              <w:jc w:val="left"/>
              <w:rPr>
                <w:rFonts w:eastAsia="Calibri" w:cs="Times New Roman"/>
                <w:sz w:val="20"/>
                <w:szCs w:val="20"/>
              </w:rPr>
            </w:pPr>
            <w:r w:rsidRPr="007C705C">
              <w:rPr>
                <w:rFonts w:eastAsia="Calibri" w:cs="Times New Roman"/>
                <w:sz w:val="20"/>
                <w:szCs w:val="20"/>
              </w:rPr>
              <w:t>Omezit 1 leté plodiny</w:t>
            </w:r>
          </w:p>
          <w:p w14:paraId="2CB44702" w14:textId="77777777" w:rsidR="003E0F58" w:rsidRPr="007C705C" w:rsidRDefault="003E0F58" w:rsidP="004D2249">
            <w:pPr>
              <w:spacing w:after="160" w:line="259" w:lineRule="auto"/>
              <w:jc w:val="left"/>
              <w:rPr>
                <w:rFonts w:eastAsia="Calibri" w:cs="Times New Roman"/>
                <w:sz w:val="20"/>
                <w:szCs w:val="20"/>
              </w:rPr>
            </w:pPr>
            <w:r w:rsidRPr="007C705C">
              <w:rPr>
                <w:rFonts w:eastAsia="Calibri" w:cs="Times New Roman"/>
                <w:sz w:val="20"/>
                <w:szCs w:val="20"/>
              </w:rPr>
              <w:t>Zvýšit podíl víceletých</w:t>
            </w:r>
          </w:p>
          <w:p w14:paraId="1B14E4E8" w14:textId="77777777" w:rsidR="003E0F58" w:rsidRPr="007C705C" w:rsidRDefault="003E0F58" w:rsidP="004D2249">
            <w:pPr>
              <w:spacing w:after="160" w:line="259" w:lineRule="auto"/>
              <w:jc w:val="left"/>
              <w:rPr>
                <w:rFonts w:eastAsia="Calibri" w:cs="Times New Roman"/>
                <w:sz w:val="20"/>
                <w:szCs w:val="20"/>
              </w:rPr>
            </w:pPr>
            <w:r w:rsidRPr="007C705C">
              <w:rPr>
                <w:rFonts w:eastAsia="Calibri" w:cs="Times New Roman"/>
                <w:sz w:val="20"/>
                <w:szCs w:val="20"/>
              </w:rPr>
              <w:t>Zvýšit pěstování meziplodin</w:t>
            </w:r>
          </w:p>
          <w:p w14:paraId="0B9E4F35"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Změna pěstovaných odrůd</w:t>
            </w:r>
          </w:p>
          <w:p w14:paraId="53515D33" w14:textId="77777777" w:rsidR="003E0F58" w:rsidRPr="007C705C" w:rsidRDefault="003E0F58" w:rsidP="004D2249">
            <w:pPr>
              <w:jc w:val="left"/>
              <w:rPr>
                <w:rFonts w:eastAsia="Calibri" w:cs="Times New Roman"/>
                <w:sz w:val="20"/>
                <w:szCs w:val="20"/>
              </w:rPr>
            </w:pPr>
          </w:p>
          <w:p w14:paraId="73714929" w14:textId="77777777" w:rsidR="003E0F58" w:rsidRPr="007C705C" w:rsidRDefault="003E0F58" w:rsidP="004D2249">
            <w:pPr>
              <w:spacing w:after="160" w:line="259" w:lineRule="auto"/>
              <w:jc w:val="left"/>
              <w:rPr>
                <w:rFonts w:eastAsia="Calibri" w:cs="Times New Roman"/>
                <w:sz w:val="20"/>
                <w:szCs w:val="20"/>
              </w:rPr>
            </w:pPr>
            <w:r w:rsidRPr="007C705C">
              <w:rPr>
                <w:rFonts w:eastAsia="Calibri" w:cs="Times New Roman"/>
                <w:sz w:val="20"/>
                <w:szCs w:val="20"/>
              </w:rPr>
              <w:t>Udržovat a pořizovat závlahové syst.</w:t>
            </w:r>
          </w:p>
          <w:p w14:paraId="5C10AFB7" w14:textId="77777777" w:rsidR="003E0F58" w:rsidRPr="007C705C" w:rsidRDefault="003E0F58" w:rsidP="004D2249">
            <w:pPr>
              <w:spacing w:after="160" w:line="259" w:lineRule="auto"/>
              <w:jc w:val="left"/>
              <w:rPr>
                <w:rFonts w:cs="Times New Roman"/>
                <w:sz w:val="20"/>
                <w:szCs w:val="20"/>
              </w:rPr>
            </w:pPr>
            <w:r w:rsidRPr="007C705C">
              <w:rPr>
                <w:rFonts w:cs="Times New Roman"/>
                <w:sz w:val="20"/>
                <w:szCs w:val="20"/>
              </w:rPr>
              <w:t>Zamezit poklesu organické hmoty</w:t>
            </w:r>
          </w:p>
          <w:p w14:paraId="0731E935" w14:textId="77777777" w:rsidR="003E0F58" w:rsidRPr="007C705C" w:rsidRDefault="003E0F58" w:rsidP="004D2249">
            <w:pPr>
              <w:jc w:val="left"/>
              <w:rPr>
                <w:rFonts w:eastAsia="Calibri" w:cs="Times New Roman"/>
                <w:sz w:val="20"/>
                <w:szCs w:val="20"/>
              </w:rPr>
            </w:pPr>
            <w:r w:rsidRPr="007C705C">
              <w:rPr>
                <w:rFonts w:cs="Times New Roman"/>
                <w:sz w:val="20"/>
                <w:szCs w:val="20"/>
              </w:rPr>
              <w:t>přechod na extenzivní využívání</w:t>
            </w:r>
          </w:p>
        </w:tc>
        <w:tc>
          <w:tcPr>
            <w:tcW w:w="1275" w:type="dxa"/>
          </w:tcPr>
          <w:p w14:paraId="20CC550C"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 xml:space="preserve">Podpora investic vybraných technologií </w:t>
            </w:r>
          </w:p>
          <w:p w14:paraId="59E76913" w14:textId="77777777" w:rsidR="003E0F58" w:rsidRPr="007C705C" w:rsidRDefault="003E0F58" w:rsidP="004D2249">
            <w:pPr>
              <w:jc w:val="left"/>
              <w:rPr>
                <w:rFonts w:eastAsia="Calibri" w:cs="Times New Roman"/>
                <w:sz w:val="20"/>
                <w:szCs w:val="20"/>
              </w:rPr>
            </w:pPr>
          </w:p>
          <w:p w14:paraId="1DB6F531"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DZES</w:t>
            </w:r>
          </w:p>
          <w:p w14:paraId="0EE912E0" w14:textId="77777777" w:rsidR="003E0F58" w:rsidRPr="007C705C" w:rsidRDefault="003E0F58" w:rsidP="004D2249">
            <w:pPr>
              <w:jc w:val="left"/>
              <w:rPr>
                <w:rFonts w:eastAsia="Calibri" w:cs="Times New Roman"/>
                <w:sz w:val="20"/>
                <w:szCs w:val="20"/>
              </w:rPr>
            </w:pPr>
          </w:p>
        </w:tc>
        <w:tc>
          <w:tcPr>
            <w:tcW w:w="1134" w:type="dxa"/>
          </w:tcPr>
          <w:p w14:paraId="1E85C616" w14:textId="77777777" w:rsidR="003E0F58" w:rsidRPr="007C705C" w:rsidRDefault="003E0F58" w:rsidP="004D2249">
            <w:pPr>
              <w:spacing w:after="160" w:line="259" w:lineRule="auto"/>
              <w:jc w:val="left"/>
              <w:rPr>
                <w:rFonts w:eastAsia="Calibri" w:cs="Times New Roman"/>
                <w:sz w:val="20"/>
                <w:szCs w:val="20"/>
              </w:rPr>
            </w:pPr>
            <w:r w:rsidRPr="007C705C">
              <w:rPr>
                <w:rFonts w:eastAsia="Calibri" w:cs="Times New Roman"/>
                <w:sz w:val="20"/>
                <w:szCs w:val="20"/>
              </w:rPr>
              <w:t>Investice do majetku</w:t>
            </w:r>
          </w:p>
          <w:p w14:paraId="0D0D0200" w14:textId="77777777" w:rsidR="003E0F58" w:rsidRPr="007C705C" w:rsidRDefault="003E0F58" w:rsidP="004D2249">
            <w:pPr>
              <w:jc w:val="left"/>
              <w:rPr>
                <w:rFonts w:eastAsia="Calibri" w:cs="Times New Roman"/>
                <w:sz w:val="20"/>
                <w:szCs w:val="20"/>
              </w:rPr>
            </w:pPr>
          </w:p>
          <w:p w14:paraId="471282D5"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Ekorežimy</w:t>
            </w:r>
          </w:p>
          <w:p w14:paraId="2C31EE23" w14:textId="77777777" w:rsidR="003E0F58" w:rsidRPr="007C705C" w:rsidRDefault="003E0F58" w:rsidP="004D2249">
            <w:pPr>
              <w:jc w:val="left"/>
              <w:rPr>
                <w:rFonts w:eastAsia="Calibri" w:cs="Times New Roman"/>
                <w:sz w:val="20"/>
                <w:szCs w:val="20"/>
              </w:rPr>
            </w:pPr>
          </w:p>
          <w:p w14:paraId="12897681"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AEKO</w:t>
            </w:r>
          </w:p>
        </w:tc>
      </w:tr>
    </w:tbl>
    <w:p w14:paraId="4DBB8976" w14:textId="77777777" w:rsidR="003E0F58" w:rsidRPr="007C705C" w:rsidRDefault="003E0F58" w:rsidP="00C4544F">
      <w:pPr>
        <w:pStyle w:val="UZEIZdroj"/>
        <w:spacing w:after="0"/>
      </w:pPr>
      <w:r w:rsidRPr="007C705C">
        <w:rPr>
          <w:b/>
          <w:color w:val="FF0000"/>
        </w:rPr>
        <w:lastRenderedPageBreak/>
        <w:t>Červeně/tučně</w:t>
      </w:r>
      <w:r w:rsidRPr="007C705C">
        <w:rPr>
          <w:color w:val="FF0000"/>
        </w:rPr>
        <w:t xml:space="preserve"> </w:t>
      </w:r>
      <w:r w:rsidRPr="007C705C">
        <w:t>= mimo dosah zemědělce – příčinu nemůže změnit, ani SZP nemá nástroje na řešení</w:t>
      </w:r>
    </w:p>
    <w:p w14:paraId="2E956349" w14:textId="77777777" w:rsidR="003E0F58" w:rsidRPr="007C705C" w:rsidRDefault="003E0F58" w:rsidP="00C4544F">
      <w:pPr>
        <w:pStyle w:val="UZEIZdroj"/>
        <w:spacing w:after="0"/>
      </w:pPr>
      <w:r w:rsidRPr="007C705C">
        <w:rPr>
          <w:b/>
          <w:color w:val="7030A0"/>
        </w:rPr>
        <w:t>Fialově/tučně</w:t>
      </w:r>
      <w:r w:rsidRPr="007C705C">
        <w:rPr>
          <w:color w:val="7030A0"/>
        </w:rPr>
        <w:t xml:space="preserve"> </w:t>
      </w:r>
      <w:r w:rsidRPr="007C705C">
        <w:t>= může ovlivnit jen do jisté míry</w:t>
      </w:r>
    </w:p>
    <w:p w14:paraId="340EC52E" w14:textId="77777777" w:rsidR="003E0F58" w:rsidRPr="007C705C" w:rsidRDefault="003E0F58" w:rsidP="00C4544F">
      <w:pPr>
        <w:pStyle w:val="UZEIZdroj"/>
        <w:spacing w:after="0"/>
        <w:rPr>
          <w:rFonts w:eastAsiaTheme="minorEastAsia"/>
        </w:rPr>
      </w:pPr>
      <w:r w:rsidRPr="007C705C">
        <w:t>Zdroj: Pracovní skupina Klima, 2018</w:t>
      </w:r>
    </w:p>
    <w:p w14:paraId="35AF5180" w14:textId="77777777" w:rsidR="003E0F58" w:rsidRPr="007C705C" w:rsidRDefault="003E0F58" w:rsidP="003E0F58">
      <w:pPr>
        <w:rPr>
          <w:rFonts w:eastAsiaTheme="minorEastAsia" w:cs="Times New Roman"/>
          <w:lang w:val="cs-CZ"/>
        </w:rPr>
      </w:pPr>
    </w:p>
    <w:p w14:paraId="21D66289" w14:textId="1677BC90" w:rsidR="003E0F58" w:rsidRPr="007C705C" w:rsidRDefault="003E0F58" w:rsidP="00C4544F">
      <w:pPr>
        <w:pStyle w:val="UZEIOdrky"/>
        <w:rPr>
          <w:rFonts w:eastAsiaTheme="minorEastAsia"/>
        </w:rPr>
      </w:pPr>
      <w:r w:rsidRPr="007C705C">
        <w:rPr>
          <w:rFonts w:eastAsiaTheme="minorEastAsia"/>
        </w:rPr>
        <w:t>Výskyt extrémních srážek</w:t>
      </w:r>
    </w:p>
    <w:p w14:paraId="388EDCBD" w14:textId="77777777" w:rsidR="003E0F58" w:rsidRPr="007C705C" w:rsidRDefault="003E0F58" w:rsidP="008A1AE3">
      <w:pPr>
        <w:pStyle w:val="UZEINormaln"/>
        <w:numPr>
          <w:ilvl w:val="0"/>
          <w:numId w:val="44"/>
        </w:numPr>
        <w:rPr>
          <w:rFonts w:eastAsiaTheme="minorEastAsia"/>
        </w:rPr>
      </w:pPr>
      <w:r w:rsidRPr="007C705C">
        <w:rPr>
          <w:rFonts w:eastAsiaTheme="minorEastAsia"/>
        </w:rPr>
        <w:t>Podpora efektivních adaptačních řešení v rámci pozemkových úprav</w:t>
      </w:r>
    </w:p>
    <w:p w14:paraId="5BB716A0" w14:textId="77777777" w:rsidR="003E0F58" w:rsidRPr="007C705C" w:rsidRDefault="003E0F58" w:rsidP="008A1AE3">
      <w:pPr>
        <w:pStyle w:val="UZEINormaln"/>
        <w:numPr>
          <w:ilvl w:val="0"/>
          <w:numId w:val="44"/>
        </w:numPr>
        <w:rPr>
          <w:rFonts w:eastAsiaTheme="minorEastAsia"/>
        </w:rPr>
      </w:pPr>
      <w:r w:rsidRPr="007C705C">
        <w:rPr>
          <w:rFonts w:eastAsiaTheme="minorEastAsia"/>
        </w:rPr>
        <w:t>Budování protierozních opatření</w:t>
      </w:r>
    </w:p>
    <w:p w14:paraId="19EBDB68" w14:textId="77777777" w:rsidR="003E0F58" w:rsidRPr="007C705C" w:rsidRDefault="003E0F58" w:rsidP="008A1AE3">
      <w:pPr>
        <w:pStyle w:val="UZEINormaln"/>
        <w:numPr>
          <w:ilvl w:val="0"/>
          <w:numId w:val="44"/>
        </w:numPr>
        <w:rPr>
          <w:rFonts w:eastAsiaTheme="minorEastAsia"/>
        </w:rPr>
      </w:pPr>
      <w:r w:rsidRPr="007C705C">
        <w:rPr>
          <w:rFonts w:eastAsiaTheme="minorEastAsia"/>
        </w:rPr>
        <w:t xml:space="preserve">Podpora krajinné pestrosti, hospodaření na menších půdních celcích </w:t>
      </w:r>
    </w:p>
    <w:p w14:paraId="084CF21C" w14:textId="77777777" w:rsidR="003E0F58" w:rsidRPr="007C705C" w:rsidRDefault="003E0F58" w:rsidP="008A1AE3">
      <w:pPr>
        <w:pStyle w:val="UZEINormaln"/>
        <w:numPr>
          <w:ilvl w:val="0"/>
          <w:numId w:val="44"/>
        </w:numPr>
        <w:rPr>
          <w:rFonts w:eastAsiaTheme="minorEastAsia"/>
        </w:rPr>
      </w:pPr>
      <w:r w:rsidRPr="007C705C">
        <w:rPr>
          <w:rFonts w:eastAsiaTheme="minorEastAsia"/>
        </w:rPr>
        <w:t xml:space="preserve">Podpora zadržování vody v krajině </w:t>
      </w:r>
    </w:p>
    <w:p w14:paraId="0AF0E109" w14:textId="77777777" w:rsidR="003E0F58" w:rsidRPr="007C705C" w:rsidRDefault="003E0F58" w:rsidP="008A1AE3">
      <w:pPr>
        <w:pStyle w:val="UZEINormaln"/>
        <w:numPr>
          <w:ilvl w:val="0"/>
          <w:numId w:val="44"/>
        </w:numPr>
        <w:rPr>
          <w:rFonts w:eastAsiaTheme="minorEastAsia"/>
        </w:rPr>
      </w:pPr>
      <w:r w:rsidRPr="007C705C">
        <w:rPr>
          <w:rFonts w:eastAsiaTheme="minorEastAsia"/>
        </w:rPr>
        <w:t>Údržba vodotečí</w:t>
      </w:r>
    </w:p>
    <w:p w14:paraId="50DF1AD8" w14:textId="744B11C9" w:rsidR="003E0F58" w:rsidRPr="00C4544F" w:rsidRDefault="003E0F58" w:rsidP="008A1AE3">
      <w:pPr>
        <w:pStyle w:val="UZEINormaln"/>
        <w:numPr>
          <w:ilvl w:val="0"/>
          <w:numId w:val="44"/>
        </w:numPr>
        <w:rPr>
          <w:rFonts w:eastAsiaTheme="minorEastAsia"/>
        </w:rPr>
      </w:pPr>
      <w:r w:rsidRPr="007C705C">
        <w:rPr>
          <w:rFonts w:eastAsiaTheme="minorEastAsia"/>
        </w:rPr>
        <w:t>Suché poldry v rizikových oblastech</w:t>
      </w:r>
    </w:p>
    <w:p w14:paraId="1A15A8E3" w14:textId="2E4BCB37" w:rsidR="003E0F58" w:rsidRPr="007C705C" w:rsidRDefault="003E0F58" w:rsidP="00C4544F">
      <w:pPr>
        <w:pStyle w:val="UZEITaB"/>
      </w:pPr>
      <w:r w:rsidRPr="007C705C">
        <w:t xml:space="preserve"> </w:t>
      </w:r>
      <w:bookmarkStart w:id="369" w:name="_Toc77245845"/>
      <w:bookmarkStart w:id="370" w:name="_Toc94181609"/>
      <w:r w:rsidRPr="007C705C">
        <w:t>Možnosti efektivního řešení problému v rámci nástrojů SZP - Výskyt extrémních sráže</w:t>
      </w:r>
      <w:bookmarkEnd w:id="369"/>
      <w:r w:rsidR="004324F0">
        <w:t>k</w:t>
      </w:r>
      <w:bookmarkEnd w:id="370"/>
    </w:p>
    <w:tbl>
      <w:tblPr>
        <w:tblStyle w:val="Mkatabulky2"/>
        <w:tblW w:w="9351" w:type="dxa"/>
        <w:tblLayout w:type="fixed"/>
        <w:tblLook w:val="04A0" w:firstRow="1" w:lastRow="0" w:firstColumn="1" w:lastColumn="0" w:noHBand="0" w:noVBand="1"/>
      </w:tblPr>
      <w:tblGrid>
        <w:gridCol w:w="1384"/>
        <w:gridCol w:w="1418"/>
        <w:gridCol w:w="2268"/>
        <w:gridCol w:w="1701"/>
        <w:gridCol w:w="1275"/>
        <w:gridCol w:w="1305"/>
      </w:tblGrid>
      <w:tr w:rsidR="003E0F58" w:rsidRPr="007C705C" w14:paraId="699E9137" w14:textId="77777777" w:rsidTr="00C01ED5">
        <w:tc>
          <w:tcPr>
            <w:tcW w:w="1384" w:type="dxa"/>
            <w:shd w:val="clear" w:color="auto" w:fill="E7E6E6" w:themeFill="background2"/>
          </w:tcPr>
          <w:p w14:paraId="4BFCCCD4" w14:textId="77777777" w:rsidR="003E0F58" w:rsidRPr="007C705C" w:rsidRDefault="003E0F58" w:rsidP="00C01ED5">
            <w:pPr>
              <w:jc w:val="left"/>
              <w:rPr>
                <w:rFonts w:eastAsia="Calibri" w:cs="Times New Roman"/>
                <w:b/>
                <w:sz w:val="20"/>
                <w:szCs w:val="20"/>
              </w:rPr>
            </w:pPr>
            <w:r w:rsidRPr="007C705C">
              <w:rPr>
                <w:rFonts w:eastAsia="Calibri" w:cs="Times New Roman"/>
                <w:b/>
                <w:sz w:val="20"/>
                <w:szCs w:val="20"/>
              </w:rPr>
              <w:t>Problém</w:t>
            </w:r>
          </w:p>
        </w:tc>
        <w:tc>
          <w:tcPr>
            <w:tcW w:w="1418" w:type="dxa"/>
            <w:shd w:val="clear" w:color="auto" w:fill="E7E6E6" w:themeFill="background2"/>
          </w:tcPr>
          <w:p w14:paraId="3C4ABBFB" w14:textId="77777777" w:rsidR="003E0F58" w:rsidRPr="007C705C" w:rsidRDefault="003E0F58" w:rsidP="00C01ED5">
            <w:pPr>
              <w:jc w:val="left"/>
              <w:rPr>
                <w:rFonts w:eastAsia="Calibri" w:cs="Times New Roman"/>
                <w:b/>
                <w:sz w:val="20"/>
                <w:szCs w:val="20"/>
              </w:rPr>
            </w:pPr>
            <w:r w:rsidRPr="007C705C">
              <w:rPr>
                <w:rFonts w:eastAsia="Calibri" w:cs="Times New Roman"/>
                <w:b/>
                <w:sz w:val="20"/>
                <w:szCs w:val="20"/>
              </w:rPr>
              <w:t>Příčiny</w:t>
            </w:r>
          </w:p>
        </w:tc>
        <w:tc>
          <w:tcPr>
            <w:tcW w:w="2268" w:type="dxa"/>
            <w:shd w:val="clear" w:color="auto" w:fill="E7E6E6" w:themeFill="background2"/>
          </w:tcPr>
          <w:p w14:paraId="1A1A534B" w14:textId="77777777" w:rsidR="003E0F58" w:rsidRPr="007C705C" w:rsidRDefault="003E0F58" w:rsidP="00C01ED5">
            <w:pPr>
              <w:jc w:val="left"/>
              <w:rPr>
                <w:rFonts w:eastAsia="Calibri" w:cs="Times New Roman"/>
                <w:b/>
                <w:sz w:val="20"/>
                <w:szCs w:val="20"/>
              </w:rPr>
            </w:pPr>
            <w:r w:rsidRPr="007C705C">
              <w:rPr>
                <w:rFonts w:eastAsia="Calibri" w:cs="Times New Roman"/>
                <w:b/>
                <w:sz w:val="20"/>
                <w:szCs w:val="20"/>
              </w:rPr>
              <w:t>Převládající chování/reakce zemědělců</w:t>
            </w:r>
          </w:p>
        </w:tc>
        <w:tc>
          <w:tcPr>
            <w:tcW w:w="1701" w:type="dxa"/>
            <w:shd w:val="clear" w:color="auto" w:fill="E7E6E6" w:themeFill="background2"/>
          </w:tcPr>
          <w:p w14:paraId="7EFA262E" w14:textId="77777777" w:rsidR="003E0F58" w:rsidRPr="007C705C" w:rsidRDefault="003E0F58" w:rsidP="00C01ED5">
            <w:pPr>
              <w:jc w:val="left"/>
              <w:rPr>
                <w:rFonts w:eastAsia="Calibri" w:cs="Times New Roman"/>
                <w:b/>
                <w:sz w:val="20"/>
                <w:szCs w:val="20"/>
              </w:rPr>
            </w:pPr>
            <w:r w:rsidRPr="007C705C">
              <w:rPr>
                <w:rFonts w:eastAsia="Calibri" w:cs="Times New Roman"/>
                <w:b/>
                <w:sz w:val="20"/>
                <w:szCs w:val="20"/>
              </w:rPr>
              <w:t>Nutná změna</w:t>
            </w:r>
          </w:p>
        </w:tc>
        <w:tc>
          <w:tcPr>
            <w:tcW w:w="1275" w:type="dxa"/>
            <w:shd w:val="clear" w:color="auto" w:fill="E7E6E6" w:themeFill="background2"/>
          </w:tcPr>
          <w:p w14:paraId="5D97ACEB" w14:textId="77777777" w:rsidR="003E0F58" w:rsidRPr="007C705C" w:rsidRDefault="003E0F58" w:rsidP="00C01ED5">
            <w:pPr>
              <w:jc w:val="left"/>
              <w:rPr>
                <w:rFonts w:eastAsia="Calibri" w:cs="Times New Roman"/>
                <w:b/>
                <w:sz w:val="20"/>
                <w:szCs w:val="20"/>
              </w:rPr>
            </w:pPr>
            <w:r w:rsidRPr="007C705C">
              <w:rPr>
                <w:rFonts w:eastAsia="Calibri" w:cs="Times New Roman"/>
                <w:b/>
                <w:sz w:val="20"/>
                <w:szCs w:val="20"/>
              </w:rPr>
              <w:t>Prvek intervence</w:t>
            </w:r>
          </w:p>
        </w:tc>
        <w:tc>
          <w:tcPr>
            <w:tcW w:w="1305" w:type="dxa"/>
            <w:shd w:val="clear" w:color="auto" w:fill="E7E6E6" w:themeFill="background2"/>
          </w:tcPr>
          <w:p w14:paraId="1ED1971A" w14:textId="77777777" w:rsidR="003E0F58" w:rsidRPr="007C705C" w:rsidRDefault="003E0F58" w:rsidP="00C01ED5">
            <w:pPr>
              <w:jc w:val="left"/>
              <w:rPr>
                <w:rFonts w:eastAsia="Calibri" w:cs="Times New Roman"/>
                <w:b/>
                <w:sz w:val="20"/>
                <w:szCs w:val="20"/>
              </w:rPr>
            </w:pPr>
            <w:r w:rsidRPr="007C705C">
              <w:rPr>
                <w:rFonts w:eastAsia="Calibri" w:cs="Times New Roman"/>
                <w:b/>
                <w:sz w:val="20"/>
                <w:szCs w:val="20"/>
              </w:rPr>
              <w:t>Intervence</w:t>
            </w:r>
          </w:p>
        </w:tc>
      </w:tr>
      <w:tr w:rsidR="003E0F58" w:rsidRPr="007C705C" w14:paraId="14F4BA9D" w14:textId="77777777" w:rsidTr="00C01ED5">
        <w:tc>
          <w:tcPr>
            <w:tcW w:w="1384" w:type="dxa"/>
          </w:tcPr>
          <w:p w14:paraId="0335E3D8" w14:textId="77777777" w:rsidR="003E0F58" w:rsidRPr="007C705C" w:rsidRDefault="003E0F58" w:rsidP="00C01ED5">
            <w:pPr>
              <w:jc w:val="left"/>
              <w:rPr>
                <w:rFonts w:eastAsia="Calibri" w:cs="Times New Roman"/>
                <w:sz w:val="20"/>
                <w:szCs w:val="20"/>
              </w:rPr>
            </w:pPr>
            <w:r w:rsidRPr="007C705C">
              <w:rPr>
                <w:rFonts w:eastAsia="Calibri" w:cs="Times New Roman"/>
                <w:sz w:val="20"/>
                <w:szCs w:val="20"/>
              </w:rPr>
              <w:t>Výskyt extrémních srážek</w:t>
            </w:r>
          </w:p>
        </w:tc>
        <w:tc>
          <w:tcPr>
            <w:tcW w:w="1418" w:type="dxa"/>
          </w:tcPr>
          <w:p w14:paraId="4572886C" w14:textId="77777777" w:rsidR="003E0F58" w:rsidRPr="007C705C" w:rsidRDefault="003E0F58" w:rsidP="00C01ED5">
            <w:pPr>
              <w:jc w:val="left"/>
              <w:rPr>
                <w:rFonts w:eastAsia="Calibri" w:cs="Times New Roman"/>
                <w:color w:val="FF0000"/>
                <w:sz w:val="20"/>
                <w:szCs w:val="20"/>
              </w:rPr>
            </w:pPr>
            <w:r w:rsidRPr="007C705C">
              <w:rPr>
                <w:rFonts w:eastAsia="Calibri" w:cs="Times New Roman"/>
                <w:color w:val="FF0000"/>
                <w:sz w:val="20"/>
                <w:szCs w:val="20"/>
              </w:rPr>
              <w:t>Klimatická změna</w:t>
            </w:r>
          </w:p>
          <w:p w14:paraId="55E85E7E" w14:textId="77777777" w:rsidR="003E0F58" w:rsidRPr="007C705C" w:rsidRDefault="003E0F58" w:rsidP="00C01ED5">
            <w:pPr>
              <w:jc w:val="left"/>
              <w:rPr>
                <w:rFonts w:eastAsia="Calibri" w:cs="Times New Roman"/>
                <w:sz w:val="20"/>
                <w:szCs w:val="20"/>
              </w:rPr>
            </w:pPr>
          </w:p>
          <w:p w14:paraId="4E7DEEA6" w14:textId="77777777" w:rsidR="003E0F58" w:rsidRPr="007C705C" w:rsidRDefault="003E0F58" w:rsidP="00C01ED5">
            <w:pPr>
              <w:jc w:val="left"/>
              <w:rPr>
                <w:rFonts w:eastAsia="Calibri" w:cs="Times New Roman"/>
                <w:sz w:val="20"/>
                <w:szCs w:val="20"/>
              </w:rPr>
            </w:pPr>
            <w:r w:rsidRPr="007C705C">
              <w:rPr>
                <w:rFonts w:eastAsia="Calibri" w:cs="Times New Roman"/>
                <w:sz w:val="20"/>
                <w:szCs w:val="20"/>
              </w:rPr>
              <w:t>Sklonitost</w:t>
            </w:r>
          </w:p>
          <w:p w14:paraId="50393F34" w14:textId="77777777" w:rsidR="003E0F58" w:rsidRPr="007C705C" w:rsidRDefault="003E0F58" w:rsidP="00C01ED5">
            <w:pPr>
              <w:jc w:val="left"/>
              <w:rPr>
                <w:rFonts w:eastAsia="Calibri" w:cs="Times New Roman"/>
                <w:sz w:val="20"/>
                <w:szCs w:val="20"/>
              </w:rPr>
            </w:pPr>
          </w:p>
          <w:p w14:paraId="3F3A931E" w14:textId="77777777" w:rsidR="003E0F58" w:rsidRPr="007C705C" w:rsidRDefault="003E0F58" w:rsidP="00C01ED5">
            <w:pPr>
              <w:jc w:val="left"/>
              <w:rPr>
                <w:rFonts w:eastAsia="Calibri" w:cs="Times New Roman"/>
                <w:color w:val="7030A0"/>
                <w:sz w:val="20"/>
                <w:szCs w:val="20"/>
              </w:rPr>
            </w:pPr>
            <w:r w:rsidRPr="007C705C">
              <w:rPr>
                <w:rFonts w:eastAsia="Calibri" w:cs="Times New Roman"/>
                <w:color w:val="7030A0"/>
                <w:sz w:val="20"/>
                <w:szCs w:val="20"/>
              </w:rPr>
              <w:t>Dlouhé svahy</w:t>
            </w:r>
          </w:p>
          <w:p w14:paraId="452ACEF3" w14:textId="77777777" w:rsidR="003E0F58" w:rsidRPr="007C705C" w:rsidRDefault="003E0F58" w:rsidP="00C01ED5">
            <w:pPr>
              <w:jc w:val="left"/>
              <w:rPr>
                <w:rFonts w:eastAsia="Calibri" w:cs="Times New Roman"/>
                <w:color w:val="7030A0"/>
                <w:sz w:val="20"/>
                <w:szCs w:val="20"/>
              </w:rPr>
            </w:pPr>
          </w:p>
          <w:p w14:paraId="16520D15" w14:textId="77777777" w:rsidR="003E0F58" w:rsidRPr="007C705C" w:rsidRDefault="003E0F58" w:rsidP="00C01ED5">
            <w:pPr>
              <w:jc w:val="left"/>
              <w:rPr>
                <w:rFonts w:eastAsia="Calibri" w:cs="Times New Roman"/>
                <w:sz w:val="20"/>
                <w:szCs w:val="20"/>
              </w:rPr>
            </w:pPr>
            <w:r w:rsidRPr="007C705C">
              <w:rPr>
                <w:rFonts w:eastAsia="Calibri" w:cs="Times New Roman"/>
                <w:sz w:val="20"/>
                <w:szCs w:val="20"/>
              </w:rPr>
              <w:t>Velké půdní bloky</w:t>
            </w:r>
          </w:p>
          <w:p w14:paraId="64CC9912" w14:textId="77777777" w:rsidR="003E0F58" w:rsidRPr="007C705C" w:rsidRDefault="003E0F58" w:rsidP="00C01ED5">
            <w:pPr>
              <w:jc w:val="left"/>
              <w:rPr>
                <w:rFonts w:eastAsia="Calibri" w:cs="Times New Roman"/>
                <w:sz w:val="20"/>
                <w:szCs w:val="20"/>
              </w:rPr>
            </w:pPr>
          </w:p>
          <w:p w14:paraId="18193B75" w14:textId="77777777" w:rsidR="003E0F58" w:rsidRPr="007C705C" w:rsidRDefault="003E0F58" w:rsidP="00C01ED5">
            <w:pPr>
              <w:jc w:val="left"/>
              <w:rPr>
                <w:rFonts w:eastAsia="Calibri" w:cs="Times New Roman"/>
                <w:sz w:val="20"/>
                <w:szCs w:val="20"/>
              </w:rPr>
            </w:pPr>
            <w:r w:rsidRPr="007C705C">
              <w:rPr>
                <w:rFonts w:eastAsia="Calibri" w:cs="Times New Roman"/>
                <w:sz w:val="20"/>
                <w:szCs w:val="20"/>
              </w:rPr>
              <w:t>Infiltrační a retenční kapacita půd</w:t>
            </w:r>
          </w:p>
          <w:p w14:paraId="1B0AAAE8" w14:textId="77777777" w:rsidR="003E0F58" w:rsidRPr="007C705C" w:rsidRDefault="003E0F58" w:rsidP="00C01ED5">
            <w:pPr>
              <w:jc w:val="left"/>
              <w:rPr>
                <w:rFonts w:eastAsia="Calibri" w:cs="Times New Roman"/>
                <w:sz w:val="20"/>
                <w:szCs w:val="20"/>
              </w:rPr>
            </w:pPr>
          </w:p>
          <w:p w14:paraId="034B50FD" w14:textId="77777777" w:rsidR="003E0F58" w:rsidRPr="007C705C" w:rsidRDefault="003E0F58" w:rsidP="00C01ED5">
            <w:pPr>
              <w:jc w:val="left"/>
              <w:rPr>
                <w:rFonts w:eastAsia="Calibri" w:cs="Times New Roman"/>
                <w:sz w:val="20"/>
                <w:szCs w:val="20"/>
              </w:rPr>
            </w:pPr>
            <w:r w:rsidRPr="007C705C">
              <w:rPr>
                <w:rFonts w:eastAsia="Calibri" w:cs="Times New Roman"/>
                <w:sz w:val="20"/>
                <w:szCs w:val="20"/>
              </w:rPr>
              <w:t xml:space="preserve">Struktura a pórovitost půd </w:t>
            </w:r>
          </w:p>
          <w:p w14:paraId="7B6EB10E" w14:textId="77777777" w:rsidR="003E0F58" w:rsidRPr="007C705C" w:rsidRDefault="003E0F58" w:rsidP="00C01ED5">
            <w:pPr>
              <w:jc w:val="left"/>
              <w:rPr>
                <w:rFonts w:eastAsia="Calibri" w:cs="Times New Roman"/>
                <w:sz w:val="20"/>
                <w:szCs w:val="20"/>
              </w:rPr>
            </w:pPr>
          </w:p>
          <w:p w14:paraId="608B5A4D" w14:textId="77777777" w:rsidR="003E0F58" w:rsidRPr="007C705C" w:rsidRDefault="003E0F58" w:rsidP="00C01ED5">
            <w:pPr>
              <w:jc w:val="left"/>
              <w:rPr>
                <w:rFonts w:eastAsia="Calibri" w:cs="Times New Roman"/>
                <w:sz w:val="20"/>
                <w:szCs w:val="20"/>
              </w:rPr>
            </w:pPr>
            <w:r w:rsidRPr="007C705C">
              <w:rPr>
                <w:rFonts w:eastAsia="Calibri" w:cs="Times New Roman"/>
                <w:sz w:val="20"/>
                <w:szCs w:val="20"/>
              </w:rPr>
              <w:t>Odvodnění</w:t>
            </w:r>
          </w:p>
          <w:p w14:paraId="5D142240" w14:textId="77777777" w:rsidR="003E0F58" w:rsidRPr="007C705C" w:rsidRDefault="003E0F58" w:rsidP="00C01ED5">
            <w:pPr>
              <w:jc w:val="left"/>
              <w:rPr>
                <w:rFonts w:eastAsia="Calibri" w:cs="Times New Roman"/>
                <w:sz w:val="20"/>
                <w:szCs w:val="20"/>
              </w:rPr>
            </w:pPr>
          </w:p>
          <w:p w14:paraId="6872C8C4" w14:textId="77777777" w:rsidR="003E0F58" w:rsidRPr="007C705C" w:rsidRDefault="003E0F58" w:rsidP="00C01ED5">
            <w:pPr>
              <w:jc w:val="left"/>
              <w:rPr>
                <w:rFonts w:eastAsia="Calibri" w:cs="Times New Roman"/>
                <w:sz w:val="20"/>
                <w:szCs w:val="20"/>
              </w:rPr>
            </w:pPr>
            <w:r w:rsidRPr="007C705C">
              <w:rPr>
                <w:rFonts w:eastAsia="Calibri" w:cs="Times New Roman"/>
                <w:sz w:val="20"/>
                <w:szCs w:val="20"/>
              </w:rPr>
              <w:t>Regulované toky (napřímení, zahloubení, opevnění, zrušeny meandry)</w:t>
            </w:r>
          </w:p>
          <w:p w14:paraId="168CE70A" w14:textId="77777777" w:rsidR="003E0F58" w:rsidRPr="007C705C" w:rsidRDefault="003E0F58" w:rsidP="00C01ED5">
            <w:pPr>
              <w:jc w:val="left"/>
              <w:rPr>
                <w:rFonts w:eastAsia="Calibri" w:cs="Times New Roman"/>
                <w:sz w:val="20"/>
                <w:szCs w:val="20"/>
              </w:rPr>
            </w:pPr>
          </w:p>
          <w:p w14:paraId="36882A53" w14:textId="77777777" w:rsidR="003E0F58" w:rsidRPr="007C705C" w:rsidRDefault="003E0F58" w:rsidP="00C01ED5">
            <w:pPr>
              <w:jc w:val="left"/>
              <w:rPr>
                <w:rFonts w:eastAsia="Calibri" w:cs="Times New Roman"/>
                <w:sz w:val="20"/>
                <w:szCs w:val="20"/>
              </w:rPr>
            </w:pPr>
            <w:r w:rsidRPr="007C705C">
              <w:rPr>
                <w:rFonts w:eastAsia="Calibri" w:cs="Times New Roman"/>
                <w:sz w:val="20"/>
                <w:szCs w:val="20"/>
              </w:rPr>
              <w:t>Utužená půda</w:t>
            </w:r>
          </w:p>
          <w:p w14:paraId="20CC74C4" w14:textId="77777777" w:rsidR="003E0F58" w:rsidRPr="007C705C" w:rsidRDefault="003E0F58" w:rsidP="00C01ED5">
            <w:pPr>
              <w:jc w:val="left"/>
              <w:rPr>
                <w:rFonts w:eastAsia="Calibri" w:cs="Times New Roman"/>
                <w:sz w:val="20"/>
                <w:szCs w:val="20"/>
              </w:rPr>
            </w:pPr>
          </w:p>
          <w:p w14:paraId="5EA84909" w14:textId="77777777" w:rsidR="003E0F58" w:rsidRPr="007C705C" w:rsidRDefault="003E0F58" w:rsidP="00C01ED5">
            <w:pPr>
              <w:jc w:val="left"/>
              <w:rPr>
                <w:rFonts w:eastAsia="Calibri" w:cs="Times New Roman"/>
                <w:sz w:val="20"/>
                <w:szCs w:val="20"/>
              </w:rPr>
            </w:pPr>
            <w:r w:rsidRPr="007C705C">
              <w:rPr>
                <w:rFonts w:eastAsia="Calibri" w:cs="Times New Roman"/>
                <w:sz w:val="20"/>
                <w:szCs w:val="20"/>
              </w:rPr>
              <w:t>Velké půdní bloky</w:t>
            </w:r>
          </w:p>
          <w:p w14:paraId="7906C332" w14:textId="77777777" w:rsidR="003E0F58" w:rsidRPr="007C705C" w:rsidRDefault="003E0F58" w:rsidP="00C01ED5">
            <w:pPr>
              <w:jc w:val="left"/>
              <w:rPr>
                <w:rFonts w:eastAsia="Calibri" w:cs="Times New Roman"/>
                <w:sz w:val="20"/>
                <w:szCs w:val="20"/>
              </w:rPr>
            </w:pPr>
          </w:p>
          <w:p w14:paraId="137B48B5" w14:textId="77777777" w:rsidR="003E0F58" w:rsidRPr="007C705C" w:rsidRDefault="003E0F58" w:rsidP="00C01ED5">
            <w:pPr>
              <w:jc w:val="left"/>
              <w:rPr>
                <w:rFonts w:eastAsia="Calibri" w:cs="Times New Roman"/>
                <w:sz w:val="20"/>
                <w:szCs w:val="20"/>
              </w:rPr>
            </w:pPr>
            <w:r w:rsidRPr="007C705C">
              <w:rPr>
                <w:rFonts w:eastAsia="Calibri" w:cs="Times New Roman"/>
                <w:sz w:val="20"/>
                <w:szCs w:val="20"/>
              </w:rPr>
              <w:t>Zábor ZPF</w:t>
            </w:r>
          </w:p>
          <w:p w14:paraId="7BA0FED3" w14:textId="77777777" w:rsidR="003E0F58" w:rsidRPr="007C705C" w:rsidRDefault="003E0F58" w:rsidP="00C01ED5">
            <w:pPr>
              <w:jc w:val="left"/>
              <w:rPr>
                <w:rFonts w:eastAsia="Calibri" w:cs="Times New Roman"/>
                <w:sz w:val="20"/>
                <w:szCs w:val="20"/>
              </w:rPr>
            </w:pPr>
          </w:p>
          <w:p w14:paraId="6A5CD1E5" w14:textId="77777777" w:rsidR="003E0F58" w:rsidRPr="007C705C" w:rsidRDefault="003E0F58" w:rsidP="00C01ED5">
            <w:pPr>
              <w:jc w:val="left"/>
              <w:rPr>
                <w:rFonts w:eastAsia="Calibri" w:cs="Times New Roman"/>
                <w:sz w:val="20"/>
                <w:szCs w:val="20"/>
              </w:rPr>
            </w:pPr>
            <w:r w:rsidRPr="007C705C">
              <w:rPr>
                <w:rFonts w:eastAsia="Calibri" w:cs="Times New Roman"/>
                <w:sz w:val="20"/>
                <w:szCs w:val="20"/>
              </w:rPr>
              <w:t>Dehumifikace</w:t>
            </w:r>
          </w:p>
          <w:p w14:paraId="05ED381B" w14:textId="77777777" w:rsidR="003E0F58" w:rsidRPr="007C705C" w:rsidRDefault="003E0F58" w:rsidP="00C01ED5">
            <w:pPr>
              <w:jc w:val="left"/>
              <w:rPr>
                <w:rFonts w:eastAsia="Calibri" w:cs="Times New Roman"/>
                <w:sz w:val="20"/>
                <w:szCs w:val="20"/>
              </w:rPr>
            </w:pPr>
          </w:p>
          <w:p w14:paraId="788E0539" w14:textId="77777777" w:rsidR="003E0F58" w:rsidRPr="007C705C" w:rsidRDefault="003E0F58" w:rsidP="00C01ED5">
            <w:pPr>
              <w:jc w:val="left"/>
              <w:rPr>
                <w:rFonts w:eastAsia="Calibri" w:cs="Times New Roman"/>
                <w:sz w:val="20"/>
                <w:szCs w:val="20"/>
              </w:rPr>
            </w:pPr>
            <w:r w:rsidRPr="007C705C">
              <w:rPr>
                <w:rFonts w:eastAsia="Calibri" w:cs="Times New Roman"/>
                <w:sz w:val="20"/>
                <w:szCs w:val="20"/>
              </w:rPr>
              <w:t>Eroze</w:t>
            </w:r>
          </w:p>
          <w:p w14:paraId="7B6B5C5B" w14:textId="77777777" w:rsidR="003E0F58" w:rsidRPr="007C705C" w:rsidRDefault="003E0F58" w:rsidP="00C01ED5">
            <w:pPr>
              <w:jc w:val="left"/>
              <w:rPr>
                <w:rFonts w:eastAsia="Calibri" w:cs="Times New Roman"/>
                <w:sz w:val="20"/>
                <w:szCs w:val="20"/>
              </w:rPr>
            </w:pPr>
          </w:p>
          <w:p w14:paraId="60C30A9D" w14:textId="77777777" w:rsidR="003E0F58" w:rsidRPr="007C705C" w:rsidRDefault="003E0F58" w:rsidP="00C01ED5">
            <w:pPr>
              <w:jc w:val="left"/>
              <w:rPr>
                <w:rFonts w:eastAsia="Calibri" w:cs="Times New Roman"/>
                <w:sz w:val="20"/>
                <w:szCs w:val="20"/>
              </w:rPr>
            </w:pPr>
          </w:p>
          <w:p w14:paraId="357B171B" w14:textId="77777777" w:rsidR="003E0F58" w:rsidRPr="007C705C" w:rsidRDefault="003E0F58" w:rsidP="00C01ED5">
            <w:pPr>
              <w:jc w:val="left"/>
              <w:rPr>
                <w:rFonts w:eastAsia="Calibri" w:cs="Times New Roman"/>
                <w:sz w:val="20"/>
                <w:szCs w:val="20"/>
              </w:rPr>
            </w:pPr>
          </w:p>
        </w:tc>
        <w:tc>
          <w:tcPr>
            <w:tcW w:w="2268" w:type="dxa"/>
          </w:tcPr>
          <w:p w14:paraId="4E323A21" w14:textId="77777777" w:rsidR="003E0F58" w:rsidRPr="007C705C" w:rsidRDefault="003E0F58" w:rsidP="00C01ED5">
            <w:pPr>
              <w:jc w:val="left"/>
              <w:rPr>
                <w:rFonts w:eastAsia="Calibri" w:cs="Times New Roman"/>
                <w:sz w:val="20"/>
                <w:szCs w:val="20"/>
              </w:rPr>
            </w:pPr>
            <w:r w:rsidRPr="007C705C">
              <w:rPr>
                <w:rFonts w:eastAsia="Calibri" w:cs="Times New Roman"/>
                <w:sz w:val="20"/>
                <w:szCs w:val="20"/>
              </w:rPr>
              <w:lastRenderedPageBreak/>
              <w:t>Tento faktor není ovlivnitelný</w:t>
            </w:r>
          </w:p>
          <w:p w14:paraId="77ECDD3A" w14:textId="77777777" w:rsidR="003E0F58" w:rsidRPr="007C705C" w:rsidRDefault="003E0F58" w:rsidP="00C01ED5">
            <w:pPr>
              <w:jc w:val="left"/>
              <w:rPr>
                <w:rFonts w:eastAsia="Calibri" w:cs="Times New Roman"/>
                <w:sz w:val="20"/>
                <w:szCs w:val="20"/>
              </w:rPr>
            </w:pPr>
          </w:p>
          <w:p w14:paraId="54EFE0B9" w14:textId="77777777" w:rsidR="003E0F58" w:rsidRPr="007C705C" w:rsidRDefault="003E0F58" w:rsidP="00C01ED5">
            <w:pPr>
              <w:jc w:val="left"/>
              <w:rPr>
                <w:rFonts w:eastAsia="Calibri" w:cs="Times New Roman"/>
                <w:sz w:val="20"/>
                <w:szCs w:val="20"/>
              </w:rPr>
            </w:pPr>
            <w:r w:rsidRPr="007C705C">
              <w:rPr>
                <w:rFonts w:eastAsia="Calibri" w:cs="Times New Roman"/>
                <w:sz w:val="20"/>
                <w:szCs w:val="20"/>
              </w:rPr>
              <w:t>Chybí protierozní opatření</w:t>
            </w:r>
          </w:p>
          <w:p w14:paraId="118CED5B" w14:textId="77777777" w:rsidR="003E0F58" w:rsidRPr="007C705C" w:rsidRDefault="003E0F58" w:rsidP="00C01ED5">
            <w:pPr>
              <w:jc w:val="left"/>
              <w:rPr>
                <w:rFonts w:eastAsia="Calibri" w:cs="Times New Roman"/>
                <w:sz w:val="20"/>
                <w:szCs w:val="20"/>
              </w:rPr>
            </w:pPr>
          </w:p>
          <w:p w14:paraId="667A6EDC" w14:textId="77777777" w:rsidR="003E0F58" w:rsidRPr="007C705C" w:rsidRDefault="003E0F58" w:rsidP="00C01ED5">
            <w:pPr>
              <w:jc w:val="left"/>
              <w:rPr>
                <w:rFonts w:eastAsia="Calibri" w:cs="Times New Roman"/>
                <w:sz w:val="20"/>
                <w:szCs w:val="20"/>
              </w:rPr>
            </w:pPr>
            <w:r w:rsidRPr="007C705C">
              <w:rPr>
                <w:rFonts w:eastAsia="Calibri" w:cs="Times New Roman"/>
                <w:sz w:val="20"/>
                <w:szCs w:val="20"/>
              </w:rPr>
              <w:t>Chybí krajinné prvky</w:t>
            </w:r>
          </w:p>
          <w:p w14:paraId="01FBCD9C" w14:textId="77777777" w:rsidR="003E0F58" w:rsidRPr="007C705C" w:rsidRDefault="003E0F58" w:rsidP="00C01ED5">
            <w:pPr>
              <w:jc w:val="left"/>
              <w:rPr>
                <w:rFonts w:eastAsia="Calibri" w:cs="Times New Roman"/>
                <w:sz w:val="20"/>
                <w:szCs w:val="20"/>
              </w:rPr>
            </w:pPr>
          </w:p>
          <w:p w14:paraId="340B8B6D" w14:textId="77777777" w:rsidR="003E0F58" w:rsidRPr="007C705C" w:rsidRDefault="003E0F58" w:rsidP="00C01ED5">
            <w:pPr>
              <w:jc w:val="left"/>
              <w:rPr>
                <w:rFonts w:eastAsia="Calibri" w:cs="Times New Roman"/>
                <w:sz w:val="20"/>
                <w:szCs w:val="20"/>
              </w:rPr>
            </w:pPr>
            <w:r w:rsidRPr="007C705C">
              <w:rPr>
                <w:rFonts w:eastAsia="Calibri" w:cs="Times New Roman"/>
                <w:sz w:val="20"/>
                <w:szCs w:val="20"/>
              </w:rPr>
              <w:t>Erozně rizikové plodiny</w:t>
            </w:r>
          </w:p>
          <w:p w14:paraId="39F09F74" w14:textId="77777777" w:rsidR="003E0F58" w:rsidRPr="007C705C" w:rsidRDefault="003E0F58" w:rsidP="00C01ED5">
            <w:pPr>
              <w:jc w:val="left"/>
              <w:rPr>
                <w:rFonts w:eastAsia="Calibri" w:cs="Times New Roman"/>
                <w:sz w:val="20"/>
                <w:szCs w:val="20"/>
              </w:rPr>
            </w:pPr>
          </w:p>
          <w:p w14:paraId="5F22013A" w14:textId="77777777" w:rsidR="003E0F58" w:rsidRPr="007C705C" w:rsidRDefault="003E0F58" w:rsidP="00C01ED5">
            <w:pPr>
              <w:jc w:val="left"/>
              <w:rPr>
                <w:rFonts w:eastAsia="Calibri" w:cs="Times New Roman"/>
                <w:sz w:val="20"/>
                <w:szCs w:val="20"/>
              </w:rPr>
            </w:pPr>
            <w:r w:rsidRPr="007C705C">
              <w:rPr>
                <w:rFonts w:eastAsia="Calibri" w:cs="Times New Roman"/>
                <w:sz w:val="20"/>
                <w:szCs w:val="20"/>
              </w:rPr>
              <w:t>Nedostatečný vegetační pokryv</w:t>
            </w:r>
          </w:p>
          <w:p w14:paraId="3695F0FA" w14:textId="77777777" w:rsidR="003E0F58" w:rsidRPr="007C705C" w:rsidRDefault="003E0F58" w:rsidP="00C01ED5">
            <w:pPr>
              <w:jc w:val="left"/>
              <w:rPr>
                <w:rFonts w:eastAsia="Calibri" w:cs="Times New Roman"/>
                <w:sz w:val="20"/>
                <w:szCs w:val="20"/>
              </w:rPr>
            </w:pPr>
          </w:p>
          <w:p w14:paraId="314A77AB" w14:textId="77777777" w:rsidR="003E0F58" w:rsidRPr="007C705C" w:rsidRDefault="003E0F58" w:rsidP="00C01ED5">
            <w:pPr>
              <w:spacing w:after="160" w:line="259" w:lineRule="auto"/>
              <w:jc w:val="left"/>
              <w:rPr>
                <w:rFonts w:eastAsia="Calibri" w:cs="Times New Roman"/>
                <w:sz w:val="20"/>
                <w:szCs w:val="20"/>
              </w:rPr>
            </w:pPr>
            <w:r w:rsidRPr="007C705C">
              <w:rPr>
                <w:rFonts w:eastAsia="Calibri" w:cs="Times New Roman"/>
                <w:sz w:val="20"/>
                <w:szCs w:val="20"/>
              </w:rPr>
              <w:t>Neodstraňují odvodnění</w:t>
            </w:r>
          </w:p>
          <w:p w14:paraId="10DDB497" w14:textId="77777777" w:rsidR="003E0F58" w:rsidRPr="007C705C" w:rsidRDefault="003E0F58" w:rsidP="00C01ED5">
            <w:pPr>
              <w:spacing w:after="160" w:line="259" w:lineRule="auto"/>
              <w:jc w:val="left"/>
              <w:rPr>
                <w:rFonts w:eastAsia="Calibri" w:cs="Times New Roman"/>
                <w:sz w:val="20"/>
                <w:szCs w:val="20"/>
              </w:rPr>
            </w:pPr>
            <w:r w:rsidRPr="007C705C">
              <w:rPr>
                <w:rFonts w:eastAsia="Calibri" w:cs="Times New Roman"/>
                <w:sz w:val="20"/>
                <w:szCs w:val="20"/>
              </w:rPr>
              <w:t>Zanedbávají údržbu odvodnění</w:t>
            </w:r>
          </w:p>
          <w:p w14:paraId="2465B3B0" w14:textId="77777777" w:rsidR="003E0F58" w:rsidRPr="007C705C" w:rsidRDefault="003E0F58" w:rsidP="00C01ED5">
            <w:pPr>
              <w:spacing w:after="160" w:line="259" w:lineRule="auto"/>
              <w:jc w:val="left"/>
              <w:rPr>
                <w:rFonts w:eastAsia="Calibri" w:cs="Times New Roman"/>
                <w:sz w:val="20"/>
                <w:szCs w:val="20"/>
              </w:rPr>
            </w:pPr>
            <w:r w:rsidRPr="007C705C">
              <w:rPr>
                <w:rFonts w:eastAsia="Calibri" w:cs="Times New Roman"/>
                <w:sz w:val="20"/>
                <w:szCs w:val="20"/>
              </w:rPr>
              <w:t>Používají těžkou techniku</w:t>
            </w:r>
          </w:p>
          <w:p w14:paraId="6CAB2E91" w14:textId="77777777" w:rsidR="003E0F58" w:rsidRPr="007C705C" w:rsidRDefault="003E0F58" w:rsidP="00C01ED5">
            <w:pPr>
              <w:spacing w:after="160" w:line="259" w:lineRule="auto"/>
              <w:jc w:val="left"/>
              <w:rPr>
                <w:rFonts w:eastAsia="Calibri" w:cs="Times New Roman"/>
                <w:sz w:val="20"/>
                <w:szCs w:val="20"/>
              </w:rPr>
            </w:pPr>
            <w:r w:rsidRPr="007C705C">
              <w:rPr>
                <w:rFonts w:eastAsia="Calibri" w:cs="Times New Roman"/>
                <w:sz w:val="20"/>
                <w:szCs w:val="20"/>
              </w:rPr>
              <w:t>Časté pojezdy</w:t>
            </w:r>
          </w:p>
          <w:p w14:paraId="7E266363" w14:textId="77777777" w:rsidR="003E0F58" w:rsidRPr="007C705C" w:rsidRDefault="003E0F58" w:rsidP="00C01ED5">
            <w:pPr>
              <w:spacing w:after="160" w:line="259" w:lineRule="auto"/>
              <w:jc w:val="left"/>
              <w:rPr>
                <w:rFonts w:eastAsia="Calibri" w:cs="Times New Roman"/>
                <w:sz w:val="20"/>
                <w:szCs w:val="20"/>
              </w:rPr>
            </w:pPr>
            <w:r w:rsidRPr="007C705C">
              <w:rPr>
                <w:rFonts w:eastAsia="Calibri" w:cs="Times New Roman"/>
                <w:sz w:val="20"/>
                <w:szCs w:val="20"/>
              </w:rPr>
              <w:t>Chybí krajinné prvky</w:t>
            </w:r>
          </w:p>
          <w:p w14:paraId="21BFD0C4" w14:textId="77777777" w:rsidR="003E0F58" w:rsidRPr="007C705C" w:rsidRDefault="003E0F58" w:rsidP="00C01ED5">
            <w:pPr>
              <w:spacing w:after="160" w:line="259" w:lineRule="auto"/>
              <w:jc w:val="left"/>
              <w:rPr>
                <w:rFonts w:eastAsia="Calibri" w:cs="Times New Roman"/>
                <w:sz w:val="20"/>
                <w:szCs w:val="20"/>
              </w:rPr>
            </w:pPr>
            <w:r w:rsidRPr="007C705C">
              <w:rPr>
                <w:rFonts w:eastAsia="Calibri" w:cs="Times New Roman"/>
                <w:sz w:val="20"/>
                <w:szCs w:val="20"/>
              </w:rPr>
              <w:t>Nedostatek org. hmoty</w:t>
            </w:r>
          </w:p>
          <w:p w14:paraId="56B8B629" w14:textId="77777777" w:rsidR="003E0F58" w:rsidRPr="007C705C" w:rsidRDefault="003E0F58" w:rsidP="00C01ED5">
            <w:pPr>
              <w:spacing w:after="160" w:line="259" w:lineRule="auto"/>
              <w:jc w:val="left"/>
              <w:rPr>
                <w:rFonts w:eastAsia="Calibri" w:cs="Times New Roman"/>
                <w:sz w:val="20"/>
                <w:szCs w:val="20"/>
              </w:rPr>
            </w:pPr>
            <w:r w:rsidRPr="007C705C">
              <w:rPr>
                <w:rFonts w:eastAsia="Calibri" w:cs="Times New Roman"/>
                <w:sz w:val="20"/>
                <w:szCs w:val="20"/>
              </w:rPr>
              <w:t>Nevhodné osevní postupy</w:t>
            </w:r>
          </w:p>
          <w:p w14:paraId="07311D43" w14:textId="77777777" w:rsidR="003E0F58" w:rsidRPr="007C705C" w:rsidRDefault="003E0F58" w:rsidP="00C01ED5">
            <w:pPr>
              <w:jc w:val="left"/>
              <w:rPr>
                <w:rFonts w:eastAsia="Calibri" w:cs="Times New Roman"/>
                <w:sz w:val="20"/>
                <w:szCs w:val="20"/>
              </w:rPr>
            </w:pPr>
            <w:r w:rsidRPr="007C705C">
              <w:rPr>
                <w:rFonts w:eastAsia="Calibri" w:cs="Times New Roman"/>
                <w:sz w:val="20"/>
                <w:szCs w:val="20"/>
              </w:rPr>
              <w:t>Nepěstují pícniny</w:t>
            </w:r>
          </w:p>
        </w:tc>
        <w:tc>
          <w:tcPr>
            <w:tcW w:w="1701" w:type="dxa"/>
          </w:tcPr>
          <w:p w14:paraId="023C4911" w14:textId="77777777" w:rsidR="003E0F58" w:rsidRPr="007C705C" w:rsidRDefault="003E0F58" w:rsidP="00C01ED5">
            <w:pPr>
              <w:spacing w:after="160" w:line="259" w:lineRule="auto"/>
              <w:jc w:val="left"/>
              <w:rPr>
                <w:rFonts w:eastAsia="Calibri" w:cs="Times New Roman"/>
                <w:sz w:val="20"/>
                <w:szCs w:val="20"/>
              </w:rPr>
            </w:pPr>
            <w:r w:rsidRPr="007C705C">
              <w:rPr>
                <w:rFonts w:cs="Times New Roman"/>
                <w:sz w:val="20"/>
                <w:szCs w:val="20"/>
              </w:rPr>
              <w:t xml:space="preserve">Zařazovat </w:t>
            </w:r>
            <w:r w:rsidRPr="007C705C">
              <w:rPr>
                <w:rFonts w:eastAsia="Calibri" w:cs="Times New Roman"/>
                <w:sz w:val="20"/>
                <w:szCs w:val="20"/>
              </w:rPr>
              <w:t xml:space="preserve"> </w:t>
            </w:r>
          </w:p>
          <w:p w14:paraId="5DCBCDB7" w14:textId="77777777" w:rsidR="003E0F58" w:rsidRPr="007C705C" w:rsidRDefault="003E0F58" w:rsidP="00C01ED5">
            <w:pPr>
              <w:spacing w:after="160" w:line="259" w:lineRule="auto"/>
              <w:jc w:val="left"/>
              <w:rPr>
                <w:rFonts w:cs="Times New Roman"/>
                <w:sz w:val="20"/>
                <w:szCs w:val="20"/>
              </w:rPr>
            </w:pPr>
            <w:r w:rsidRPr="007C705C">
              <w:rPr>
                <w:rFonts w:cs="Times New Roman"/>
                <w:sz w:val="20"/>
                <w:szCs w:val="20"/>
              </w:rPr>
              <w:t>půdoochranné technologie</w:t>
            </w:r>
          </w:p>
          <w:p w14:paraId="6E9FDCB1" w14:textId="77777777" w:rsidR="003E0F58" w:rsidRPr="007C705C" w:rsidRDefault="003E0F58" w:rsidP="00C01ED5">
            <w:pPr>
              <w:spacing w:after="160" w:line="259" w:lineRule="auto"/>
              <w:jc w:val="left"/>
              <w:rPr>
                <w:rFonts w:cs="Times New Roman"/>
                <w:sz w:val="20"/>
                <w:szCs w:val="20"/>
              </w:rPr>
            </w:pPr>
            <w:r w:rsidRPr="007C705C">
              <w:rPr>
                <w:rFonts w:cs="Times New Roman"/>
                <w:sz w:val="20"/>
                <w:szCs w:val="20"/>
              </w:rPr>
              <w:t>Zajistit vegetační pokryv</w:t>
            </w:r>
          </w:p>
          <w:p w14:paraId="05E262C6" w14:textId="77777777" w:rsidR="003E0F58" w:rsidRPr="007C705C" w:rsidRDefault="003E0F58" w:rsidP="00C01ED5">
            <w:pPr>
              <w:spacing w:after="160" w:line="259" w:lineRule="auto"/>
              <w:jc w:val="left"/>
              <w:rPr>
                <w:rFonts w:eastAsia="Calibri" w:cs="Times New Roman"/>
                <w:sz w:val="20"/>
                <w:szCs w:val="20"/>
              </w:rPr>
            </w:pPr>
            <w:r w:rsidRPr="007C705C">
              <w:rPr>
                <w:rFonts w:eastAsia="Calibri" w:cs="Times New Roman"/>
                <w:sz w:val="20"/>
                <w:szCs w:val="20"/>
              </w:rPr>
              <w:t>Zajistit org.hm. do půdy</w:t>
            </w:r>
          </w:p>
          <w:p w14:paraId="58F3EBC4" w14:textId="77777777" w:rsidR="003E0F58" w:rsidRPr="007C705C" w:rsidRDefault="003E0F58" w:rsidP="00C01ED5">
            <w:pPr>
              <w:spacing w:after="160" w:line="259" w:lineRule="auto"/>
              <w:jc w:val="left"/>
              <w:rPr>
                <w:rFonts w:eastAsia="Calibri" w:cs="Times New Roman"/>
                <w:sz w:val="20"/>
                <w:szCs w:val="20"/>
              </w:rPr>
            </w:pPr>
            <w:r w:rsidRPr="007C705C">
              <w:rPr>
                <w:rFonts w:eastAsia="Calibri" w:cs="Times New Roman"/>
                <w:sz w:val="20"/>
                <w:szCs w:val="20"/>
              </w:rPr>
              <w:t>Zavést protierozní opatření</w:t>
            </w:r>
          </w:p>
          <w:p w14:paraId="20A8B3FE" w14:textId="77777777" w:rsidR="003E0F58" w:rsidRPr="007C705C" w:rsidRDefault="003E0F58" w:rsidP="00C01ED5">
            <w:pPr>
              <w:jc w:val="left"/>
              <w:rPr>
                <w:rFonts w:eastAsia="Calibri" w:cs="Times New Roman"/>
                <w:sz w:val="20"/>
                <w:szCs w:val="20"/>
              </w:rPr>
            </w:pPr>
            <w:r w:rsidRPr="007C705C">
              <w:rPr>
                <w:rFonts w:eastAsia="Calibri" w:cs="Times New Roman"/>
                <w:sz w:val="20"/>
                <w:szCs w:val="20"/>
              </w:rPr>
              <w:t>Rozčlenit velké půdní bloky</w:t>
            </w:r>
          </w:p>
          <w:p w14:paraId="030DDF6F" w14:textId="77777777" w:rsidR="003E0F58" w:rsidRPr="007C705C" w:rsidRDefault="003E0F58" w:rsidP="00C01ED5">
            <w:pPr>
              <w:jc w:val="left"/>
              <w:rPr>
                <w:rFonts w:eastAsia="Calibri" w:cs="Times New Roman"/>
                <w:sz w:val="20"/>
                <w:szCs w:val="20"/>
              </w:rPr>
            </w:pPr>
          </w:p>
          <w:p w14:paraId="464155BA" w14:textId="77777777" w:rsidR="003E0F58" w:rsidRPr="007C705C" w:rsidRDefault="003E0F58" w:rsidP="00C01ED5">
            <w:pPr>
              <w:spacing w:after="160" w:line="259" w:lineRule="auto"/>
              <w:jc w:val="left"/>
              <w:rPr>
                <w:rFonts w:eastAsia="Calibri" w:cs="Times New Roman"/>
                <w:sz w:val="20"/>
                <w:szCs w:val="20"/>
              </w:rPr>
            </w:pPr>
            <w:r w:rsidRPr="007C705C">
              <w:rPr>
                <w:rFonts w:eastAsia="Calibri" w:cs="Times New Roman"/>
                <w:sz w:val="20"/>
                <w:szCs w:val="20"/>
              </w:rPr>
              <w:t>Používat lehčí mechanizaci</w:t>
            </w:r>
          </w:p>
          <w:p w14:paraId="5382A773" w14:textId="77777777" w:rsidR="003E0F58" w:rsidRPr="007C705C" w:rsidRDefault="003E0F58" w:rsidP="00C01ED5">
            <w:pPr>
              <w:spacing w:after="160" w:line="259" w:lineRule="auto"/>
              <w:jc w:val="left"/>
              <w:rPr>
                <w:rFonts w:eastAsia="Calibri" w:cs="Times New Roman"/>
                <w:sz w:val="20"/>
                <w:szCs w:val="20"/>
              </w:rPr>
            </w:pPr>
            <w:r w:rsidRPr="007C705C">
              <w:rPr>
                <w:rFonts w:eastAsia="Calibri" w:cs="Times New Roman"/>
                <w:sz w:val="20"/>
                <w:szCs w:val="20"/>
              </w:rPr>
              <w:t>Omezovat pojezdy</w:t>
            </w:r>
          </w:p>
          <w:p w14:paraId="565EC051" w14:textId="77777777" w:rsidR="003E0F58" w:rsidRPr="007C705C" w:rsidRDefault="003E0F58" w:rsidP="00C01ED5">
            <w:pPr>
              <w:spacing w:after="160" w:line="259" w:lineRule="auto"/>
              <w:jc w:val="left"/>
              <w:rPr>
                <w:rFonts w:eastAsia="Calibri" w:cs="Times New Roman"/>
                <w:sz w:val="20"/>
                <w:szCs w:val="20"/>
              </w:rPr>
            </w:pPr>
            <w:r w:rsidRPr="007C705C">
              <w:rPr>
                <w:rFonts w:eastAsia="Calibri" w:cs="Times New Roman"/>
                <w:sz w:val="20"/>
                <w:szCs w:val="20"/>
              </w:rPr>
              <w:t>Upravit osevní postupy</w:t>
            </w:r>
          </w:p>
          <w:p w14:paraId="0C04BF97" w14:textId="77777777" w:rsidR="003E0F58" w:rsidRPr="007C705C" w:rsidRDefault="003E0F58" w:rsidP="00C01ED5">
            <w:pPr>
              <w:spacing w:after="160" w:line="259" w:lineRule="auto"/>
              <w:jc w:val="left"/>
              <w:rPr>
                <w:rFonts w:eastAsia="Calibri" w:cs="Times New Roman"/>
                <w:sz w:val="20"/>
                <w:szCs w:val="20"/>
              </w:rPr>
            </w:pPr>
            <w:r w:rsidRPr="007C705C">
              <w:rPr>
                <w:rFonts w:eastAsia="Calibri" w:cs="Times New Roman"/>
                <w:sz w:val="20"/>
                <w:szCs w:val="20"/>
              </w:rPr>
              <w:t>Více pícnin</w:t>
            </w:r>
          </w:p>
          <w:p w14:paraId="2D36C75E" w14:textId="77777777" w:rsidR="003E0F58" w:rsidRPr="007C705C" w:rsidRDefault="003E0F58" w:rsidP="00C01ED5">
            <w:pPr>
              <w:spacing w:after="160" w:line="259" w:lineRule="auto"/>
              <w:jc w:val="left"/>
              <w:rPr>
                <w:rFonts w:eastAsia="Calibri" w:cs="Times New Roman"/>
                <w:sz w:val="20"/>
                <w:szCs w:val="20"/>
              </w:rPr>
            </w:pPr>
            <w:r w:rsidRPr="007C705C">
              <w:rPr>
                <w:rFonts w:eastAsia="Calibri" w:cs="Times New Roman"/>
                <w:sz w:val="20"/>
                <w:szCs w:val="20"/>
              </w:rPr>
              <w:t>Eliminovat odvodnění</w:t>
            </w:r>
          </w:p>
          <w:p w14:paraId="298B2DE0" w14:textId="77777777" w:rsidR="003E0F58" w:rsidRPr="007C705C" w:rsidRDefault="003E0F58" w:rsidP="00C01ED5">
            <w:pPr>
              <w:spacing w:after="160" w:line="259" w:lineRule="auto"/>
              <w:jc w:val="left"/>
              <w:rPr>
                <w:rFonts w:eastAsia="Calibri" w:cs="Times New Roman"/>
                <w:sz w:val="20"/>
                <w:szCs w:val="20"/>
              </w:rPr>
            </w:pPr>
            <w:r w:rsidRPr="007C705C">
              <w:rPr>
                <w:rFonts w:eastAsia="Calibri" w:cs="Times New Roman"/>
                <w:sz w:val="20"/>
                <w:szCs w:val="20"/>
              </w:rPr>
              <w:t>Zkapacitnění koryt vodních toků</w:t>
            </w:r>
          </w:p>
        </w:tc>
        <w:tc>
          <w:tcPr>
            <w:tcW w:w="1275" w:type="dxa"/>
          </w:tcPr>
          <w:p w14:paraId="5B6BC436" w14:textId="77777777" w:rsidR="003E0F58" w:rsidRPr="007C705C" w:rsidRDefault="003E0F58" w:rsidP="00C01ED5">
            <w:pPr>
              <w:spacing w:after="160" w:line="259" w:lineRule="auto"/>
              <w:jc w:val="left"/>
              <w:rPr>
                <w:rFonts w:eastAsia="Calibri" w:cs="Times New Roman"/>
                <w:sz w:val="20"/>
                <w:szCs w:val="20"/>
              </w:rPr>
            </w:pPr>
            <w:r w:rsidRPr="007C705C">
              <w:rPr>
                <w:rFonts w:eastAsia="Calibri" w:cs="Times New Roman"/>
                <w:sz w:val="20"/>
                <w:szCs w:val="20"/>
              </w:rPr>
              <w:t xml:space="preserve">DZES </w:t>
            </w:r>
          </w:p>
          <w:p w14:paraId="505343A7" w14:textId="77777777" w:rsidR="003E0F58" w:rsidRPr="007C705C" w:rsidRDefault="003E0F58" w:rsidP="00C01ED5">
            <w:pPr>
              <w:spacing w:after="160" w:line="259" w:lineRule="auto"/>
              <w:jc w:val="left"/>
              <w:rPr>
                <w:rFonts w:eastAsia="Calibri" w:cs="Times New Roman"/>
                <w:sz w:val="20"/>
                <w:szCs w:val="20"/>
              </w:rPr>
            </w:pPr>
            <w:r w:rsidRPr="007C705C">
              <w:rPr>
                <w:rFonts w:eastAsia="Calibri" w:cs="Times New Roman"/>
                <w:sz w:val="20"/>
                <w:szCs w:val="20"/>
              </w:rPr>
              <w:t>Zatravnění</w:t>
            </w:r>
          </w:p>
          <w:p w14:paraId="2557370F" w14:textId="77777777" w:rsidR="003E0F58" w:rsidRPr="007C705C" w:rsidRDefault="003E0F58" w:rsidP="00C01ED5">
            <w:pPr>
              <w:spacing w:after="160" w:line="259" w:lineRule="auto"/>
              <w:jc w:val="left"/>
              <w:rPr>
                <w:rFonts w:eastAsia="Calibri" w:cs="Times New Roman"/>
                <w:sz w:val="20"/>
                <w:szCs w:val="20"/>
              </w:rPr>
            </w:pPr>
            <w:r w:rsidRPr="007C705C">
              <w:rPr>
                <w:rFonts w:eastAsia="Calibri" w:cs="Times New Roman"/>
                <w:sz w:val="20"/>
                <w:szCs w:val="20"/>
              </w:rPr>
              <w:t>Zalesnění</w:t>
            </w:r>
          </w:p>
          <w:p w14:paraId="1DE808AD" w14:textId="77777777" w:rsidR="003E0F58" w:rsidRPr="007C705C" w:rsidRDefault="003E0F58" w:rsidP="00C01ED5">
            <w:pPr>
              <w:spacing w:after="160" w:line="259" w:lineRule="auto"/>
              <w:jc w:val="left"/>
              <w:rPr>
                <w:rFonts w:cs="Times New Roman"/>
                <w:sz w:val="20"/>
                <w:szCs w:val="20"/>
              </w:rPr>
            </w:pPr>
            <w:r w:rsidRPr="007C705C">
              <w:rPr>
                <w:rFonts w:cs="Times New Roman"/>
                <w:sz w:val="20"/>
                <w:szCs w:val="20"/>
              </w:rPr>
              <w:t>Pozemkové úpravy</w:t>
            </w:r>
          </w:p>
          <w:p w14:paraId="69A1A099" w14:textId="77777777" w:rsidR="003E0F58" w:rsidRPr="007C705C" w:rsidRDefault="003E0F58" w:rsidP="00C01ED5">
            <w:pPr>
              <w:spacing w:after="160" w:line="259" w:lineRule="auto"/>
              <w:jc w:val="left"/>
              <w:rPr>
                <w:rFonts w:cs="Times New Roman"/>
                <w:sz w:val="20"/>
                <w:szCs w:val="20"/>
              </w:rPr>
            </w:pPr>
            <w:r w:rsidRPr="007C705C">
              <w:rPr>
                <w:rFonts w:cs="Times New Roman"/>
                <w:sz w:val="20"/>
                <w:szCs w:val="20"/>
              </w:rPr>
              <w:t>agrolesnictví</w:t>
            </w:r>
          </w:p>
          <w:p w14:paraId="789AFFEB" w14:textId="77777777" w:rsidR="003E0F58" w:rsidRPr="007C705C" w:rsidRDefault="003E0F58" w:rsidP="00C01ED5">
            <w:pPr>
              <w:spacing w:after="160" w:line="259" w:lineRule="auto"/>
              <w:jc w:val="left"/>
              <w:rPr>
                <w:rFonts w:cs="Times New Roman"/>
                <w:sz w:val="20"/>
                <w:szCs w:val="20"/>
              </w:rPr>
            </w:pPr>
            <w:r w:rsidRPr="007C705C">
              <w:rPr>
                <w:rFonts w:cs="Times New Roman"/>
                <w:sz w:val="20"/>
                <w:szCs w:val="20"/>
              </w:rPr>
              <w:t>uplatňování pásového střídání plodin</w:t>
            </w:r>
          </w:p>
          <w:p w14:paraId="6D58E19D" w14:textId="77777777" w:rsidR="003E0F58" w:rsidRPr="007C705C" w:rsidRDefault="003E0F58" w:rsidP="00C01ED5">
            <w:pPr>
              <w:spacing w:after="160" w:line="259" w:lineRule="auto"/>
              <w:jc w:val="left"/>
              <w:rPr>
                <w:rFonts w:cs="Times New Roman"/>
                <w:sz w:val="20"/>
                <w:szCs w:val="20"/>
              </w:rPr>
            </w:pPr>
          </w:p>
          <w:p w14:paraId="05D43EFF" w14:textId="77777777" w:rsidR="003E0F58" w:rsidRPr="007C705C" w:rsidRDefault="003E0F58" w:rsidP="00C01ED5">
            <w:pPr>
              <w:spacing w:after="160" w:line="259" w:lineRule="auto"/>
              <w:jc w:val="left"/>
              <w:rPr>
                <w:rFonts w:cs="Times New Roman"/>
                <w:sz w:val="20"/>
                <w:szCs w:val="20"/>
              </w:rPr>
            </w:pPr>
            <w:r w:rsidRPr="007C705C">
              <w:rPr>
                <w:rFonts w:cs="Times New Roman"/>
                <w:sz w:val="20"/>
                <w:szCs w:val="20"/>
              </w:rPr>
              <w:t>realizace mobilních technických protierozních prvků</w:t>
            </w:r>
          </w:p>
          <w:p w14:paraId="3A8172F6" w14:textId="77777777" w:rsidR="003E0F58" w:rsidRPr="007C705C" w:rsidRDefault="003E0F58" w:rsidP="00C01ED5">
            <w:pPr>
              <w:spacing w:after="160" w:line="259" w:lineRule="auto"/>
              <w:jc w:val="left"/>
              <w:rPr>
                <w:rFonts w:cs="Times New Roman"/>
                <w:sz w:val="20"/>
                <w:szCs w:val="20"/>
              </w:rPr>
            </w:pPr>
            <w:r w:rsidRPr="007C705C">
              <w:rPr>
                <w:rFonts w:cs="Times New Roman"/>
                <w:sz w:val="20"/>
                <w:szCs w:val="20"/>
              </w:rPr>
              <w:t>meziplodiny</w:t>
            </w:r>
          </w:p>
          <w:p w14:paraId="1324154C" w14:textId="77777777" w:rsidR="003E0F58" w:rsidRPr="007C705C" w:rsidRDefault="003E0F58" w:rsidP="00C01ED5">
            <w:pPr>
              <w:spacing w:after="160" w:line="259" w:lineRule="auto"/>
              <w:jc w:val="left"/>
              <w:rPr>
                <w:rFonts w:cs="Times New Roman"/>
                <w:sz w:val="20"/>
                <w:szCs w:val="20"/>
              </w:rPr>
            </w:pPr>
            <w:r w:rsidRPr="007C705C">
              <w:rPr>
                <w:rFonts w:cs="Times New Roman"/>
                <w:sz w:val="20"/>
                <w:szCs w:val="20"/>
              </w:rPr>
              <w:t>podpora ž.v.</w:t>
            </w:r>
          </w:p>
          <w:p w14:paraId="6A51B47C" w14:textId="77777777" w:rsidR="003E0F58" w:rsidRPr="007C705C" w:rsidRDefault="003E0F58" w:rsidP="00C01ED5">
            <w:pPr>
              <w:spacing w:after="160" w:line="259" w:lineRule="auto"/>
              <w:jc w:val="left"/>
              <w:rPr>
                <w:rFonts w:cs="Times New Roman"/>
                <w:sz w:val="20"/>
                <w:szCs w:val="20"/>
              </w:rPr>
            </w:pPr>
            <w:r w:rsidRPr="007C705C">
              <w:rPr>
                <w:rFonts w:cs="Times New Roman"/>
                <w:sz w:val="20"/>
                <w:szCs w:val="20"/>
              </w:rPr>
              <w:t>"No till"</w:t>
            </w:r>
          </w:p>
          <w:p w14:paraId="5B85FBDF" w14:textId="77777777" w:rsidR="003E0F58" w:rsidRPr="007C705C" w:rsidRDefault="003E0F58" w:rsidP="00C01ED5">
            <w:pPr>
              <w:spacing w:after="160" w:line="259" w:lineRule="auto"/>
              <w:jc w:val="left"/>
              <w:rPr>
                <w:rFonts w:cs="Times New Roman"/>
                <w:sz w:val="20"/>
                <w:szCs w:val="20"/>
              </w:rPr>
            </w:pPr>
            <w:r w:rsidRPr="007C705C">
              <w:rPr>
                <w:rFonts w:cs="Times New Roman"/>
                <w:sz w:val="20"/>
                <w:szCs w:val="20"/>
              </w:rPr>
              <w:t>"Strip-till"</w:t>
            </w:r>
          </w:p>
          <w:p w14:paraId="3E1C7965" w14:textId="77777777" w:rsidR="003E0F58" w:rsidRPr="007C705C" w:rsidRDefault="003E0F58" w:rsidP="00C01ED5">
            <w:pPr>
              <w:spacing w:after="160" w:line="259" w:lineRule="auto"/>
              <w:jc w:val="left"/>
              <w:rPr>
                <w:rFonts w:cs="Times New Roman"/>
                <w:sz w:val="20"/>
                <w:szCs w:val="20"/>
              </w:rPr>
            </w:pPr>
            <w:r w:rsidRPr="007C705C">
              <w:rPr>
                <w:rFonts w:cs="Times New Roman"/>
                <w:sz w:val="20"/>
                <w:szCs w:val="20"/>
              </w:rPr>
              <w:t>podpora aplikace organických hnojiv</w:t>
            </w:r>
            <w:r w:rsidRPr="007C705C" w:rsidDel="00284508">
              <w:rPr>
                <w:rFonts w:cs="Times New Roman"/>
                <w:sz w:val="20"/>
                <w:szCs w:val="20"/>
              </w:rPr>
              <w:t xml:space="preserve"> </w:t>
            </w:r>
          </w:p>
          <w:p w14:paraId="6569FA4C" w14:textId="77777777" w:rsidR="003E0F58" w:rsidRPr="007C705C" w:rsidRDefault="003E0F58" w:rsidP="00C01ED5">
            <w:pPr>
              <w:spacing w:after="160" w:line="259" w:lineRule="auto"/>
              <w:jc w:val="left"/>
              <w:rPr>
                <w:rFonts w:cs="Times New Roman"/>
                <w:sz w:val="20"/>
                <w:szCs w:val="20"/>
              </w:rPr>
            </w:pPr>
            <w:r w:rsidRPr="007C705C">
              <w:rPr>
                <w:rFonts w:eastAsia="Calibri" w:cs="Times New Roman"/>
                <w:sz w:val="20"/>
                <w:szCs w:val="20"/>
              </w:rPr>
              <w:t xml:space="preserve">Náhrada 1letých </w:t>
            </w:r>
            <w:r w:rsidRPr="007C705C">
              <w:rPr>
                <w:rFonts w:eastAsia="Calibri" w:cs="Times New Roman"/>
                <w:sz w:val="20"/>
                <w:szCs w:val="20"/>
              </w:rPr>
              <w:lastRenderedPageBreak/>
              <w:t>víceletými plodinami</w:t>
            </w:r>
          </w:p>
          <w:p w14:paraId="2DB410F3" w14:textId="77777777" w:rsidR="003E0F58" w:rsidRPr="007C705C" w:rsidRDefault="003E0F58" w:rsidP="00C01ED5">
            <w:pPr>
              <w:spacing w:after="160" w:line="259" w:lineRule="auto"/>
              <w:jc w:val="left"/>
              <w:rPr>
                <w:rFonts w:cs="Times New Roman"/>
                <w:sz w:val="20"/>
                <w:szCs w:val="20"/>
              </w:rPr>
            </w:pPr>
            <w:r w:rsidRPr="007C705C">
              <w:rPr>
                <w:rFonts w:cs="Times New Roman"/>
                <w:sz w:val="20"/>
                <w:szCs w:val="20"/>
              </w:rPr>
              <w:t>hluboce kořenící plodiny</w:t>
            </w:r>
          </w:p>
          <w:p w14:paraId="6FFAFDDC" w14:textId="77777777" w:rsidR="003E0F58" w:rsidRPr="007C705C" w:rsidRDefault="003E0F58" w:rsidP="00C01ED5">
            <w:pPr>
              <w:spacing w:after="160" w:line="259" w:lineRule="auto"/>
              <w:jc w:val="left"/>
              <w:rPr>
                <w:rFonts w:cs="Times New Roman"/>
                <w:sz w:val="20"/>
                <w:szCs w:val="20"/>
              </w:rPr>
            </w:pPr>
            <w:r w:rsidRPr="007C705C">
              <w:rPr>
                <w:rFonts w:cs="Times New Roman"/>
                <w:sz w:val="20"/>
                <w:szCs w:val="20"/>
              </w:rPr>
              <w:t>krajinné prvky</w:t>
            </w:r>
          </w:p>
          <w:p w14:paraId="0AE9DAFC" w14:textId="77777777" w:rsidR="003E0F58" w:rsidRPr="007C705C" w:rsidRDefault="003E0F58" w:rsidP="00C01ED5">
            <w:pPr>
              <w:spacing w:after="160" w:line="259" w:lineRule="auto"/>
              <w:jc w:val="left"/>
              <w:rPr>
                <w:rFonts w:cs="Times New Roman"/>
                <w:sz w:val="20"/>
                <w:szCs w:val="20"/>
              </w:rPr>
            </w:pPr>
            <w:r w:rsidRPr="007C705C">
              <w:rPr>
                <w:rFonts w:cs="Times New Roman"/>
                <w:sz w:val="20"/>
                <w:szCs w:val="20"/>
              </w:rPr>
              <w:t>podpora eliminace odvodnění</w:t>
            </w:r>
          </w:p>
          <w:p w14:paraId="4882A4FA" w14:textId="77777777" w:rsidR="003E0F58" w:rsidRPr="007C705C" w:rsidRDefault="003E0F58" w:rsidP="00C01ED5">
            <w:pPr>
              <w:jc w:val="left"/>
              <w:rPr>
                <w:rFonts w:eastAsia="Calibri" w:cs="Times New Roman"/>
                <w:sz w:val="20"/>
                <w:szCs w:val="20"/>
              </w:rPr>
            </w:pPr>
            <w:r w:rsidRPr="007C705C">
              <w:rPr>
                <w:rFonts w:cs="Times New Roman"/>
                <w:sz w:val="20"/>
                <w:szCs w:val="20"/>
              </w:rPr>
              <w:t>Podpora revitalizací toků</w:t>
            </w:r>
          </w:p>
        </w:tc>
        <w:tc>
          <w:tcPr>
            <w:tcW w:w="1305" w:type="dxa"/>
          </w:tcPr>
          <w:p w14:paraId="56FFE3D6" w14:textId="77777777" w:rsidR="003E0F58" w:rsidRPr="007C705C" w:rsidRDefault="003E0F58" w:rsidP="00C01ED5">
            <w:pPr>
              <w:spacing w:after="160" w:line="259" w:lineRule="auto"/>
              <w:jc w:val="left"/>
              <w:rPr>
                <w:rFonts w:eastAsia="Calibri" w:cs="Times New Roman"/>
                <w:sz w:val="20"/>
                <w:szCs w:val="20"/>
              </w:rPr>
            </w:pPr>
            <w:r w:rsidRPr="007C705C">
              <w:rPr>
                <w:rFonts w:eastAsia="Calibri" w:cs="Times New Roman"/>
                <w:sz w:val="20"/>
                <w:szCs w:val="20"/>
              </w:rPr>
              <w:lastRenderedPageBreak/>
              <w:t>Investice do majetku</w:t>
            </w:r>
          </w:p>
          <w:p w14:paraId="31D45A7D" w14:textId="77777777" w:rsidR="003E0F58" w:rsidRPr="007C705C" w:rsidRDefault="003E0F58" w:rsidP="00C01ED5">
            <w:pPr>
              <w:spacing w:after="160" w:line="259" w:lineRule="auto"/>
              <w:jc w:val="left"/>
              <w:rPr>
                <w:rFonts w:eastAsia="Calibri" w:cs="Times New Roman"/>
                <w:sz w:val="20"/>
                <w:szCs w:val="20"/>
              </w:rPr>
            </w:pPr>
            <w:r w:rsidRPr="007C705C">
              <w:rPr>
                <w:rFonts w:eastAsia="Calibri" w:cs="Times New Roman"/>
                <w:sz w:val="20"/>
                <w:szCs w:val="20"/>
              </w:rPr>
              <w:t>AEKO</w:t>
            </w:r>
          </w:p>
          <w:p w14:paraId="3AA04DC5" w14:textId="77777777" w:rsidR="003E0F58" w:rsidRPr="007C705C" w:rsidRDefault="003E0F58" w:rsidP="00C01ED5">
            <w:pPr>
              <w:spacing w:after="160" w:line="259" w:lineRule="auto"/>
              <w:jc w:val="left"/>
              <w:rPr>
                <w:rFonts w:eastAsia="Calibri" w:cs="Times New Roman"/>
                <w:sz w:val="20"/>
                <w:szCs w:val="20"/>
              </w:rPr>
            </w:pPr>
            <w:r w:rsidRPr="007C705C">
              <w:rPr>
                <w:rFonts w:eastAsia="Calibri" w:cs="Times New Roman"/>
                <w:sz w:val="20"/>
                <w:szCs w:val="20"/>
              </w:rPr>
              <w:t>Investice do lesních oblastí a lesů</w:t>
            </w:r>
          </w:p>
          <w:p w14:paraId="32D448AC" w14:textId="77777777" w:rsidR="003E0F58" w:rsidRPr="007C705C" w:rsidRDefault="003E0F58" w:rsidP="00C01ED5">
            <w:pPr>
              <w:jc w:val="left"/>
              <w:rPr>
                <w:rFonts w:eastAsia="Calibri" w:cs="Times New Roman"/>
                <w:sz w:val="20"/>
                <w:szCs w:val="20"/>
              </w:rPr>
            </w:pPr>
            <w:r w:rsidRPr="007C705C">
              <w:rPr>
                <w:rFonts w:eastAsia="Calibri" w:cs="Times New Roman"/>
                <w:sz w:val="20"/>
                <w:szCs w:val="20"/>
              </w:rPr>
              <w:t>ekoschémata</w:t>
            </w:r>
          </w:p>
        </w:tc>
      </w:tr>
    </w:tbl>
    <w:p w14:paraId="0BA7E17F" w14:textId="77777777" w:rsidR="003E0F58" w:rsidRPr="007C705C" w:rsidRDefault="003E0F58" w:rsidP="00907F0D">
      <w:pPr>
        <w:pStyle w:val="UZEIZdroj"/>
      </w:pPr>
      <w:r w:rsidRPr="007C705C">
        <w:rPr>
          <w:b/>
          <w:color w:val="FF0000"/>
        </w:rPr>
        <w:t>Červeně/tučně</w:t>
      </w:r>
      <w:r w:rsidRPr="007C705C">
        <w:rPr>
          <w:color w:val="FF0000"/>
        </w:rPr>
        <w:t xml:space="preserve"> </w:t>
      </w:r>
      <w:r w:rsidRPr="007C705C">
        <w:t>= mimo dosah zemědělce – příčinu nemůže změnit, ani SZP nemá nástroje na řešení</w:t>
      </w:r>
    </w:p>
    <w:p w14:paraId="42826B0D" w14:textId="77777777" w:rsidR="003E0F58" w:rsidRPr="007C705C" w:rsidRDefault="003E0F58" w:rsidP="00907F0D">
      <w:pPr>
        <w:pStyle w:val="UZEIZdroj"/>
      </w:pPr>
      <w:r w:rsidRPr="007C705C">
        <w:rPr>
          <w:b/>
          <w:color w:val="7030A0"/>
        </w:rPr>
        <w:t>Fialově/tučně</w:t>
      </w:r>
      <w:r w:rsidRPr="007C705C">
        <w:rPr>
          <w:color w:val="7030A0"/>
        </w:rPr>
        <w:t xml:space="preserve"> </w:t>
      </w:r>
      <w:r w:rsidRPr="007C705C">
        <w:t>= může ovlivnit jen do jisté míry</w:t>
      </w:r>
    </w:p>
    <w:p w14:paraId="77AB4AEE" w14:textId="3F9ED51B" w:rsidR="003E0F58" w:rsidRPr="00C01ED5" w:rsidRDefault="003E0F58" w:rsidP="00907F0D">
      <w:pPr>
        <w:pStyle w:val="UZEIZdroj"/>
        <w:rPr>
          <w:rFonts w:eastAsiaTheme="minorEastAsia"/>
        </w:rPr>
      </w:pPr>
      <w:r w:rsidRPr="007C705C">
        <w:t>Zdroj: Pracovní skupina Klima, 2018</w:t>
      </w:r>
    </w:p>
    <w:p w14:paraId="016689F8" w14:textId="4B623783" w:rsidR="003E0F58" w:rsidRPr="007C705C" w:rsidRDefault="003E0F58" w:rsidP="00C01ED5">
      <w:pPr>
        <w:pStyle w:val="UZEIOdrky"/>
        <w:rPr>
          <w:rFonts w:eastAsiaTheme="minorEastAsia"/>
        </w:rPr>
      </w:pPr>
      <w:r w:rsidRPr="007C705C">
        <w:rPr>
          <w:rFonts w:eastAsiaTheme="minorEastAsia"/>
        </w:rPr>
        <w:t>Výskyt extrémních rychlostí větru</w:t>
      </w:r>
    </w:p>
    <w:p w14:paraId="55C7AC29" w14:textId="77777777" w:rsidR="003E0F58" w:rsidRPr="007C705C" w:rsidRDefault="003E0F58" w:rsidP="008A1AE3">
      <w:pPr>
        <w:pStyle w:val="UZEINormaln"/>
        <w:numPr>
          <w:ilvl w:val="0"/>
          <w:numId w:val="45"/>
        </w:numPr>
        <w:rPr>
          <w:rFonts w:eastAsiaTheme="minorEastAsia"/>
        </w:rPr>
      </w:pPr>
      <w:r w:rsidRPr="007C705C">
        <w:rPr>
          <w:rFonts w:eastAsiaTheme="minorEastAsia"/>
        </w:rPr>
        <w:t>Významným technickým opatřením proti škodám větrem je sledování zdravotního stavu vegetace, výstavba nebo výsadba větrolamů a jejich pravidelná údržba</w:t>
      </w:r>
    </w:p>
    <w:p w14:paraId="5ABBF8F9" w14:textId="72568B86" w:rsidR="003E0F58" w:rsidRPr="00C01ED5" w:rsidRDefault="003E0F58" w:rsidP="008A1AE3">
      <w:pPr>
        <w:pStyle w:val="UZEINormaln"/>
        <w:numPr>
          <w:ilvl w:val="0"/>
          <w:numId w:val="45"/>
        </w:numPr>
        <w:rPr>
          <w:rFonts w:eastAsiaTheme="minorEastAsia"/>
        </w:rPr>
      </w:pPr>
      <w:r w:rsidRPr="007C705C">
        <w:rPr>
          <w:rFonts w:eastAsiaTheme="minorEastAsia"/>
        </w:rPr>
        <w:t>Dostatečná aplikace organické hmoty do půdy, pro zachování struktury odolné rozpadu a podléhající větrné erozi (org. hnojiva, meziplodiny)</w:t>
      </w:r>
    </w:p>
    <w:p w14:paraId="784B5E9E" w14:textId="436441C8" w:rsidR="003E0F58" w:rsidRPr="007C705C" w:rsidRDefault="003E0F58" w:rsidP="00C01ED5">
      <w:pPr>
        <w:pStyle w:val="UZEITaB"/>
      </w:pPr>
      <w:bookmarkStart w:id="371" w:name="_Toc77245846"/>
      <w:bookmarkStart w:id="372" w:name="_Toc94181610"/>
      <w:r w:rsidRPr="007C705C">
        <w:t>Možnosti efektivního řešení problému v rámci nástrojů SZP - Výskyt extrémních rychlostí větru</w:t>
      </w:r>
      <w:bookmarkEnd w:id="371"/>
      <w:bookmarkEnd w:id="372"/>
    </w:p>
    <w:tbl>
      <w:tblPr>
        <w:tblStyle w:val="Mkatabulky2"/>
        <w:tblpPr w:leftFromText="141" w:rightFromText="141" w:vertAnchor="text" w:horzAnchor="margin" w:tblpY="123"/>
        <w:tblW w:w="9180" w:type="dxa"/>
        <w:tblLayout w:type="fixed"/>
        <w:tblLook w:val="04A0" w:firstRow="1" w:lastRow="0" w:firstColumn="1" w:lastColumn="0" w:noHBand="0" w:noVBand="1"/>
      </w:tblPr>
      <w:tblGrid>
        <w:gridCol w:w="1384"/>
        <w:gridCol w:w="1418"/>
        <w:gridCol w:w="2268"/>
        <w:gridCol w:w="1701"/>
        <w:gridCol w:w="1275"/>
        <w:gridCol w:w="1134"/>
      </w:tblGrid>
      <w:tr w:rsidR="003E0F58" w:rsidRPr="007C705C" w14:paraId="1F5B1DD1" w14:textId="77777777" w:rsidTr="004D2249">
        <w:tc>
          <w:tcPr>
            <w:tcW w:w="1384" w:type="dxa"/>
            <w:shd w:val="clear" w:color="auto" w:fill="E7E6E6" w:themeFill="background2"/>
          </w:tcPr>
          <w:p w14:paraId="7E79BE64"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Problém</w:t>
            </w:r>
          </w:p>
        </w:tc>
        <w:tc>
          <w:tcPr>
            <w:tcW w:w="1418" w:type="dxa"/>
            <w:shd w:val="clear" w:color="auto" w:fill="E7E6E6" w:themeFill="background2"/>
          </w:tcPr>
          <w:p w14:paraId="1F8A1138"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Příčiny</w:t>
            </w:r>
          </w:p>
        </w:tc>
        <w:tc>
          <w:tcPr>
            <w:tcW w:w="2268" w:type="dxa"/>
            <w:shd w:val="clear" w:color="auto" w:fill="E7E6E6" w:themeFill="background2"/>
          </w:tcPr>
          <w:p w14:paraId="0EC353CF"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Převládající chování/reakce zemědělců</w:t>
            </w:r>
          </w:p>
        </w:tc>
        <w:tc>
          <w:tcPr>
            <w:tcW w:w="1701" w:type="dxa"/>
            <w:shd w:val="clear" w:color="auto" w:fill="E7E6E6" w:themeFill="background2"/>
          </w:tcPr>
          <w:p w14:paraId="7672E418"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Nutná změna</w:t>
            </w:r>
          </w:p>
        </w:tc>
        <w:tc>
          <w:tcPr>
            <w:tcW w:w="1275" w:type="dxa"/>
            <w:shd w:val="clear" w:color="auto" w:fill="E7E6E6" w:themeFill="background2"/>
          </w:tcPr>
          <w:p w14:paraId="30A559E4"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Prvek intervence</w:t>
            </w:r>
          </w:p>
        </w:tc>
        <w:tc>
          <w:tcPr>
            <w:tcW w:w="1134" w:type="dxa"/>
            <w:shd w:val="clear" w:color="auto" w:fill="E7E6E6" w:themeFill="background2"/>
          </w:tcPr>
          <w:p w14:paraId="52764C54"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Intervence</w:t>
            </w:r>
          </w:p>
        </w:tc>
      </w:tr>
      <w:tr w:rsidR="003E0F58" w:rsidRPr="007C705C" w14:paraId="350B33B3" w14:textId="77777777" w:rsidTr="004D2249">
        <w:tc>
          <w:tcPr>
            <w:tcW w:w="1384" w:type="dxa"/>
          </w:tcPr>
          <w:p w14:paraId="0593929A"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Výskyt extrémních rychlostí větru</w:t>
            </w:r>
          </w:p>
        </w:tc>
        <w:tc>
          <w:tcPr>
            <w:tcW w:w="1418" w:type="dxa"/>
          </w:tcPr>
          <w:p w14:paraId="096BCFDA" w14:textId="77777777" w:rsidR="003E0F58" w:rsidRPr="007C705C" w:rsidRDefault="003E0F58" w:rsidP="004D2249">
            <w:pPr>
              <w:jc w:val="left"/>
              <w:rPr>
                <w:rFonts w:eastAsia="Calibri" w:cs="Times New Roman"/>
                <w:color w:val="FF0000"/>
                <w:sz w:val="20"/>
                <w:szCs w:val="20"/>
              </w:rPr>
            </w:pPr>
            <w:r w:rsidRPr="007C705C">
              <w:rPr>
                <w:rFonts w:eastAsia="Calibri" w:cs="Times New Roman"/>
                <w:color w:val="FF0000"/>
                <w:sz w:val="20"/>
                <w:szCs w:val="20"/>
              </w:rPr>
              <w:t>Klimatická změna</w:t>
            </w:r>
          </w:p>
          <w:p w14:paraId="081190A0" w14:textId="77777777" w:rsidR="003E0F58" w:rsidRPr="007C705C" w:rsidRDefault="003E0F58" w:rsidP="004D2249">
            <w:pPr>
              <w:jc w:val="left"/>
              <w:rPr>
                <w:rFonts w:eastAsia="Calibri" w:cs="Times New Roman"/>
                <w:color w:val="FF0000"/>
                <w:sz w:val="20"/>
                <w:szCs w:val="20"/>
              </w:rPr>
            </w:pPr>
          </w:p>
          <w:p w14:paraId="24E606F8" w14:textId="77777777" w:rsidR="003E0F58" w:rsidRPr="007C705C" w:rsidRDefault="003E0F58" w:rsidP="004D2249">
            <w:pPr>
              <w:spacing w:after="160" w:line="259" w:lineRule="auto"/>
              <w:jc w:val="left"/>
              <w:rPr>
                <w:rFonts w:eastAsia="Calibri" w:cs="Times New Roman"/>
                <w:sz w:val="20"/>
                <w:szCs w:val="20"/>
              </w:rPr>
            </w:pPr>
            <w:r w:rsidRPr="007C705C">
              <w:rPr>
                <w:rFonts w:eastAsia="Calibri" w:cs="Times New Roman"/>
                <w:sz w:val="20"/>
                <w:szCs w:val="20"/>
              </w:rPr>
              <w:t>Velké zcelené pozemky</w:t>
            </w:r>
          </w:p>
          <w:p w14:paraId="27A61E74" w14:textId="77777777" w:rsidR="003E0F58" w:rsidRPr="007C705C" w:rsidRDefault="003E0F58" w:rsidP="004D2249">
            <w:pPr>
              <w:jc w:val="left"/>
              <w:rPr>
                <w:rFonts w:eastAsia="Calibri" w:cs="Times New Roman"/>
                <w:color w:val="FF0000"/>
                <w:sz w:val="20"/>
                <w:szCs w:val="20"/>
              </w:rPr>
            </w:pPr>
            <w:r w:rsidRPr="007C705C">
              <w:rPr>
                <w:rFonts w:eastAsia="Calibri" w:cs="Times New Roman"/>
                <w:sz w:val="20"/>
                <w:szCs w:val="20"/>
              </w:rPr>
              <w:t>Stejnověké lesní monokultury</w:t>
            </w:r>
          </w:p>
          <w:p w14:paraId="2AEB111F" w14:textId="77777777" w:rsidR="003E0F58" w:rsidRPr="007C705C" w:rsidRDefault="003E0F58" w:rsidP="004D2249">
            <w:pPr>
              <w:jc w:val="left"/>
              <w:rPr>
                <w:rFonts w:eastAsia="Calibri" w:cs="Times New Roman"/>
                <w:sz w:val="20"/>
                <w:szCs w:val="20"/>
              </w:rPr>
            </w:pPr>
          </w:p>
        </w:tc>
        <w:tc>
          <w:tcPr>
            <w:tcW w:w="2268" w:type="dxa"/>
          </w:tcPr>
          <w:p w14:paraId="16FCA8F5" w14:textId="77777777" w:rsidR="003E0F58" w:rsidRPr="007C705C" w:rsidRDefault="003E0F58" w:rsidP="004D2249">
            <w:pPr>
              <w:spacing w:after="160" w:line="259" w:lineRule="auto"/>
              <w:jc w:val="left"/>
              <w:rPr>
                <w:rFonts w:eastAsia="Calibri" w:cs="Times New Roman"/>
                <w:sz w:val="20"/>
                <w:szCs w:val="20"/>
              </w:rPr>
            </w:pPr>
            <w:r w:rsidRPr="007C705C">
              <w:rPr>
                <w:rFonts w:eastAsia="Calibri" w:cs="Times New Roman"/>
                <w:sz w:val="20"/>
                <w:szCs w:val="20"/>
              </w:rPr>
              <w:t xml:space="preserve">Tento faktor není ovlivnitelný </w:t>
            </w:r>
          </w:p>
          <w:p w14:paraId="75EA788C" w14:textId="77777777" w:rsidR="003E0F58" w:rsidRPr="007C705C" w:rsidRDefault="003E0F58" w:rsidP="004D2249">
            <w:pPr>
              <w:spacing w:after="160" w:line="259" w:lineRule="auto"/>
              <w:jc w:val="left"/>
              <w:rPr>
                <w:rFonts w:eastAsia="Calibri" w:cs="Times New Roman"/>
                <w:sz w:val="20"/>
                <w:szCs w:val="20"/>
              </w:rPr>
            </w:pPr>
            <w:r w:rsidRPr="007C705C">
              <w:rPr>
                <w:rFonts w:eastAsia="Calibri" w:cs="Times New Roman"/>
                <w:sz w:val="20"/>
                <w:szCs w:val="20"/>
              </w:rPr>
              <w:t>Neinstalují větrolamy</w:t>
            </w:r>
          </w:p>
          <w:p w14:paraId="3F1F7FE1" w14:textId="77777777" w:rsidR="003E0F58" w:rsidRPr="007C705C" w:rsidRDefault="003E0F58" w:rsidP="004D2249">
            <w:pPr>
              <w:spacing w:after="160" w:line="259" w:lineRule="auto"/>
              <w:jc w:val="left"/>
              <w:rPr>
                <w:rFonts w:eastAsia="Calibri" w:cs="Times New Roman"/>
                <w:sz w:val="20"/>
                <w:szCs w:val="20"/>
              </w:rPr>
            </w:pPr>
            <w:r w:rsidRPr="007C705C">
              <w:rPr>
                <w:rFonts w:eastAsia="Calibri" w:cs="Times New Roman"/>
                <w:sz w:val="20"/>
                <w:szCs w:val="20"/>
              </w:rPr>
              <w:t>Nevhodný rostlinný pokryv</w:t>
            </w:r>
          </w:p>
          <w:p w14:paraId="3679BFAB"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Pěstují lesní monokultury</w:t>
            </w:r>
          </w:p>
        </w:tc>
        <w:tc>
          <w:tcPr>
            <w:tcW w:w="1701" w:type="dxa"/>
          </w:tcPr>
          <w:p w14:paraId="77BAD04B"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Zamezit extrémnímu větru</w:t>
            </w:r>
          </w:p>
          <w:p w14:paraId="54D5D0E5" w14:textId="77777777" w:rsidR="003E0F58" w:rsidRPr="007C705C" w:rsidRDefault="003E0F58" w:rsidP="004D2249">
            <w:pPr>
              <w:jc w:val="left"/>
              <w:rPr>
                <w:rFonts w:eastAsia="Calibri" w:cs="Times New Roman"/>
                <w:sz w:val="20"/>
                <w:szCs w:val="20"/>
              </w:rPr>
            </w:pPr>
          </w:p>
          <w:p w14:paraId="29BBC094"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Zamezit větrné erozi</w:t>
            </w:r>
          </w:p>
          <w:p w14:paraId="22D7AA03" w14:textId="77777777" w:rsidR="003E0F58" w:rsidRPr="007C705C" w:rsidRDefault="003E0F58" w:rsidP="004D2249">
            <w:pPr>
              <w:jc w:val="left"/>
              <w:rPr>
                <w:rFonts w:eastAsia="Calibri" w:cs="Times New Roman"/>
                <w:sz w:val="20"/>
                <w:szCs w:val="20"/>
              </w:rPr>
            </w:pPr>
          </w:p>
          <w:p w14:paraId="46A1EA10"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Zajistit vhodný rostlinný pokryv</w:t>
            </w:r>
          </w:p>
          <w:p w14:paraId="4C9D51C3" w14:textId="77777777" w:rsidR="003E0F58" w:rsidRPr="007C705C" w:rsidRDefault="003E0F58" w:rsidP="004D2249">
            <w:pPr>
              <w:jc w:val="left"/>
              <w:rPr>
                <w:rFonts w:eastAsia="Calibri" w:cs="Times New Roman"/>
                <w:sz w:val="20"/>
                <w:szCs w:val="20"/>
              </w:rPr>
            </w:pPr>
          </w:p>
          <w:p w14:paraId="4A567989"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Více org. hmoty do půdy</w:t>
            </w:r>
          </w:p>
          <w:p w14:paraId="7281527C" w14:textId="77777777" w:rsidR="003E0F58" w:rsidRPr="007C705C" w:rsidRDefault="003E0F58" w:rsidP="004D2249">
            <w:pPr>
              <w:jc w:val="left"/>
              <w:rPr>
                <w:rFonts w:eastAsia="Calibri" w:cs="Times New Roman"/>
                <w:sz w:val="20"/>
                <w:szCs w:val="20"/>
              </w:rPr>
            </w:pPr>
          </w:p>
          <w:p w14:paraId="66465774"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Více meziplodin</w:t>
            </w:r>
          </w:p>
          <w:p w14:paraId="3395F973"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ab/>
            </w:r>
          </w:p>
          <w:p w14:paraId="1B8F715E" w14:textId="77777777" w:rsidR="003E0F58" w:rsidRPr="007C705C" w:rsidRDefault="003E0F58" w:rsidP="004D2249">
            <w:pPr>
              <w:jc w:val="left"/>
              <w:rPr>
                <w:rFonts w:eastAsia="Calibri" w:cs="Times New Roman"/>
                <w:sz w:val="20"/>
                <w:szCs w:val="20"/>
              </w:rPr>
            </w:pPr>
          </w:p>
        </w:tc>
        <w:tc>
          <w:tcPr>
            <w:tcW w:w="1275" w:type="dxa"/>
          </w:tcPr>
          <w:p w14:paraId="68FCECA7"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DZES</w:t>
            </w:r>
          </w:p>
          <w:p w14:paraId="4A0FA3C6" w14:textId="77777777" w:rsidR="003E0F58" w:rsidRPr="007C705C" w:rsidRDefault="003E0F58" w:rsidP="004D2249">
            <w:pPr>
              <w:jc w:val="left"/>
              <w:rPr>
                <w:rFonts w:eastAsia="Calibri" w:cs="Times New Roman"/>
                <w:sz w:val="20"/>
                <w:szCs w:val="20"/>
              </w:rPr>
            </w:pPr>
          </w:p>
          <w:p w14:paraId="550ACC5A"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výstavba nebo výsadba větrolamů</w:t>
            </w:r>
          </w:p>
          <w:p w14:paraId="1A4E8857" w14:textId="77777777" w:rsidR="003E0F58" w:rsidRPr="007C705C" w:rsidRDefault="003E0F58" w:rsidP="004D2249">
            <w:pPr>
              <w:jc w:val="left"/>
              <w:rPr>
                <w:rFonts w:eastAsia="Calibri" w:cs="Times New Roman"/>
                <w:sz w:val="20"/>
                <w:szCs w:val="20"/>
              </w:rPr>
            </w:pPr>
          </w:p>
          <w:p w14:paraId="51D13DCF"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Omezit lesní monokultury</w:t>
            </w:r>
          </w:p>
          <w:p w14:paraId="633CFD9F" w14:textId="77777777" w:rsidR="003E0F58" w:rsidRPr="007C705C" w:rsidRDefault="003E0F58" w:rsidP="004D2249">
            <w:pPr>
              <w:jc w:val="left"/>
              <w:rPr>
                <w:rFonts w:eastAsia="Calibri" w:cs="Times New Roman"/>
                <w:sz w:val="20"/>
                <w:szCs w:val="20"/>
              </w:rPr>
            </w:pPr>
          </w:p>
          <w:p w14:paraId="35DAAB48" w14:textId="77777777" w:rsidR="003E0F58" w:rsidRPr="007C705C" w:rsidRDefault="003E0F58" w:rsidP="004D2249">
            <w:pPr>
              <w:jc w:val="left"/>
              <w:rPr>
                <w:rFonts w:eastAsia="Calibri" w:cs="Times New Roman"/>
                <w:sz w:val="20"/>
                <w:szCs w:val="20"/>
              </w:rPr>
            </w:pPr>
          </w:p>
          <w:p w14:paraId="20E9BFED" w14:textId="77777777" w:rsidR="003E0F58" w:rsidRPr="007C705C" w:rsidRDefault="003E0F58" w:rsidP="004D2249">
            <w:pPr>
              <w:jc w:val="left"/>
              <w:rPr>
                <w:rFonts w:eastAsia="Calibri" w:cs="Times New Roman"/>
                <w:sz w:val="20"/>
                <w:szCs w:val="20"/>
              </w:rPr>
            </w:pPr>
          </w:p>
        </w:tc>
        <w:tc>
          <w:tcPr>
            <w:tcW w:w="1134" w:type="dxa"/>
          </w:tcPr>
          <w:p w14:paraId="4274A79C" w14:textId="77777777" w:rsidR="003E0F58" w:rsidRPr="007C705C" w:rsidRDefault="003E0F58" w:rsidP="004D2249">
            <w:pPr>
              <w:jc w:val="left"/>
              <w:rPr>
                <w:rFonts w:eastAsia="Calibri" w:cs="Times New Roman"/>
                <w:sz w:val="20"/>
                <w:szCs w:val="20"/>
              </w:rPr>
            </w:pPr>
          </w:p>
          <w:p w14:paraId="104EF493"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Investice do majetku</w:t>
            </w:r>
          </w:p>
          <w:p w14:paraId="40096A44" w14:textId="77777777" w:rsidR="003E0F58" w:rsidRPr="007C705C" w:rsidRDefault="003E0F58" w:rsidP="004D2249">
            <w:pPr>
              <w:jc w:val="left"/>
              <w:rPr>
                <w:rFonts w:eastAsia="Calibri" w:cs="Times New Roman"/>
                <w:sz w:val="20"/>
                <w:szCs w:val="20"/>
              </w:rPr>
            </w:pPr>
          </w:p>
          <w:p w14:paraId="443E9BC1"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AEKO</w:t>
            </w:r>
          </w:p>
          <w:p w14:paraId="30EA07EB" w14:textId="77777777" w:rsidR="003E0F58" w:rsidRPr="007C705C" w:rsidRDefault="003E0F58" w:rsidP="004D2249">
            <w:pPr>
              <w:jc w:val="left"/>
              <w:rPr>
                <w:rFonts w:eastAsia="Calibri" w:cs="Times New Roman"/>
                <w:sz w:val="20"/>
                <w:szCs w:val="20"/>
              </w:rPr>
            </w:pPr>
          </w:p>
          <w:p w14:paraId="1D3E7CD1"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Ekorežimy</w:t>
            </w:r>
          </w:p>
          <w:p w14:paraId="01472B7B" w14:textId="77777777" w:rsidR="003E0F58" w:rsidRPr="007C705C" w:rsidRDefault="003E0F58" w:rsidP="004D2249">
            <w:pPr>
              <w:jc w:val="left"/>
              <w:rPr>
                <w:rFonts w:eastAsia="Calibri" w:cs="Times New Roman"/>
                <w:sz w:val="20"/>
                <w:szCs w:val="20"/>
              </w:rPr>
            </w:pPr>
          </w:p>
          <w:p w14:paraId="225BC116" w14:textId="77777777" w:rsidR="003E0F58" w:rsidRPr="007C705C" w:rsidRDefault="003E0F58" w:rsidP="004D2249">
            <w:pPr>
              <w:jc w:val="left"/>
              <w:rPr>
                <w:rFonts w:eastAsia="Calibri" w:cs="Times New Roman"/>
                <w:sz w:val="20"/>
                <w:szCs w:val="20"/>
              </w:rPr>
            </w:pPr>
          </w:p>
        </w:tc>
      </w:tr>
    </w:tbl>
    <w:p w14:paraId="09CB1CAE" w14:textId="77777777" w:rsidR="003E0F58" w:rsidRPr="007C705C" w:rsidRDefault="003E0F58" w:rsidP="003E0F58">
      <w:pPr>
        <w:spacing w:after="160"/>
        <w:jc w:val="left"/>
        <w:rPr>
          <w:rFonts w:eastAsia="Calibri" w:cs="Times New Roman"/>
          <w:i/>
          <w:sz w:val="22"/>
          <w:lang w:val="cs-CZ"/>
        </w:rPr>
      </w:pPr>
      <w:r w:rsidRPr="007C705C">
        <w:rPr>
          <w:rFonts w:eastAsia="Calibri" w:cs="Times New Roman"/>
          <w:b/>
          <w:i/>
          <w:color w:val="FF0000"/>
          <w:sz w:val="22"/>
          <w:lang w:val="cs-CZ"/>
        </w:rPr>
        <w:t>Červeně/tučně</w:t>
      </w:r>
      <w:r w:rsidRPr="007C705C">
        <w:rPr>
          <w:rFonts w:eastAsia="Calibri" w:cs="Times New Roman"/>
          <w:i/>
          <w:color w:val="FF0000"/>
          <w:sz w:val="22"/>
          <w:lang w:val="cs-CZ"/>
        </w:rPr>
        <w:t xml:space="preserve"> </w:t>
      </w:r>
      <w:r w:rsidRPr="007C705C">
        <w:rPr>
          <w:rFonts w:eastAsia="Calibri" w:cs="Times New Roman"/>
          <w:i/>
          <w:sz w:val="22"/>
          <w:lang w:val="cs-CZ"/>
        </w:rPr>
        <w:t>= mimo dosah zemědělce – příčinu nemůže změnit, ani SZP nemá nástroje na řešení</w:t>
      </w:r>
    </w:p>
    <w:p w14:paraId="5017F559" w14:textId="77777777" w:rsidR="003E0F58" w:rsidRPr="007C705C" w:rsidRDefault="003E0F58" w:rsidP="003E0F58">
      <w:pPr>
        <w:spacing w:after="160"/>
        <w:jc w:val="left"/>
        <w:rPr>
          <w:rFonts w:eastAsia="Calibri" w:cs="Times New Roman"/>
          <w:i/>
          <w:sz w:val="22"/>
          <w:lang w:val="cs-CZ"/>
        </w:rPr>
      </w:pPr>
      <w:r w:rsidRPr="007C705C">
        <w:rPr>
          <w:rFonts w:eastAsia="Calibri" w:cs="Times New Roman"/>
          <w:b/>
          <w:i/>
          <w:color w:val="7030A0"/>
          <w:sz w:val="22"/>
          <w:lang w:val="cs-CZ"/>
        </w:rPr>
        <w:t>Fialově/tučně</w:t>
      </w:r>
      <w:r w:rsidRPr="007C705C">
        <w:rPr>
          <w:rFonts w:eastAsia="Calibri" w:cs="Times New Roman"/>
          <w:i/>
          <w:color w:val="7030A0"/>
          <w:sz w:val="22"/>
          <w:lang w:val="cs-CZ"/>
        </w:rPr>
        <w:t xml:space="preserve"> </w:t>
      </w:r>
      <w:r w:rsidRPr="007C705C">
        <w:rPr>
          <w:rFonts w:eastAsia="Calibri" w:cs="Times New Roman"/>
          <w:i/>
          <w:sz w:val="22"/>
          <w:lang w:val="cs-CZ"/>
        </w:rPr>
        <w:t>= může ovlivnit jen do jisté míry</w:t>
      </w:r>
    </w:p>
    <w:p w14:paraId="32E1B825" w14:textId="0AA4174C" w:rsidR="003E0F58" w:rsidRPr="007C705C" w:rsidRDefault="003E0F58" w:rsidP="00C01ED5">
      <w:pPr>
        <w:spacing w:after="160" w:line="259" w:lineRule="auto"/>
        <w:jc w:val="left"/>
        <w:rPr>
          <w:rFonts w:eastAsiaTheme="minorEastAsia" w:cs="Times New Roman"/>
          <w:lang w:val="cs-CZ"/>
        </w:rPr>
      </w:pPr>
      <w:r w:rsidRPr="007C705C">
        <w:rPr>
          <w:rFonts w:eastAsia="Calibri" w:cs="Times New Roman"/>
          <w:i/>
          <w:sz w:val="22"/>
          <w:lang w:val="cs-CZ"/>
        </w:rPr>
        <w:t>Zdroj: Pracovní skupina Klima, 2018</w:t>
      </w:r>
    </w:p>
    <w:p w14:paraId="1862284E" w14:textId="541E7AB3" w:rsidR="003E0F58" w:rsidRPr="007C705C" w:rsidRDefault="003E0F58" w:rsidP="00C01ED5">
      <w:pPr>
        <w:pStyle w:val="UZEIOdrky"/>
        <w:rPr>
          <w:rFonts w:eastAsiaTheme="minorEastAsia"/>
        </w:rPr>
      </w:pPr>
      <w:r w:rsidRPr="007C705C">
        <w:rPr>
          <w:rFonts w:eastAsiaTheme="minorEastAsia"/>
        </w:rPr>
        <w:t>Snižování zásob vody v půdě</w:t>
      </w:r>
    </w:p>
    <w:p w14:paraId="08B0E90B" w14:textId="77777777" w:rsidR="003E0F58" w:rsidRPr="00C01ED5" w:rsidRDefault="003E0F58" w:rsidP="008A1AE3">
      <w:pPr>
        <w:pStyle w:val="UZEINormaln"/>
        <w:numPr>
          <w:ilvl w:val="0"/>
          <w:numId w:val="45"/>
        </w:numPr>
        <w:rPr>
          <w:rFonts w:eastAsiaTheme="minorEastAsia"/>
        </w:rPr>
      </w:pPr>
      <w:r w:rsidRPr="00C01ED5">
        <w:rPr>
          <w:rFonts w:eastAsiaTheme="minorEastAsia"/>
        </w:rPr>
        <w:lastRenderedPageBreak/>
        <w:t>Podpora hospodaření umožňující dostatečný přísun organické hmoty do půdy</w:t>
      </w:r>
    </w:p>
    <w:p w14:paraId="05E90106" w14:textId="77777777" w:rsidR="003E0F58" w:rsidRPr="00C01ED5" w:rsidRDefault="003E0F58" w:rsidP="008A1AE3">
      <w:pPr>
        <w:pStyle w:val="UZEINormaln"/>
        <w:numPr>
          <w:ilvl w:val="0"/>
          <w:numId w:val="45"/>
        </w:numPr>
        <w:rPr>
          <w:rFonts w:eastAsiaTheme="minorEastAsia"/>
        </w:rPr>
      </w:pPr>
      <w:r w:rsidRPr="00C01ED5">
        <w:rPr>
          <w:rFonts w:eastAsiaTheme="minorEastAsia"/>
        </w:rPr>
        <w:t>Podpora efektivního zadržování vody v krajině, snížení povrchového odtoku a opatření zvyšující zasakování do půdy v místě srážky</w:t>
      </w:r>
    </w:p>
    <w:p w14:paraId="56D8F53B" w14:textId="77777777" w:rsidR="003E0F58" w:rsidRPr="00C01ED5" w:rsidRDefault="003E0F58" w:rsidP="008A1AE3">
      <w:pPr>
        <w:pStyle w:val="UZEINormaln"/>
        <w:numPr>
          <w:ilvl w:val="0"/>
          <w:numId w:val="45"/>
        </w:numPr>
        <w:rPr>
          <w:rFonts w:eastAsiaTheme="minorEastAsia"/>
        </w:rPr>
      </w:pPr>
      <w:r w:rsidRPr="00C01ED5">
        <w:rPr>
          <w:rFonts w:eastAsiaTheme="minorEastAsia"/>
        </w:rPr>
        <w:t>Zatravňování a zalesňování</w:t>
      </w:r>
    </w:p>
    <w:p w14:paraId="5C44BF29" w14:textId="77777777" w:rsidR="003E0F58" w:rsidRPr="00C01ED5" w:rsidRDefault="003E0F58" w:rsidP="008A1AE3">
      <w:pPr>
        <w:pStyle w:val="UZEINormaln"/>
        <w:numPr>
          <w:ilvl w:val="0"/>
          <w:numId w:val="45"/>
        </w:numPr>
        <w:rPr>
          <w:rFonts w:eastAsiaTheme="minorEastAsia"/>
        </w:rPr>
      </w:pPr>
      <w:r w:rsidRPr="00C01ED5">
        <w:rPr>
          <w:rFonts w:eastAsiaTheme="minorEastAsia"/>
        </w:rPr>
        <w:t>Podpora budování efektivních systémů závlahy</w:t>
      </w:r>
    </w:p>
    <w:p w14:paraId="76EB5907" w14:textId="12FAA0D5" w:rsidR="003E0F58" w:rsidRPr="00907F0D" w:rsidRDefault="003E0F58" w:rsidP="008A1AE3">
      <w:pPr>
        <w:pStyle w:val="UZEINormaln"/>
        <w:numPr>
          <w:ilvl w:val="0"/>
          <w:numId w:val="45"/>
        </w:numPr>
        <w:rPr>
          <w:rFonts w:eastAsiaTheme="minorEastAsia"/>
        </w:rPr>
      </w:pPr>
      <w:r w:rsidRPr="00C01ED5">
        <w:rPr>
          <w:rFonts w:eastAsiaTheme="minorEastAsia"/>
        </w:rPr>
        <w:t>Podporovat druhovou rozmanitost skladby lesních porostů</w:t>
      </w:r>
    </w:p>
    <w:p w14:paraId="3DC349D8" w14:textId="491BD84D" w:rsidR="003E0F58" w:rsidRPr="007C705C" w:rsidRDefault="003E0F58" w:rsidP="00C01ED5">
      <w:pPr>
        <w:pStyle w:val="UZEITaB"/>
      </w:pPr>
      <w:bookmarkStart w:id="373" w:name="_Toc77245847"/>
      <w:bookmarkStart w:id="374" w:name="_Toc94181611"/>
      <w:r w:rsidRPr="007C705C">
        <w:t>Možnosti efektivního řešení problému v rámci nástrojů SZP</w:t>
      </w:r>
      <w:bookmarkEnd w:id="373"/>
      <w:bookmarkEnd w:id="374"/>
    </w:p>
    <w:tbl>
      <w:tblPr>
        <w:tblStyle w:val="Mkatabulky2"/>
        <w:tblW w:w="9180" w:type="dxa"/>
        <w:tblLayout w:type="fixed"/>
        <w:tblLook w:val="04A0" w:firstRow="1" w:lastRow="0" w:firstColumn="1" w:lastColumn="0" w:noHBand="0" w:noVBand="1"/>
      </w:tblPr>
      <w:tblGrid>
        <w:gridCol w:w="1384"/>
        <w:gridCol w:w="1418"/>
        <w:gridCol w:w="2268"/>
        <w:gridCol w:w="1701"/>
        <w:gridCol w:w="1275"/>
        <w:gridCol w:w="1134"/>
      </w:tblGrid>
      <w:tr w:rsidR="003E0F58" w:rsidRPr="007C705C" w14:paraId="2418A89B" w14:textId="77777777" w:rsidTr="00907F0D">
        <w:tc>
          <w:tcPr>
            <w:tcW w:w="1384" w:type="dxa"/>
            <w:shd w:val="clear" w:color="auto" w:fill="E7E6E6" w:themeFill="background2"/>
          </w:tcPr>
          <w:p w14:paraId="07F4B751" w14:textId="77777777" w:rsidR="003E0F58" w:rsidRPr="007C705C" w:rsidRDefault="003E0F58" w:rsidP="00907F0D">
            <w:pPr>
              <w:jc w:val="left"/>
              <w:rPr>
                <w:rFonts w:eastAsia="Calibri" w:cs="Times New Roman"/>
                <w:b/>
                <w:sz w:val="20"/>
                <w:szCs w:val="20"/>
              </w:rPr>
            </w:pPr>
            <w:r w:rsidRPr="007C705C">
              <w:rPr>
                <w:rFonts w:eastAsia="Calibri" w:cs="Times New Roman"/>
                <w:b/>
                <w:sz w:val="20"/>
                <w:szCs w:val="20"/>
              </w:rPr>
              <w:t>Problém</w:t>
            </w:r>
          </w:p>
        </w:tc>
        <w:tc>
          <w:tcPr>
            <w:tcW w:w="1418" w:type="dxa"/>
            <w:shd w:val="clear" w:color="auto" w:fill="E7E6E6" w:themeFill="background2"/>
          </w:tcPr>
          <w:p w14:paraId="52295BB7" w14:textId="77777777" w:rsidR="003E0F58" w:rsidRPr="007C705C" w:rsidRDefault="003E0F58" w:rsidP="00907F0D">
            <w:pPr>
              <w:jc w:val="left"/>
              <w:rPr>
                <w:rFonts w:eastAsia="Calibri" w:cs="Times New Roman"/>
                <w:b/>
                <w:sz w:val="20"/>
                <w:szCs w:val="20"/>
              </w:rPr>
            </w:pPr>
            <w:r w:rsidRPr="007C705C">
              <w:rPr>
                <w:rFonts w:eastAsia="Calibri" w:cs="Times New Roman"/>
                <w:b/>
                <w:sz w:val="20"/>
                <w:szCs w:val="20"/>
              </w:rPr>
              <w:t>Příčiny</w:t>
            </w:r>
          </w:p>
        </w:tc>
        <w:tc>
          <w:tcPr>
            <w:tcW w:w="2268" w:type="dxa"/>
            <w:shd w:val="clear" w:color="auto" w:fill="E7E6E6" w:themeFill="background2"/>
          </w:tcPr>
          <w:p w14:paraId="17B06BA7" w14:textId="77777777" w:rsidR="003E0F58" w:rsidRPr="007C705C" w:rsidRDefault="003E0F58" w:rsidP="00907F0D">
            <w:pPr>
              <w:jc w:val="left"/>
              <w:rPr>
                <w:rFonts w:eastAsia="Calibri" w:cs="Times New Roman"/>
                <w:b/>
                <w:sz w:val="20"/>
                <w:szCs w:val="20"/>
              </w:rPr>
            </w:pPr>
            <w:r w:rsidRPr="007C705C">
              <w:rPr>
                <w:rFonts w:eastAsia="Calibri" w:cs="Times New Roman"/>
                <w:b/>
                <w:sz w:val="20"/>
                <w:szCs w:val="20"/>
              </w:rPr>
              <w:t>Převládající chování/reakce zemědělců</w:t>
            </w:r>
          </w:p>
        </w:tc>
        <w:tc>
          <w:tcPr>
            <w:tcW w:w="1701" w:type="dxa"/>
            <w:shd w:val="clear" w:color="auto" w:fill="E7E6E6" w:themeFill="background2"/>
          </w:tcPr>
          <w:p w14:paraId="661E95EB" w14:textId="77777777" w:rsidR="003E0F58" w:rsidRPr="007C705C" w:rsidRDefault="003E0F58" w:rsidP="00907F0D">
            <w:pPr>
              <w:jc w:val="left"/>
              <w:rPr>
                <w:rFonts w:eastAsia="Calibri" w:cs="Times New Roman"/>
                <w:b/>
                <w:sz w:val="20"/>
                <w:szCs w:val="20"/>
              </w:rPr>
            </w:pPr>
            <w:r w:rsidRPr="007C705C">
              <w:rPr>
                <w:rFonts w:eastAsia="Calibri" w:cs="Times New Roman"/>
                <w:b/>
                <w:sz w:val="20"/>
                <w:szCs w:val="20"/>
              </w:rPr>
              <w:t>Nutná změna</w:t>
            </w:r>
          </w:p>
        </w:tc>
        <w:tc>
          <w:tcPr>
            <w:tcW w:w="1275" w:type="dxa"/>
            <w:shd w:val="clear" w:color="auto" w:fill="E7E6E6" w:themeFill="background2"/>
          </w:tcPr>
          <w:p w14:paraId="3E6A57AD" w14:textId="77777777" w:rsidR="003E0F58" w:rsidRPr="007C705C" w:rsidRDefault="003E0F58" w:rsidP="00907F0D">
            <w:pPr>
              <w:jc w:val="left"/>
              <w:rPr>
                <w:rFonts w:eastAsia="Calibri" w:cs="Times New Roman"/>
                <w:b/>
                <w:sz w:val="20"/>
                <w:szCs w:val="20"/>
              </w:rPr>
            </w:pPr>
            <w:r w:rsidRPr="007C705C">
              <w:rPr>
                <w:rFonts w:eastAsia="Calibri" w:cs="Times New Roman"/>
                <w:b/>
                <w:sz w:val="20"/>
                <w:szCs w:val="20"/>
              </w:rPr>
              <w:t>Prvek intervence</w:t>
            </w:r>
          </w:p>
        </w:tc>
        <w:tc>
          <w:tcPr>
            <w:tcW w:w="1134" w:type="dxa"/>
            <w:shd w:val="clear" w:color="auto" w:fill="E7E6E6" w:themeFill="background2"/>
          </w:tcPr>
          <w:p w14:paraId="10B252A1" w14:textId="77777777" w:rsidR="003E0F58" w:rsidRPr="007C705C" w:rsidRDefault="003E0F58" w:rsidP="00907F0D">
            <w:pPr>
              <w:jc w:val="left"/>
              <w:rPr>
                <w:rFonts w:eastAsia="Calibri" w:cs="Times New Roman"/>
                <w:b/>
                <w:sz w:val="20"/>
                <w:szCs w:val="20"/>
              </w:rPr>
            </w:pPr>
            <w:r w:rsidRPr="007C705C">
              <w:rPr>
                <w:rFonts w:eastAsia="Calibri" w:cs="Times New Roman"/>
                <w:b/>
                <w:sz w:val="20"/>
                <w:szCs w:val="20"/>
              </w:rPr>
              <w:t>Intervence</w:t>
            </w:r>
          </w:p>
        </w:tc>
      </w:tr>
      <w:tr w:rsidR="003E0F58" w:rsidRPr="007C705C" w14:paraId="006B50E4" w14:textId="77777777" w:rsidTr="00907F0D">
        <w:tc>
          <w:tcPr>
            <w:tcW w:w="1384" w:type="dxa"/>
          </w:tcPr>
          <w:p w14:paraId="61090C09" w14:textId="77777777" w:rsidR="003E0F58" w:rsidRPr="007C705C" w:rsidRDefault="003E0F58" w:rsidP="00907F0D">
            <w:pPr>
              <w:jc w:val="left"/>
              <w:rPr>
                <w:rFonts w:eastAsia="Calibri" w:cs="Times New Roman"/>
                <w:sz w:val="20"/>
                <w:szCs w:val="20"/>
              </w:rPr>
            </w:pPr>
            <w:r w:rsidRPr="007C705C">
              <w:rPr>
                <w:rFonts w:eastAsia="Calibri" w:cs="Times New Roman"/>
                <w:sz w:val="20"/>
                <w:szCs w:val="20"/>
              </w:rPr>
              <w:t>Snižování zásob vody v půdě</w:t>
            </w:r>
          </w:p>
        </w:tc>
        <w:tc>
          <w:tcPr>
            <w:tcW w:w="1418" w:type="dxa"/>
          </w:tcPr>
          <w:p w14:paraId="331FAB48" w14:textId="77777777" w:rsidR="003E0F58" w:rsidRPr="007C705C" w:rsidRDefault="003E0F58" w:rsidP="00907F0D">
            <w:pPr>
              <w:spacing w:after="160" w:line="259" w:lineRule="auto"/>
              <w:jc w:val="left"/>
              <w:rPr>
                <w:rFonts w:eastAsia="Calibri" w:cs="Times New Roman"/>
                <w:color w:val="FF0000"/>
                <w:sz w:val="20"/>
                <w:szCs w:val="20"/>
              </w:rPr>
            </w:pPr>
            <w:r w:rsidRPr="007C705C">
              <w:rPr>
                <w:rFonts w:eastAsia="Calibri" w:cs="Times New Roman"/>
                <w:color w:val="FF0000"/>
                <w:sz w:val="20"/>
                <w:szCs w:val="20"/>
              </w:rPr>
              <w:t>Nárůst prům. teplot</w:t>
            </w:r>
          </w:p>
          <w:p w14:paraId="60FAC637" w14:textId="77777777" w:rsidR="003E0F58" w:rsidRPr="007C705C" w:rsidRDefault="003E0F58" w:rsidP="00907F0D">
            <w:pPr>
              <w:spacing w:after="160" w:line="259" w:lineRule="auto"/>
              <w:jc w:val="left"/>
              <w:rPr>
                <w:rFonts w:eastAsia="Calibri" w:cs="Times New Roman"/>
                <w:color w:val="FF0000"/>
                <w:sz w:val="20"/>
                <w:szCs w:val="20"/>
              </w:rPr>
            </w:pPr>
            <w:r w:rsidRPr="007C705C">
              <w:rPr>
                <w:rFonts w:eastAsia="Calibri" w:cs="Times New Roman"/>
                <w:color w:val="FF0000"/>
                <w:sz w:val="20"/>
                <w:szCs w:val="20"/>
              </w:rPr>
              <w:t>Častější epizody sucha</w:t>
            </w:r>
          </w:p>
          <w:p w14:paraId="0F931CC0" w14:textId="77777777" w:rsidR="003E0F58" w:rsidRPr="007C705C" w:rsidRDefault="003E0F58" w:rsidP="00907F0D">
            <w:pPr>
              <w:spacing w:after="160" w:line="259" w:lineRule="auto"/>
              <w:jc w:val="left"/>
              <w:rPr>
                <w:rFonts w:eastAsia="Calibri" w:cs="Times New Roman"/>
                <w:color w:val="FF0000"/>
                <w:sz w:val="20"/>
                <w:szCs w:val="20"/>
              </w:rPr>
            </w:pPr>
            <w:r w:rsidRPr="007C705C">
              <w:rPr>
                <w:rFonts w:eastAsia="Calibri" w:cs="Times New Roman"/>
                <w:color w:val="FF0000"/>
                <w:sz w:val="20"/>
                <w:szCs w:val="20"/>
              </w:rPr>
              <w:t>Teplé zimy bez sněh. pokryvu</w:t>
            </w:r>
          </w:p>
          <w:p w14:paraId="19C2B364" w14:textId="77777777" w:rsidR="003E0F58" w:rsidRPr="007C705C" w:rsidRDefault="003E0F58" w:rsidP="00907F0D">
            <w:pPr>
              <w:spacing w:after="160" w:line="259" w:lineRule="auto"/>
              <w:jc w:val="left"/>
              <w:rPr>
                <w:rFonts w:eastAsia="Calibri" w:cs="Times New Roman"/>
                <w:sz w:val="20"/>
                <w:szCs w:val="20"/>
              </w:rPr>
            </w:pPr>
            <w:r w:rsidRPr="007C705C">
              <w:rPr>
                <w:rFonts w:eastAsia="Calibri" w:cs="Times New Roman"/>
                <w:sz w:val="20"/>
                <w:szCs w:val="20"/>
              </w:rPr>
              <w:t>Odvodnění</w:t>
            </w:r>
          </w:p>
          <w:p w14:paraId="5D68BB4C" w14:textId="77777777" w:rsidR="003E0F58" w:rsidRPr="007C705C" w:rsidRDefault="003E0F58" w:rsidP="00907F0D">
            <w:pPr>
              <w:spacing w:after="160" w:line="259" w:lineRule="auto"/>
              <w:jc w:val="left"/>
              <w:rPr>
                <w:rFonts w:eastAsia="Calibri" w:cs="Times New Roman"/>
                <w:sz w:val="20"/>
                <w:szCs w:val="20"/>
              </w:rPr>
            </w:pPr>
            <w:r w:rsidRPr="007C705C">
              <w:rPr>
                <w:rFonts w:eastAsia="Calibri" w:cs="Times New Roman"/>
                <w:sz w:val="20"/>
                <w:szCs w:val="20"/>
              </w:rPr>
              <w:t>Regulované toky (napřímení, zahloubení, opevnění, zrušeny meandry)</w:t>
            </w:r>
          </w:p>
          <w:p w14:paraId="15E646C0" w14:textId="77777777" w:rsidR="003E0F58" w:rsidRPr="007C705C" w:rsidRDefault="003E0F58" w:rsidP="00907F0D">
            <w:pPr>
              <w:spacing w:after="160" w:line="259" w:lineRule="auto"/>
              <w:jc w:val="left"/>
              <w:rPr>
                <w:rFonts w:eastAsia="Calibri" w:cs="Times New Roman"/>
                <w:sz w:val="20"/>
                <w:szCs w:val="20"/>
              </w:rPr>
            </w:pPr>
            <w:r w:rsidRPr="007C705C">
              <w:rPr>
                <w:rFonts w:eastAsia="Calibri" w:cs="Times New Roman"/>
                <w:sz w:val="20"/>
                <w:szCs w:val="20"/>
              </w:rPr>
              <w:t>Utužená půda</w:t>
            </w:r>
          </w:p>
          <w:p w14:paraId="3E34FC0E" w14:textId="77777777" w:rsidR="003E0F58" w:rsidRPr="007C705C" w:rsidRDefault="003E0F58" w:rsidP="00907F0D">
            <w:pPr>
              <w:spacing w:after="160" w:line="259" w:lineRule="auto"/>
              <w:jc w:val="left"/>
              <w:rPr>
                <w:rFonts w:eastAsia="Calibri" w:cs="Times New Roman"/>
                <w:sz w:val="20"/>
                <w:szCs w:val="20"/>
              </w:rPr>
            </w:pPr>
            <w:r w:rsidRPr="007C705C">
              <w:rPr>
                <w:rFonts w:eastAsia="Calibri" w:cs="Times New Roman"/>
                <w:sz w:val="20"/>
                <w:szCs w:val="20"/>
              </w:rPr>
              <w:t>Velké půdní bloky</w:t>
            </w:r>
          </w:p>
          <w:p w14:paraId="11B689CB" w14:textId="77777777" w:rsidR="003E0F58" w:rsidRPr="007C705C" w:rsidRDefault="003E0F58" w:rsidP="00907F0D">
            <w:pPr>
              <w:spacing w:after="160" w:line="259" w:lineRule="auto"/>
              <w:jc w:val="left"/>
              <w:rPr>
                <w:rFonts w:eastAsia="Calibri" w:cs="Times New Roman"/>
                <w:sz w:val="20"/>
                <w:szCs w:val="20"/>
              </w:rPr>
            </w:pPr>
            <w:r w:rsidRPr="007C705C">
              <w:rPr>
                <w:rFonts w:eastAsia="Calibri" w:cs="Times New Roman"/>
                <w:sz w:val="20"/>
                <w:szCs w:val="20"/>
              </w:rPr>
              <w:t>Zábor ZPF</w:t>
            </w:r>
          </w:p>
          <w:p w14:paraId="22D0E905" w14:textId="77777777" w:rsidR="003E0F58" w:rsidRPr="007C705C" w:rsidRDefault="003E0F58" w:rsidP="00907F0D">
            <w:pPr>
              <w:spacing w:after="160" w:line="259" w:lineRule="auto"/>
              <w:jc w:val="left"/>
              <w:rPr>
                <w:rFonts w:eastAsia="Calibri" w:cs="Times New Roman"/>
                <w:sz w:val="20"/>
                <w:szCs w:val="20"/>
              </w:rPr>
            </w:pPr>
            <w:r w:rsidRPr="007C705C">
              <w:rPr>
                <w:rFonts w:eastAsia="Calibri" w:cs="Times New Roman"/>
                <w:sz w:val="20"/>
                <w:szCs w:val="20"/>
              </w:rPr>
              <w:t>Dehumifikace</w:t>
            </w:r>
          </w:p>
          <w:p w14:paraId="4388281A" w14:textId="77777777" w:rsidR="003E0F58" w:rsidRPr="007C705C" w:rsidRDefault="003E0F58" w:rsidP="00907F0D">
            <w:pPr>
              <w:jc w:val="left"/>
              <w:rPr>
                <w:rFonts w:eastAsia="Calibri" w:cs="Times New Roman"/>
                <w:sz w:val="20"/>
                <w:szCs w:val="20"/>
              </w:rPr>
            </w:pPr>
            <w:r w:rsidRPr="007C705C">
              <w:rPr>
                <w:rFonts w:eastAsia="Calibri" w:cs="Times New Roman"/>
                <w:sz w:val="20"/>
                <w:szCs w:val="20"/>
              </w:rPr>
              <w:t>eroze</w:t>
            </w:r>
          </w:p>
        </w:tc>
        <w:tc>
          <w:tcPr>
            <w:tcW w:w="2268" w:type="dxa"/>
          </w:tcPr>
          <w:p w14:paraId="59774BA1" w14:textId="77777777" w:rsidR="003E0F58" w:rsidRPr="007C705C" w:rsidRDefault="003E0F58" w:rsidP="00907F0D">
            <w:pPr>
              <w:spacing w:after="160" w:line="259" w:lineRule="auto"/>
              <w:jc w:val="left"/>
              <w:rPr>
                <w:rFonts w:eastAsia="Calibri" w:cs="Times New Roman"/>
                <w:sz w:val="20"/>
                <w:szCs w:val="20"/>
              </w:rPr>
            </w:pPr>
            <w:r w:rsidRPr="007C705C">
              <w:rPr>
                <w:rFonts w:eastAsia="Calibri" w:cs="Times New Roman"/>
                <w:sz w:val="20"/>
                <w:szCs w:val="20"/>
              </w:rPr>
              <w:t xml:space="preserve">Tento faktor není ovlivnitelný </w:t>
            </w:r>
          </w:p>
          <w:p w14:paraId="509D45B1" w14:textId="77777777" w:rsidR="003E0F58" w:rsidRPr="007C705C" w:rsidRDefault="003E0F58" w:rsidP="00907F0D">
            <w:pPr>
              <w:spacing w:after="160" w:line="259" w:lineRule="auto"/>
              <w:jc w:val="left"/>
              <w:rPr>
                <w:rFonts w:eastAsia="Calibri" w:cs="Times New Roman"/>
                <w:sz w:val="20"/>
                <w:szCs w:val="20"/>
              </w:rPr>
            </w:pPr>
          </w:p>
          <w:p w14:paraId="3C8767D9" w14:textId="77777777" w:rsidR="003E0F58" w:rsidRPr="007C705C" w:rsidRDefault="003E0F58" w:rsidP="00907F0D">
            <w:pPr>
              <w:spacing w:after="160" w:line="259" w:lineRule="auto"/>
              <w:jc w:val="left"/>
              <w:rPr>
                <w:rFonts w:eastAsia="Calibri" w:cs="Times New Roman"/>
                <w:sz w:val="20"/>
                <w:szCs w:val="20"/>
              </w:rPr>
            </w:pPr>
          </w:p>
          <w:p w14:paraId="31A7D3CA" w14:textId="77777777" w:rsidR="003E0F58" w:rsidRPr="007C705C" w:rsidRDefault="003E0F58" w:rsidP="00907F0D">
            <w:pPr>
              <w:spacing w:after="160" w:line="259" w:lineRule="auto"/>
              <w:jc w:val="left"/>
              <w:rPr>
                <w:rFonts w:eastAsia="Calibri" w:cs="Times New Roman"/>
                <w:sz w:val="20"/>
                <w:szCs w:val="20"/>
              </w:rPr>
            </w:pPr>
          </w:p>
          <w:p w14:paraId="0E74ABB3" w14:textId="77777777" w:rsidR="003E0F58" w:rsidRPr="007C705C" w:rsidRDefault="003E0F58" w:rsidP="00907F0D">
            <w:pPr>
              <w:spacing w:after="160" w:line="259" w:lineRule="auto"/>
              <w:jc w:val="left"/>
              <w:rPr>
                <w:rFonts w:eastAsia="Calibri" w:cs="Times New Roman"/>
                <w:sz w:val="20"/>
                <w:szCs w:val="20"/>
              </w:rPr>
            </w:pPr>
            <w:r w:rsidRPr="007C705C">
              <w:rPr>
                <w:rFonts w:eastAsia="Calibri" w:cs="Times New Roman"/>
                <w:sz w:val="20"/>
                <w:szCs w:val="20"/>
              </w:rPr>
              <w:t>Neodstraňují odvodnění</w:t>
            </w:r>
          </w:p>
          <w:p w14:paraId="2CEBB829" w14:textId="77777777" w:rsidR="003E0F58" w:rsidRPr="007C705C" w:rsidRDefault="003E0F58" w:rsidP="00907F0D">
            <w:pPr>
              <w:spacing w:after="160" w:line="259" w:lineRule="auto"/>
              <w:jc w:val="left"/>
              <w:rPr>
                <w:rFonts w:eastAsia="Calibri" w:cs="Times New Roman"/>
                <w:sz w:val="20"/>
                <w:szCs w:val="20"/>
              </w:rPr>
            </w:pPr>
            <w:r w:rsidRPr="007C705C">
              <w:rPr>
                <w:rFonts w:eastAsia="Calibri" w:cs="Times New Roman"/>
                <w:sz w:val="20"/>
                <w:szCs w:val="20"/>
              </w:rPr>
              <w:t>Zanedbávají údržbu odvodnění</w:t>
            </w:r>
          </w:p>
          <w:p w14:paraId="6A04D755" w14:textId="77777777" w:rsidR="003E0F58" w:rsidRPr="007C705C" w:rsidRDefault="003E0F58" w:rsidP="00907F0D">
            <w:pPr>
              <w:spacing w:after="160" w:line="259" w:lineRule="auto"/>
              <w:jc w:val="left"/>
              <w:rPr>
                <w:rFonts w:eastAsia="Calibri" w:cs="Times New Roman"/>
                <w:sz w:val="20"/>
                <w:szCs w:val="20"/>
              </w:rPr>
            </w:pPr>
            <w:r w:rsidRPr="007C705C">
              <w:rPr>
                <w:rFonts w:eastAsia="Calibri" w:cs="Times New Roman"/>
                <w:sz w:val="20"/>
                <w:szCs w:val="20"/>
              </w:rPr>
              <w:t>Používají těžkou techniku</w:t>
            </w:r>
          </w:p>
          <w:p w14:paraId="56C5BAEF" w14:textId="77777777" w:rsidR="003E0F58" w:rsidRPr="007C705C" w:rsidRDefault="003E0F58" w:rsidP="00907F0D">
            <w:pPr>
              <w:spacing w:after="160" w:line="259" w:lineRule="auto"/>
              <w:jc w:val="left"/>
              <w:rPr>
                <w:rFonts w:eastAsia="Calibri" w:cs="Times New Roman"/>
                <w:sz w:val="20"/>
                <w:szCs w:val="20"/>
              </w:rPr>
            </w:pPr>
            <w:r w:rsidRPr="007C705C">
              <w:rPr>
                <w:rFonts w:eastAsia="Calibri" w:cs="Times New Roman"/>
                <w:sz w:val="20"/>
                <w:szCs w:val="20"/>
              </w:rPr>
              <w:t>Časté pojezdy</w:t>
            </w:r>
          </w:p>
          <w:p w14:paraId="7AA1419B" w14:textId="77777777" w:rsidR="003E0F58" w:rsidRPr="007C705C" w:rsidRDefault="003E0F58" w:rsidP="00907F0D">
            <w:pPr>
              <w:spacing w:after="160" w:line="259" w:lineRule="auto"/>
              <w:jc w:val="left"/>
              <w:rPr>
                <w:rFonts w:eastAsia="Calibri" w:cs="Times New Roman"/>
                <w:sz w:val="20"/>
                <w:szCs w:val="20"/>
              </w:rPr>
            </w:pPr>
            <w:r w:rsidRPr="007C705C">
              <w:rPr>
                <w:rFonts w:eastAsia="Calibri" w:cs="Times New Roman"/>
                <w:sz w:val="20"/>
                <w:szCs w:val="20"/>
              </w:rPr>
              <w:t>Chybí krajinné prvky</w:t>
            </w:r>
          </w:p>
          <w:p w14:paraId="175ECEE6" w14:textId="77777777" w:rsidR="003E0F58" w:rsidRPr="007C705C" w:rsidRDefault="003E0F58" w:rsidP="00907F0D">
            <w:pPr>
              <w:spacing w:after="160" w:line="259" w:lineRule="auto"/>
              <w:jc w:val="left"/>
              <w:rPr>
                <w:rFonts w:eastAsia="Calibri" w:cs="Times New Roman"/>
                <w:sz w:val="20"/>
                <w:szCs w:val="20"/>
              </w:rPr>
            </w:pPr>
            <w:r w:rsidRPr="007C705C">
              <w:rPr>
                <w:rFonts w:eastAsia="Calibri" w:cs="Times New Roman"/>
                <w:sz w:val="20"/>
                <w:szCs w:val="20"/>
              </w:rPr>
              <w:t>Nedostatek org. hmoty</w:t>
            </w:r>
          </w:p>
          <w:p w14:paraId="2B33FD23" w14:textId="77777777" w:rsidR="003E0F58" w:rsidRPr="007C705C" w:rsidRDefault="003E0F58" w:rsidP="00907F0D">
            <w:pPr>
              <w:spacing w:after="160" w:line="259" w:lineRule="auto"/>
              <w:jc w:val="left"/>
              <w:rPr>
                <w:rFonts w:eastAsia="Calibri" w:cs="Times New Roman"/>
                <w:sz w:val="20"/>
                <w:szCs w:val="20"/>
              </w:rPr>
            </w:pPr>
            <w:r w:rsidRPr="007C705C">
              <w:rPr>
                <w:rFonts w:eastAsia="Calibri" w:cs="Times New Roman"/>
                <w:sz w:val="20"/>
                <w:szCs w:val="20"/>
              </w:rPr>
              <w:t>Nevhodné osevní postupy</w:t>
            </w:r>
          </w:p>
          <w:p w14:paraId="0482E84F" w14:textId="77777777" w:rsidR="003E0F58" w:rsidRPr="007C705C" w:rsidRDefault="003E0F58" w:rsidP="00907F0D">
            <w:pPr>
              <w:jc w:val="left"/>
              <w:rPr>
                <w:rFonts w:eastAsia="Calibri" w:cs="Times New Roman"/>
                <w:sz w:val="20"/>
                <w:szCs w:val="20"/>
              </w:rPr>
            </w:pPr>
            <w:r w:rsidRPr="007C705C">
              <w:rPr>
                <w:rFonts w:eastAsia="Calibri" w:cs="Times New Roman"/>
                <w:sz w:val="20"/>
                <w:szCs w:val="20"/>
              </w:rPr>
              <w:t>Nepěstují pícniny</w:t>
            </w:r>
          </w:p>
        </w:tc>
        <w:tc>
          <w:tcPr>
            <w:tcW w:w="1701" w:type="dxa"/>
          </w:tcPr>
          <w:p w14:paraId="2D16C1D8" w14:textId="77777777" w:rsidR="003E0F58" w:rsidRPr="007C705C" w:rsidRDefault="003E0F58" w:rsidP="00907F0D">
            <w:pPr>
              <w:jc w:val="left"/>
              <w:rPr>
                <w:rFonts w:eastAsia="Calibri" w:cs="Times New Roman"/>
                <w:sz w:val="20"/>
                <w:szCs w:val="20"/>
              </w:rPr>
            </w:pPr>
            <w:r w:rsidRPr="007C705C">
              <w:rPr>
                <w:rFonts w:eastAsia="Calibri" w:cs="Times New Roman"/>
                <w:sz w:val="20"/>
                <w:szCs w:val="20"/>
              </w:rPr>
              <w:t>Zvýšit zásoby vody v půdě</w:t>
            </w:r>
          </w:p>
          <w:p w14:paraId="5D173636" w14:textId="77777777" w:rsidR="003E0F58" w:rsidRPr="007C705C" w:rsidRDefault="003E0F58" w:rsidP="00907F0D">
            <w:pPr>
              <w:jc w:val="left"/>
              <w:rPr>
                <w:rFonts w:eastAsia="Calibri" w:cs="Times New Roman"/>
                <w:sz w:val="20"/>
                <w:szCs w:val="20"/>
              </w:rPr>
            </w:pPr>
          </w:p>
          <w:p w14:paraId="5E879F0A" w14:textId="77777777" w:rsidR="003E0F58" w:rsidRPr="007C705C" w:rsidRDefault="003E0F58" w:rsidP="00907F0D">
            <w:pPr>
              <w:jc w:val="left"/>
              <w:rPr>
                <w:rFonts w:eastAsia="Calibri" w:cs="Times New Roman"/>
                <w:sz w:val="20"/>
                <w:szCs w:val="20"/>
              </w:rPr>
            </w:pPr>
            <w:r w:rsidRPr="007C705C">
              <w:rPr>
                <w:rFonts w:eastAsia="Calibri" w:cs="Times New Roman"/>
                <w:sz w:val="20"/>
                <w:szCs w:val="20"/>
              </w:rPr>
              <w:t>Více org. hmoty do půdy</w:t>
            </w:r>
          </w:p>
          <w:p w14:paraId="13ED3247" w14:textId="77777777" w:rsidR="003E0F58" w:rsidRPr="007C705C" w:rsidRDefault="003E0F58" w:rsidP="00907F0D">
            <w:pPr>
              <w:jc w:val="left"/>
              <w:rPr>
                <w:rFonts w:eastAsia="Calibri" w:cs="Times New Roman"/>
                <w:sz w:val="20"/>
                <w:szCs w:val="20"/>
              </w:rPr>
            </w:pPr>
          </w:p>
          <w:p w14:paraId="0DAE9A00" w14:textId="77777777" w:rsidR="003E0F58" w:rsidRPr="007C705C" w:rsidRDefault="003E0F58" w:rsidP="00907F0D">
            <w:pPr>
              <w:jc w:val="left"/>
              <w:rPr>
                <w:rFonts w:eastAsia="Calibri" w:cs="Times New Roman"/>
                <w:sz w:val="20"/>
                <w:szCs w:val="20"/>
              </w:rPr>
            </w:pPr>
            <w:r w:rsidRPr="007C705C">
              <w:rPr>
                <w:rFonts w:eastAsia="Calibri" w:cs="Times New Roman"/>
                <w:sz w:val="20"/>
                <w:szCs w:val="20"/>
              </w:rPr>
              <w:t>Více meziplodin</w:t>
            </w:r>
          </w:p>
          <w:p w14:paraId="7E569B0F" w14:textId="77777777" w:rsidR="003E0F58" w:rsidRPr="007C705C" w:rsidRDefault="003E0F58" w:rsidP="00907F0D">
            <w:pPr>
              <w:jc w:val="left"/>
              <w:rPr>
                <w:rFonts w:eastAsia="Calibri" w:cs="Times New Roman"/>
                <w:sz w:val="20"/>
                <w:szCs w:val="20"/>
              </w:rPr>
            </w:pPr>
          </w:p>
        </w:tc>
        <w:tc>
          <w:tcPr>
            <w:tcW w:w="1275" w:type="dxa"/>
          </w:tcPr>
          <w:p w14:paraId="5B877CF8" w14:textId="77777777" w:rsidR="003E0F58" w:rsidRPr="007C705C" w:rsidRDefault="003E0F58" w:rsidP="00907F0D">
            <w:pPr>
              <w:jc w:val="left"/>
              <w:rPr>
                <w:rFonts w:eastAsia="Calibri" w:cs="Times New Roman"/>
                <w:sz w:val="20"/>
                <w:szCs w:val="20"/>
              </w:rPr>
            </w:pPr>
            <w:r w:rsidRPr="007C705C">
              <w:rPr>
                <w:rFonts w:eastAsia="Calibri" w:cs="Times New Roman"/>
                <w:sz w:val="20"/>
                <w:szCs w:val="20"/>
              </w:rPr>
              <w:t xml:space="preserve">DZES </w:t>
            </w:r>
          </w:p>
          <w:p w14:paraId="77D20CEF" w14:textId="77777777" w:rsidR="003E0F58" w:rsidRPr="007C705C" w:rsidRDefault="003E0F58" w:rsidP="00907F0D">
            <w:pPr>
              <w:jc w:val="left"/>
              <w:rPr>
                <w:rFonts w:eastAsia="Calibri" w:cs="Times New Roman"/>
                <w:sz w:val="20"/>
                <w:szCs w:val="20"/>
              </w:rPr>
            </w:pPr>
          </w:p>
          <w:p w14:paraId="50471AAB" w14:textId="77777777" w:rsidR="003E0F58" w:rsidRPr="007C705C" w:rsidRDefault="003E0F58" w:rsidP="00907F0D">
            <w:pPr>
              <w:jc w:val="left"/>
              <w:rPr>
                <w:rFonts w:eastAsia="Calibri" w:cs="Times New Roman"/>
                <w:sz w:val="20"/>
                <w:szCs w:val="20"/>
              </w:rPr>
            </w:pPr>
            <w:r w:rsidRPr="007C705C">
              <w:rPr>
                <w:rFonts w:eastAsia="Calibri" w:cs="Times New Roman"/>
                <w:sz w:val="20"/>
                <w:szCs w:val="20"/>
              </w:rPr>
              <w:t>Meziplodiny</w:t>
            </w:r>
          </w:p>
          <w:p w14:paraId="52D6F70C" w14:textId="77777777" w:rsidR="003E0F58" w:rsidRPr="007C705C" w:rsidRDefault="003E0F58" w:rsidP="00907F0D">
            <w:pPr>
              <w:jc w:val="left"/>
              <w:rPr>
                <w:rFonts w:eastAsia="Calibri" w:cs="Times New Roman"/>
                <w:sz w:val="20"/>
                <w:szCs w:val="20"/>
              </w:rPr>
            </w:pPr>
          </w:p>
          <w:p w14:paraId="1BD07AE7" w14:textId="77777777" w:rsidR="003E0F58" w:rsidRPr="007C705C" w:rsidRDefault="003E0F58" w:rsidP="00907F0D">
            <w:pPr>
              <w:jc w:val="left"/>
              <w:rPr>
                <w:rFonts w:eastAsia="Calibri" w:cs="Times New Roman"/>
                <w:sz w:val="20"/>
                <w:szCs w:val="20"/>
              </w:rPr>
            </w:pPr>
            <w:r w:rsidRPr="007C705C">
              <w:rPr>
                <w:rFonts w:eastAsia="Calibri" w:cs="Times New Roman"/>
                <w:sz w:val="20"/>
                <w:szCs w:val="20"/>
              </w:rPr>
              <w:t>Zatravňování</w:t>
            </w:r>
          </w:p>
          <w:p w14:paraId="2807A6D8" w14:textId="77777777" w:rsidR="003E0F58" w:rsidRPr="007C705C" w:rsidRDefault="003E0F58" w:rsidP="00907F0D">
            <w:pPr>
              <w:jc w:val="left"/>
              <w:rPr>
                <w:rFonts w:eastAsia="Calibri" w:cs="Times New Roman"/>
                <w:sz w:val="20"/>
                <w:szCs w:val="20"/>
              </w:rPr>
            </w:pPr>
          </w:p>
          <w:p w14:paraId="4898656A" w14:textId="77777777" w:rsidR="003E0F58" w:rsidRPr="007C705C" w:rsidRDefault="003E0F58" w:rsidP="00907F0D">
            <w:pPr>
              <w:jc w:val="left"/>
              <w:rPr>
                <w:rFonts w:eastAsia="Calibri" w:cs="Times New Roman"/>
                <w:sz w:val="20"/>
                <w:szCs w:val="20"/>
              </w:rPr>
            </w:pPr>
            <w:r w:rsidRPr="007C705C">
              <w:rPr>
                <w:rFonts w:eastAsia="Calibri" w:cs="Times New Roman"/>
                <w:sz w:val="20"/>
                <w:szCs w:val="20"/>
              </w:rPr>
              <w:t>Zalesňování</w:t>
            </w:r>
          </w:p>
          <w:p w14:paraId="19776F26" w14:textId="77777777" w:rsidR="003E0F58" w:rsidRPr="007C705C" w:rsidRDefault="003E0F58" w:rsidP="00907F0D">
            <w:pPr>
              <w:jc w:val="left"/>
              <w:rPr>
                <w:rFonts w:eastAsia="Calibri" w:cs="Times New Roman"/>
                <w:sz w:val="20"/>
                <w:szCs w:val="20"/>
              </w:rPr>
            </w:pPr>
          </w:p>
          <w:p w14:paraId="15EFBDE7" w14:textId="77777777" w:rsidR="003E0F58" w:rsidRPr="007C705C" w:rsidRDefault="003E0F58" w:rsidP="00907F0D">
            <w:pPr>
              <w:jc w:val="left"/>
              <w:rPr>
                <w:rFonts w:eastAsia="Calibri" w:cs="Times New Roman"/>
                <w:sz w:val="20"/>
                <w:szCs w:val="20"/>
              </w:rPr>
            </w:pPr>
            <w:r w:rsidRPr="007C705C">
              <w:rPr>
                <w:rFonts w:eastAsia="Calibri" w:cs="Times New Roman"/>
                <w:sz w:val="20"/>
                <w:szCs w:val="20"/>
              </w:rPr>
              <w:t>Závlahy</w:t>
            </w:r>
          </w:p>
          <w:p w14:paraId="29550A21" w14:textId="77777777" w:rsidR="003E0F58" w:rsidRPr="007C705C" w:rsidRDefault="003E0F58" w:rsidP="00907F0D">
            <w:pPr>
              <w:jc w:val="left"/>
              <w:rPr>
                <w:rFonts w:eastAsia="Calibri" w:cs="Times New Roman"/>
                <w:sz w:val="20"/>
                <w:szCs w:val="20"/>
              </w:rPr>
            </w:pPr>
          </w:p>
          <w:p w14:paraId="3E726B35" w14:textId="77777777" w:rsidR="003E0F58" w:rsidRPr="007C705C" w:rsidRDefault="003E0F58" w:rsidP="00907F0D">
            <w:pPr>
              <w:jc w:val="left"/>
              <w:rPr>
                <w:rFonts w:eastAsia="Calibri" w:cs="Times New Roman"/>
                <w:sz w:val="20"/>
                <w:szCs w:val="20"/>
              </w:rPr>
            </w:pPr>
            <w:r w:rsidRPr="007C705C">
              <w:rPr>
                <w:rFonts w:eastAsia="Calibri" w:cs="Times New Roman"/>
                <w:sz w:val="20"/>
                <w:szCs w:val="20"/>
              </w:rPr>
              <w:tab/>
            </w:r>
          </w:p>
        </w:tc>
        <w:tc>
          <w:tcPr>
            <w:tcW w:w="1134" w:type="dxa"/>
          </w:tcPr>
          <w:p w14:paraId="46879437" w14:textId="77777777" w:rsidR="003E0F58" w:rsidRPr="007C705C" w:rsidRDefault="003E0F58" w:rsidP="00907F0D">
            <w:pPr>
              <w:jc w:val="left"/>
              <w:rPr>
                <w:rFonts w:eastAsia="Calibri" w:cs="Times New Roman"/>
                <w:sz w:val="20"/>
                <w:szCs w:val="20"/>
              </w:rPr>
            </w:pPr>
          </w:p>
          <w:p w14:paraId="5A4DD227" w14:textId="77777777" w:rsidR="003E0F58" w:rsidRPr="007C705C" w:rsidRDefault="003E0F58" w:rsidP="00907F0D">
            <w:pPr>
              <w:jc w:val="left"/>
              <w:rPr>
                <w:rFonts w:eastAsia="Calibri" w:cs="Times New Roman"/>
                <w:sz w:val="20"/>
                <w:szCs w:val="20"/>
              </w:rPr>
            </w:pPr>
            <w:r w:rsidRPr="007C705C">
              <w:rPr>
                <w:rFonts w:eastAsia="Calibri" w:cs="Times New Roman"/>
                <w:sz w:val="20"/>
                <w:szCs w:val="20"/>
              </w:rPr>
              <w:t xml:space="preserve">Ekorežimy </w:t>
            </w:r>
          </w:p>
          <w:p w14:paraId="768409A4" w14:textId="77777777" w:rsidR="003E0F58" w:rsidRPr="007C705C" w:rsidRDefault="003E0F58" w:rsidP="00907F0D">
            <w:pPr>
              <w:jc w:val="left"/>
              <w:rPr>
                <w:rFonts w:eastAsia="Calibri" w:cs="Times New Roman"/>
                <w:sz w:val="20"/>
                <w:szCs w:val="20"/>
              </w:rPr>
            </w:pPr>
          </w:p>
          <w:p w14:paraId="4272D2DC" w14:textId="77777777" w:rsidR="003E0F58" w:rsidRPr="007C705C" w:rsidRDefault="003E0F58" w:rsidP="00907F0D">
            <w:pPr>
              <w:jc w:val="left"/>
              <w:rPr>
                <w:rFonts w:eastAsia="Calibri" w:cs="Times New Roman"/>
                <w:sz w:val="20"/>
                <w:szCs w:val="20"/>
              </w:rPr>
            </w:pPr>
            <w:r w:rsidRPr="007C705C">
              <w:rPr>
                <w:rFonts w:eastAsia="Calibri" w:cs="Times New Roman"/>
                <w:sz w:val="20"/>
                <w:szCs w:val="20"/>
              </w:rPr>
              <w:t>AEKO</w:t>
            </w:r>
          </w:p>
          <w:p w14:paraId="4A102C8B" w14:textId="77777777" w:rsidR="003E0F58" w:rsidRPr="007C705C" w:rsidRDefault="003E0F58" w:rsidP="00907F0D">
            <w:pPr>
              <w:jc w:val="left"/>
              <w:rPr>
                <w:rFonts w:eastAsia="Calibri" w:cs="Times New Roman"/>
                <w:sz w:val="20"/>
                <w:szCs w:val="20"/>
              </w:rPr>
            </w:pPr>
          </w:p>
          <w:p w14:paraId="6989BC8A" w14:textId="77777777" w:rsidR="003E0F58" w:rsidRPr="007C705C" w:rsidRDefault="003E0F58" w:rsidP="00907F0D">
            <w:pPr>
              <w:jc w:val="left"/>
              <w:rPr>
                <w:rFonts w:eastAsia="Calibri" w:cs="Times New Roman"/>
                <w:sz w:val="20"/>
                <w:szCs w:val="20"/>
              </w:rPr>
            </w:pPr>
            <w:r w:rsidRPr="007C705C">
              <w:rPr>
                <w:rFonts w:eastAsia="Calibri" w:cs="Times New Roman"/>
                <w:sz w:val="20"/>
                <w:szCs w:val="20"/>
              </w:rPr>
              <w:t>Investice do lesních oblastí a lesů</w:t>
            </w:r>
          </w:p>
          <w:p w14:paraId="6412F77C" w14:textId="77777777" w:rsidR="003E0F58" w:rsidRPr="007C705C" w:rsidRDefault="003E0F58" w:rsidP="00907F0D">
            <w:pPr>
              <w:jc w:val="left"/>
              <w:rPr>
                <w:rFonts w:eastAsia="Calibri" w:cs="Times New Roman"/>
                <w:sz w:val="20"/>
                <w:szCs w:val="20"/>
              </w:rPr>
            </w:pPr>
          </w:p>
          <w:p w14:paraId="46AD4BD4" w14:textId="77777777" w:rsidR="003E0F58" w:rsidRPr="007C705C" w:rsidRDefault="003E0F58" w:rsidP="00907F0D">
            <w:pPr>
              <w:jc w:val="left"/>
              <w:rPr>
                <w:rFonts w:eastAsia="Calibri" w:cs="Times New Roman"/>
                <w:sz w:val="20"/>
                <w:szCs w:val="20"/>
              </w:rPr>
            </w:pPr>
            <w:r w:rsidRPr="007C705C">
              <w:rPr>
                <w:rFonts w:eastAsia="Calibri" w:cs="Times New Roman"/>
                <w:sz w:val="20"/>
                <w:szCs w:val="20"/>
              </w:rPr>
              <w:t>Investice do majetku</w:t>
            </w:r>
          </w:p>
          <w:p w14:paraId="0142E08E" w14:textId="77777777" w:rsidR="003E0F58" w:rsidRPr="007C705C" w:rsidRDefault="003E0F58" w:rsidP="00907F0D">
            <w:pPr>
              <w:jc w:val="left"/>
              <w:rPr>
                <w:rFonts w:eastAsia="Calibri" w:cs="Times New Roman"/>
                <w:sz w:val="20"/>
                <w:szCs w:val="20"/>
              </w:rPr>
            </w:pPr>
          </w:p>
          <w:p w14:paraId="7DAD6792" w14:textId="77777777" w:rsidR="003E0F58" w:rsidRPr="007C705C" w:rsidRDefault="003E0F58" w:rsidP="00907F0D">
            <w:pPr>
              <w:jc w:val="left"/>
              <w:rPr>
                <w:rFonts w:eastAsia="Calibri" w:cs="Times New Roman"/>
                <w:sz w:val="20"/>
                <w:szCs w:val="20"/>
              </w:rPr>
            </w:pPr>
          </w:p>
        </w:tc>
      </w:tr>
    </w:tbl>
    <w:p w14:paraId="679C564A" w14:textId="77777777" w:rsidR="00907F0D" w:rsidRPr="007C705C" w:rsidRDefault="00907F0D" w:rsidP="003E0F58">
      <w:pPr>
        <w:rPr>
          <w:rFonts w:eastAsiaTheme="minorEastAsia" w:cs="Times New Roman"/>
          <w:lang w:val="cs-CZ"/>
        </w:rPr>
      </w:pPr>
    </w:p>
    <w:p w14:paraId="306A60BB" w14:textId="77777777" w:rsidR="003E0F58" w:rsidRPr="007C705C" w:rsidRDefault="003E0F58" w:rsidP="00907F0D">
      <w:pPr>
        <w:pStyle w:val="UZEIZdroj"/>
      </w:pPr>
      <w:r w:rsidRPr="007C705C">
        <w:rPr>
          <w:b/>
          <w:color w:val="FF0000"/>
        </w:rPr>
        <w:t>Červeně/tučně</w:t>
      </w:r>
      <w:r w:rsidRPr="007C705C">
        <w:rPr>
          <w:color w:val="FF0000"/>
        </w:rPr>
        <w:t xml:space="preserve"> </w:t>
      </w:r>
      <w:r w:rsidRPr="007C705C">
        <w:t>= mimo dosah zemědělce – příčinu nemůže změnit, ani SZP nemá nástroje na řešení</w:t>
      </w:r>
    </w:p>
    <w:p w14:paraId="7C0DBDEF" w14:textId="77777777" w:rsidR="003E0F58" w:rsidRPr="007C705C" w:rsidRDefault="003E0F58" w:rsidP="00907F0D">
      <w:pPr>
        <w:pStyle w:val="UZEIZdroj"/>
      </w:pPr>
      <w:r w:rsidRPr="007C705C">
        <w:rPr>
          <w:b/>
          <w:color w:val="7030A0"/>
        </w:rPr>
        <w:t>Fialově/tučně</w:t>
      </w:r>
      <w:r w:rsidRPr="007C705C">
        <w:rPr>
          <w:color w:val="7030A0"/>
        </w:rPr>
        <w:t xml:space="preserve"> </w:t>
      </w:r>
      <w:r w:rsidRPr="007C705C">
        <w:t>= může ovlivnit jen do jisté míry</w:t>
      </w:r>
    </w:p>
    <w:p w14:paraId="703521C0" w14:textId="3B30EEC9" w:rsidR="003E0F58" w:rsidRPr="00907F0D" w:rsidRDefault="003E0F58" w:rsidP="00907F0D">
      <w:pPr>
        <w:pStyle w:val="UZEIZdroj"/>
        <w:rPr>
          <w:rFonts w:eastAsiaTheme="minorEastAsia"/>
        </w:rPr>
      </w:pPr>
      <w:r w:rsidRPr="007C705C">
        <w:t>Zdroj: Pracovní skupina Klima, 201</w:t>
      </w:r>
      <w:r w:rsidR="00907F0D">
        <w:t>8</w:t>
      </w:r>
    </w:p>
    <w:p w14:paraId="415CA834" w14:textId="77777777" w:rsidR="003E0F58" w:rsidRPr="007C705C" w:rsidRDefault="003E0F58" w:rsidP="008A1AE3">
      <w:pPr>
        <w:pStyle w:val="Odstavecseseznamem"/>
        <w:numPr>
          <w:ilvl w:val="0"/>
          <w:numId w:val="18"/>
        </w:numPr>
        <w:spacing w:before="60" w:line="360" w:lineRule="atLeast"/>
        <w:rPr>
          <w:rFonts w:eastAsiaTheme="minorEastAsia"/>
          <w:b/>
          <w:bCs/>
        </w:rPr>
      </w:pPr>
      <w:r w:rsidRPr="007C705C">
        <w:rPr>
          <w:rFonts w:eastAsiaTheme="minorEastAsia"/>
          <w:b/>
          <w:bCs/>
        </w:rPr>
        <w:t>Vysoké emise GHG a NH</w:t>
      </w:r>
      <w:r w:rsidRPr="0006094E">
        <w:rPr>
          <w:rFonts w:eastAsiaTheme="minorEastAsia"/>
          <w:b/>
          <w:bCs/>
          <w:vertAlign w:val="subscript"/>
        </w:rPr>
        <w:t>3</w:t>
      </w:r>
      <w:r w:rsidRPr="007C705C">
        <w:rPr>
          <w:rFonts w:eastAsiaTheme="minorEastAsia"/>
          <w:b/>
          <w:bCs/>
        </w:rPr>
        <w:t xml:space="preserve"> ze zemědělství</w:t>
      </w:r>
    </w:p>
    <w:p w14:paraId="1AADAAA2" w14:textId="557A27BE" w:rsidR="003E0F58" w:rsidRPr="007C705C" w:rsidRDefault="003E0F58" w:rsidP="00154F16">
      <w:pPr>
        <w:pStyle w:val="UZEIOdrky"/>
        <w:rPr>
          <w:rFonts w:eastAsiaTheme="minorEastAsia"/>
        </w:rPr>
      </w:pPr>
      <w:r w:rsidRPr="007C705C">
        <w:rPr>
          <w:rFonts w:eastAsiaTheme="minorEastAsia"/>
        </w:rPr>
        <w:t>Vysoké emise CO</w:t>
      </w:r>
      <w:r w:rsidRPr="007C705C">
        <w:rPr>
          <w:rFonts w:eastAsiaTheme="minorEastAsia"/>
          <w:vertAlign w:val="subscript"/>
        </w:rPr>
        <w:t>2</w:t>
      </w:r>
      <w:r w:rsidRPr="007C705C">
        <w:rPr>
          <w:rFonts w:eastAsiaTheme="minorEastAsia"/>
        </w:rPr>
        <w:t>, NO</w:t>
      </w:r>
      <w:r w:rsidRPr="007C705C">
        <w:rPr>
          <w:rFonts w:eastAsiaTheme="minorEastAsia"/>
          <w:vertAlign w:val="subscript"/>
        </w:rPr>
        <w:t>x</w:t>
      </w:r>
      <w:r w:rsidRPr="007C705C">
        <w:rPr>
          <w:rFonts w:eastAsiaTheme="minorEastAsia"/>
        </w:rPr>
        <w:t>, CH</w:t>
      </w:r>
      <w:r w:rsidRPr="007C705C">
        <w:rPr>
          <w:rFonts w:eastAsiaTheme="minorEastAsia"/>
          <w:vertAlign w:val="subscript"/>
        </w:rPr>
        <w:t>4</w:t>
      </w:r>
      <w:r w:rsidRPr="007C705C">
        <w:rPr>
          <w:rFonts w:eastAsiaTheme="minorEastAsia"/>
        </w:rPr>
        <w:t>, NH</w:t>
      </w:r>
      <w:r w:rsidRPr="007C705C">
        <w:rPr>
          <w:rFonts w:eastAsiaTheme="minorEastAsia"/>
          <w:vertAlign w:val="subscript"/>
        </w:rPr>
        <w:t>3</w:t>
      </w:r>
      <w:r w:rsidRPr="007C705C">
        <w:rPr>
          <w:rFonts w:eastAsiaTheme="minorEastAsia"/>
        </w:rPr>
        <w:t xml:space="preserve"> ze zemědělské půdy</w:t>
      </w:r>
    </w:p>
    <w:p w14:paraId="61C3B16C" w14:textId="77777777" w:rsidR="00797E29" w:rsidRPr="00B96B9F" w:rsidRDefault="00797E29" w:rsidP="0006094E">
      <w:pPr>
        <w:pStyle w:val="UZEIOdrky"/>
        <w:numPr>
          <w:ilvl w:val="0"/>
          <w:numId w:val="0"/>
        </w:numPr>
        <w:rPr>
          <w:b/>
          <w:sz w:val="19"/>
          <w:szCs w:val="19"/>
        </w:rPr>
      </w:pPr>
      <w:r w:rsidRPr="00B96B9F">
        <w:t>Sektor zemědělství má největší potenciál v oblasti skladování a aplikace statkových a minerálních hnojiv a dále v oblasti chovů hospodářských zvířat, kde lze využít emisně příznivější způsoby chovů a technologie ke snižování emisí.</w:t>
      </w:r>
    </w:p>
    <w:p w14:paraId="1377D73B" w14:textId="77777777" w:rsidR="003E0F58" w:rsidRPr="007C705C" w:rsidRDefault="003E0F58" w:rsidP="00154F16">
      <w:pPr>
        <w:pStyle w:val="UZEINormaln"/>
        <w:rPr>
          <w:rFonts w:eastAsiaTheme="minorEastAsia"/>
        </w:rPr>
      </w:pPr>
      <w:r w:rsidRPr="007C705C">
        <w:rPr>
          <w:rFonts w:eastAsiaTheme="minorEastAsia"/>
        </w:rPr>
        <w:t xml:space="preserve">Efektivní řešení problému emisí oxidu dusného musí být založeno na zvýšení efektivity využití dusíku v zemědělské výrobě a snížení celkových dávek dusíku aplikovaných především ve </w:t>
      </w:r>
      <w:r w:rsidRPr="007C705C">
        <w:rPr>
          <w:rFonts w:eastAsiaTheme="minorEastAsia"/>
        </w:rPr>
        <w:lastRenderedPageBreak/>
        <w:t xml:space="preserve">formě minerálních hnojiv. U plodin, kde dochází k aplikaci vysokých dávek (pšenice ozimá, řepka ozimá, kukuřice), by mělo být cílem snížit maximální dávky cca o 25 %. Tohoto cíle lze dosáhnout podporou služeb poskytujících kvalifikované rozhodování pro podporu výživy na lokálně specifickém principu a podpora nákupu techniky umožňující variabilní aplikace hnojiv. Alternativou k těmto opatřením patří podpora ekologického zemědělství. K dílčím opařením patří pěstování meziplodin s nízkým podílem leguminóz a redukované zpracování půdy (bezorebné setí). </w:t>
      </w:r>
    </w:p>
    <w:p w14:paraId="7788A5C2" w14:textId="4AFF4DBD" w:rsidR="003E0F58" w:rsidRDefault="003E0F58" w:rsidP="00154F16">
      <w:pPr>
        <w:pStyle w:val="UZEINormaln"/>
        <w:rPr>
          <w:rFonts w:eastAsiaTheme="minorEastAsia"/>
        </w:rPr>
      </w:pPr>
    </w:p>
    <w:p w14:paraId="3F563336" w14:textId="77777777" w:rsidR="00154F16" w:rsidRPr="007C705C" w:rsidRDefault="00154F16" w:rsidP="00154F16">
      <w:pPr>
        <w:pStyle w:val="UZEINormaln"/>
        <w:rPr>
          <w:rFonts w:eastAsiaTheme="minorEastAsia"/>
        </w:rPr>
      </w:pPr>
    </w:p>
    <w:p w14:paraId="504BED93" w14:textId="3C1349B4" w:rsidR="003E0F58" w:rsidRPr="007C705C" w:rsidRDefault="00154F16" w:rsidP="00154F16">
      <w:pPr>
        <w:pStyle w:val="UZEITaB"/>
      </w:pPr>
      <w:bookmarkStart w:id="375" w:name="_Toc77245848"/>
      <w:r>
        <w:t xml:space="preserve"> </w:t>
      </w:r>
      <w:bookmarkStart w:id="376" w:name="_Toc94181612"/>
      <w:r w:rsidR="003E0F58" w:rsidRPr="007C705C">
        <w:t>Možnosti efektivního řešení problému v rámci nástrojů SZP - Vysoké emise CO</w:t>
      </w:r>
      <w:r w:rsidR="003E0F58" w:rsidRPr="007C705C">
        <w:rPr>
          <w:vertAlign w:val="subscript"/>
        </w:rPr>
        <w:t>2</w:t>
      </w:r>
      <w:r w:rsidR="003E0F58" w:rsidRPr="007C705C">
        <w:t>, NO</w:t>
      </w:r>
      <w:r w:rsidR="003E0F58" w:rsidRPr="007C705C">
        <w:rPr>
          <w:vertAlign w:val="subscript"/>
        </w:rPr>
        <w:t>x</w:t>
      </w:r>
      <w:r w:rsidR="003E0F58" w:rsidRPr="007C705C">
        <w:t>, CH</w:t>
      </w:r>
      <w:r w:rsidR="003E0F58" w:rsidRPr="007C705C">
        <w:rPr>
          <w:vertAlign w:val="subscript"/>
        </w:rPr>
        <w:t>4</w:t>
      </w:r>
      <w:r w:rsidR="003E0F58" w:rsidRPr="007C705C">
        <w:t>, NH</w:t>
      </w:r>
      <w:r w:rsidR="003E0F58" w:rsidRPr="007C705C">
        <w:rPr>
          <w:vertAlign w:val="subscript"/>
        </w:rPr>
        <w:t>3</w:t>
      </w:r>
      <w:r w:rsidR="003E0F58" w:rsidRPr="007C705C">
        <w:t xml:space="preserve"> ze zemědělské půdy</w:t>
      </w:r>
      <w:bookmarkEnd w:id="375"/>
      <w:bookmarkEnd w:id="376"/>
    </w:p>
    <w:tbl>
      <w:tblPr>
        <w:tblStyle w:val="Mkatabulky2"/>
        <w:tblpPr w:leftFromText="141" w:rightFromText="141" w:vertAnchor="text" w:horzAnchor="margin" w:tblpY="219"/>
        <w:tblW w:w="9634" w:type="dxa"/>
        <w:tblLayout w:type="fixed"/>
        <w:tblLook w:val="04A0" w:firstRow="1" w:lastRow="0" w:firstColumn="1" w:lastColumn="0" w:noHBand="0" w:noVBand="1"/>
      </w:tblPr>
      <w:tblGrid>
        <w:gridCol w:w="1384"/>
        <w:gridCol w:w="1418"/>
        <w:gridCol w:w="2013"/>
        <w:gridCol w:w="1956"/>
        <w:gridCol w:w="1446"/>
        <w:gridCol w:w="1417"/>
      </w:tblGrid>
      <w:tr w:rsidR="003E0F58" w:rsidRPr="007C705C" w14:paraId="1B3EE85E" w14:textId="77777777" w:rsidTr="002D3D3A">
        <w:tc>
          <w:tcPr>
            <w:tcW w:w="1384" w:type="dxa"/>
            <w:shd w:val="clear" w:color="auto" w:fill="E7E6E6" w:themeFill="background2"/>
          </w:tcPr>
          <w:p w14:paraId="0BE6020A"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Problém</w:t>
            </w:r>
          </w:p>
        </w:tc>
        <w:tc>
          <w:tcPr>
            <w:tcW w:w="1418" w:type="dxa"/>
            <w:shd w:val="clear" w:color="auto" w:fill="E7E6E6" w:themeFill="background2"/>
          </w:tcPr>
          <w:p w14:paraId="11E8E0C0"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Příčiny</w:t>
            </w:r>
          </w:p>
        </w:tc>
        <w:tc>
          <w:tcPr>
            <w:tcW w:w="2013" w:type="dxa"/>
            <w:shd w:val="clear" w:color="auto" w:fill="E7E6E6" w:themeFill="background2"/>
          </w:tcPr>
          <w:p w14:paraId="2E02D22F"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Převládající chování/reakce zemědělců</w:t>
            </w:r>
          </w:p>
        </w:tc>
        <w:tc>
          <w:tcPr>
            <w:tcW w:w="1956" w:type="dxa"/>
            <w:shd w:val="clear" w:color="auto" w:fill="E7E6E6" w:themeFill="background2"/>
          </w:tcPr>
          <w:p w14:paraId="3D4623E6"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Nutná změna</w:t>
            </w:r>
          </w:p>
        </w:tc>
        <w:tc>
          <w:tcPr>
            <w:tcW w:w="1446" w:type="dxa"/>
            <w:shd w:val="clear" w:color="auto" w:fill="E7E6E6" w:themeFill="background2"/>
          </w:tcPr>
          <w:p w14:paraId="46DC0BB1"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Prvek intervence</w:t>
            </w:r>
          </w:p>
        </w:tc>
        <w:tc>
          <w:tcPr>
            <w:tcW w:w="1417" w:type="dxa"/>
            <w:shd w:val="clear" w:color="auto" w:fill="E7E6E6" w:themeFill="background2"/>
          </w:tcPr>
          <w:p w14:paraId="02B956AD"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Intervence</w:t>
            </w:r>
          </w:p>
        </w:tc>
      </w:tr>
      <w:tr w:rsidR="003E0F58" w:rsidRPr="007C705C" w14:paraId="5F2909CE" w14:textId="77777777" w:rsidTr="002D3D3A">
        <w:tc>
          <w:tcPr>
            <w:tcW w:w="1384" w:type="dxa"/>
          </w:tcPr>
          <w:p w14:paraId="5765167F"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Vysoké emise CO2, NOx, CH4, NH4 ze zemědělské půdy</w:t>
            </w:r>
          </w:p>
        </w:tc>
        <w:tc>
          <w:tcPr>
            <w:tcW w:w="1418" w:type="dxa"/>
          </w:tcPr>
          <w:p w14:paraId="5C1CE764"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Vysoké dávky „N“</w:t>
            </w:r>
          </w:p>
          <w:p w14:paraId="5BE5DEB0" w14:textId="77777777" w:rsidR="003E0F58" w:rsidRPr="007C705C" w:rsidRDefault="003E0F58" w:rsidP="004D2249">
            <w:pPr>
              <w:jc w:val="left"/>
              <w:rPr>
                <w:rFonts w:eastAsia="Calibri" w:cs="Times New Roman"/>
                <w:sz w:val="20"/>
                <w:szCs w:val="20"/>
              </w:rPr>
            </w:pPr>
          </w:p>
          <w:p w14:paraId="1C9CED57"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Chybí technologie</w:t>
            </w:r>
          </w:p>
        </w:tc>
        <w:tc>
          <w:tcPr>
            <w:tcW w:w="2013" w:type="dxa"/>
          </w:tcPr>
          <w:p w14:paraId="4B49EF8E"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Přehnojují</w:t>
            </w:r>
          </w:p>
          <w:p w14:paraId="6E780954" w14:textId="77777777" w:rsidR="003E0F58" w:rsidRPr="007C705C" w:rsidRDefault="003E0F58" w:rsidP="004D2249">
            <w:pPr>
              <w:jc w:val="left"/>
              <w:rPr>
                <w:rFonts w:eastAsia="Calibri" w:cs="Times New Roman"/>
                <w:sz w:val="20"/>
                <w:szCs w:val="20"/>
              </w:rPr>
            </w:pPr>
          </w:p>
          <w:p w14:paraId="0E0AC731"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Nevyužívají možností preciz. zemědělství</w:t>
            </w:r>
          </w:p>
        </w:tc>
        <w:tc>
          <w:tcPr>
            <w:tcW w:w="1956" w:type="dxa"/>
          </w:tcPr>
          <w:p w14:paraId="4E885706"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Snížit dávky minerálního „N“ o 25 %</w:t>
            </w:r>
          </w:p>
          <w:p w14:paraId="5F7F722C" w14:textId="77777777" w:rsidR="003E0F58" w:rsidRPr="007C705C" w:rsidRDefault="003E0F58" w:rsidP="004D2249">
            <w:pPr>
              <w:jc w:val="left"/>
              <w:rPr>
                <w:rFonts w:eastAsia="Calibri" w:cs="Times New Roman"/>
                <w:sz w:val="20"/>
                <w:szCs w:val="20"/>
              </w:rPr>
            </w:pPr>
          </w:p>
          <w:p w14:paraId="374BD887"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Redukovat zpracování půdy</w:t>
            </w:r>
          </w:p>
        </w:tc>
        <w:tc>
          <w:tcPr>
            <w:tcW w:w="1446" w:type="dxa"/>
          </w:tcPr>
          <w:p w14:paraId="73BE8503"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Podpora služeb – poradenství k precizní výživě</w:t>
            </w:r>
          </w:p>
          <w:p w14:paraId="6F01B95A" w14:textId="77777777" w:rsidR="003E0F58" w:rsidRPr="007C705C" w:rsidRDefault="003E0F58" w:rsidP="004D2249">
            <w:pPr>
              <w:jc w:val="left"/>
              <w:rPr>
                <w:rFonts w:eastAsia="Calibri" w:cs="Times New Roman"/>
                <w:sz w:val="20"/>
                <w:szCs w:val="20"/>
              </w:rPr>
            </w:pPr>
          </w:p>
          <w:p w14:paraId="303095E0"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Podpora investic vybraných technologií</w:t>
            </w:r>
          </w:p>
          <w:p w14:paraId="52F286AB" w14:textId="77777777" w:rsidR="003E0F58" w:rsidRPr="007C705C" w:rsidRDefault="003E0F58" w:rsidP="004D2249">
            <w:pPr>
              <w:jc w:val="left"/>
              <w:rPr>
                <w:rFonts w:eastAsia="Calibri" w:cs="Times New Roman"/>
                <w:sz w:val="20"/>
                <w:szCs w:val="20"/>
              </w:rPr>
            </w:pPr>
          </w:p>
          <w:p w14:paraId="3D253539"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meziplodiny s nízkým podílem leguminóz</w:t>
            </w:r>
          </w:p>
          <w:p w14:paraId="5777A326" w14:textId="77777777" w:rsidR="003E0F58" w:rsidRPr="007C705C" w:rsidRDefault="003E0F58" w:rsidP="004D2249">
            <w:pPr>
              <w:jc w:val="left"/>
              <w:rPr>
                <w:rFonts w:eastAsia="Calibri" w:cs="Times New Roman"/>
                <w:sz w:val="20"/>
                <w:szCs w:val="20"/>
              </w:rPr>
            </w:pPr>
          </w:p>
          <w:p w14:paraId="23BAC1AC"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 xml:space="preserve">bezorebné setí </w:t>
            </w:r>
          </w:p>
          <w:p w14:paraId="4EA4A74B" w14:textId="77777777" w:rsidR="003E0F58" w:rsidRPr="007C705C" w:rsidRDefault="003E0F58" w:rsidP="004D2249">
            <w:pPr>
              <w:jc w:val="left"/>
              <w:rPr>
                <w:rFonts w:eastAsia="Calibri" w:cs="Times New Roman"/>
                <w:sz w:val="20"/>
                <w:szCs w:val="20"/>
              </w:rPr>
            </w:pPr>
          </w:p>
          <w:p w14:paraId="1DB2D0D9"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DZES</w:t>
            </w:r>
          </w:p>
          <w:p w14:paraId="7002DE2F" w14:textId="77777777" w:rsidR="003E0F58" w:rsidRPr="007C705C" w:rsidRDefault="003E0F58" w:rsidP="004D2249">
            <w:pPr>
              <w:jc w:val="left"/>
              <w:rPr>
                <w:rFonts w:eastAsia="Calibri" w:cs="Times New Roman"/>
                <w:sz w:val="20"/>
                <w:szCs w:val="20"/>
              </w:rPr>
            </w:pPr>
          </w:p>
        </w:tc>
        <w:tc>
          <w:tcPr>
            <w:tcW w:w="1417" w:type="dxa"/>
          </w:tcPr>
          <w:p w14:paraId="3912AA9C"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Podpora poradenství a vzdělávání</w:t>
            </w:r>
          </w:p>
          <w:p w14:paraId="1C27EE21" w14:textId="77777777" w:rsidR="003E0F58" w:rsidRPr="007C705C" w:rsidRDefault="003E0F58" w:rsidP="004D2249">
            <w:pPr>
              <w:jc w:val="left"/>
              <w:rPr>
                <w:rFonts w:eastAsia="Calibri" w:cs="Times New Roman"/>
                <w:sz w:val="20"/>
                <w:szCs w:val="20"/>
              </w:rPr>
            </w:pPr>
          </w:p>
          <w:p w14:paraId="42E71818"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Investice do majetku</w:t>
            </w:r>
          </w:p>
          <w:p w14:paraId="36941BB9" w14:textId="77777777" w:rsidR="003E0F58" w:rsidRPr="007C705C" w:rsidRDefault="003E0F58" w:rsidP="004D2249">
            <w:pPr>
              <w:jc w:val="left"/>
              <w:rPr>
                <w:rFonts w:eastAsia="Calibri" w:cs="Times New Roman"/>
                <w:sz w:val="20"/>
                <w:szCs w:val="20"/>
              </w:rPr>
            </w:pPr>
          </w:p>
          <w:p w14:paraId="6AF85B3A"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podpora ekologického zemědělství</w:t>
            </w:r>
          </w:p>
          <w:p w14:paraId="54D0A3CD" w14:textId="77777777" w:rsidR="003E0F58" w:rsidRPr="007C705C" w:rsidRDefault="003E0F58" w:rsidP="004D2249">
            <w:pPr>
              <w:jc w:val="left"/>
              <w:rPr>
                <w:rFonts w:eastAsia="Calibri" w:cs="Times New Roman"/>
                <w:sz w:val="20"/>
                <w:szCs w:val="20"/>
              </w:rPr>
            </w:pPr>
          </w:p>
          <w:p w14:paraId="6328C052" w14:textId="77777777" w:rsidR="003E0F58" w:rsidRPr="007C705C" w:rsidRDefault="003E0F58" w:rsidP="004D2249">
            <w:pPr>
              <w:jc w:val="left"/>
              <w:rPr>
                <w:rFonts w:eastAsia="Calibri" w:cs="Times New Roman"/>
                <w:sz w:val="20"/>
                <w:szCs w:val="20"/>
              </w:rPr>
            </w:pPr>
          </w:p>
          <w:p w14:paraId="2D66E341"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Ekorežimy</w:t>
            </w:r>
          </w:p>
        </w:tc>
      </w:tr>
    </w:tbl>
    <w:p w14:paraId="446A11D5" w14:textId="77777777" w:rsidR="003E0F58" w:rsidRPr="007C705C" w:rsidRDefault="003E0F58" w:rsidP="00154F16">
      <w:pPr>
        <w:pStyle w:val="UZEIZdroj"/>
      </w:pPr>
      <w:r w:rsidRPr="007C705C">
        <w:rPr>
          <w:b/>
          <w:color w:val="FF0000"/>
        </w:rPr>
        <w:t>Červeně/tučně</w:t>
      </w:r>
      <w:r w:rsidRPr="007C705C">
        <w:rPr>
          <w:color w:val="FF0000"/>
        </w:rPr>
        <w:t xml:space="preserve"> </w:t>
      </w:r>
      <w:r w:rsidRPr="007C705C">
        <w:t>= mimo dosah zemědělce – příčinu nemůže změnit, ani SZP nemá nástroje na řešení</w:t>
      </w:r>
    </w:p>
    <w:p w14:paraId="343AE4BB" w14:textId="77777777" w:rsidR="003E0F58" w:rsidRPr="007C705C" w:rsidRDefault="003E0F58" w:rsidP="00154F16">
      <w:pPr>
        <w:pStyle w:val="UZEIZdroj"/>
      </w:pPr>
      <w:r w:rsidRPr="007C705C">
        <w:rPr>
          <w:b/>
          <w:color w:val="7030A0"/>
        </w:rPr>
        <w:t>Fialově/tučně</w:t>
      </w:r>
      <w:r w:rsidRPr="007C705C">
        <w:rPr>
          <w:color w:val="7030A0"/>
        </w:rPr>
        <w:t xml:space="preserve"> </w:t>
      </w:r>
      <w:r w:rsidRPr="007C705C">
        <w:t>= může ovlivnit jen do jisté míry</w:t>
      </w:r>
    </w:p>
    <w:p w14:paraId="23359E86" w14:textId="1CA2B7DB" w:rsidR="003E0F58" w:rsidRPr="007C705C" w:rsidRDefault="003E0F58" w:rsidP="00154F16">
      <w:pPr>
        <w:pStyle w:val="UZEIZdroj"/>
        <w:rPr>
          <w:rFonts w:eastAsiaTheme="minorEastAsia"/>
        </w:rPr>
      </w:pPr>
      <w:r w:rsidRPr="007C705C">
        <w:t>Zdroj: Pracovní skupina Klima, 2018</w:t>
      </w:r>
    </w:p>
    <w:p w14:paraId="5B0F5232" w14:textId="29741192" w:rsidR="003E0F58" w:rsidRPr="007C705C" w:rsidRDefault="003E0F58" w:rsidP="00154F16">
      <w:pPr>
        <w:pStyle w:val="UZEIOdrky"/>
        <w:rPr>
          <w:rFonts w:eastAsiaTheme="minorEastAsia"/>
        </w:rPr>
      </w:pPr>
      <w:r w:rsidRPr="007C705C">
        <w:rPr>
          <w:rFonts w:eastAsiaTheme="minorEastAsia"/>
        </w:rPr>
        <w:t>Nevyužívání půdoochranných technologií, které mají vliv na snižování emisí</w:t>
      </w:r>
    </w:p>
    <w:p w14:paraId="75D127FF" w14:textId="77777777" w:rsidR="003E0F58" w:rsidRPr="007C705C" w:rsidRDefault="003E0F58" w:rsidP="00154F16">
      <w:pPr>
        <w:pStyle w:val="UZEINormaln"/>
        <w:rPr>
          <w:rFonts w:eastAsiaTheme="minorEastAsia"/>
        </w:rPr>
      </w:pPr>
      <w:r w:rsidRPr="007C705C">
        <w:rPr>
          <w:rFonts w:eastAsiaTheme="minorEastAsia"/>
        </w:rPr>
        <w:t xml:space="preserve">Většina autorů odborné veřejnosti uvádí, že snížení hloubky a intenzity zpracování přispívá k omezení emisí </w:t>
      </w:r>
      <w:bookmarkStart w:id="377" w:name="_Hlk5878592"/>
      <w:r w:rsidRPr="007C705C">
        <w:rPr>
          <w:rFonts w:eastAsiaTheme="minorEastAsia"/>
        </w:rPr>
        <w:t>CO</w:t>
      </w:r>
      <w:r w:rsidRPr="007C705C">
        <w:rPr>
          <w:rFonts w:eastAsiaTheme="minorEastAsia"/>
          <w:vertAlign w:val="subscript"/>
        </w:rPr>
        <w:t xml:space="preserve">2 </w:t>
      </w:r>
      <w:bookmarkEnd w:id="377"/>
      <w:r w:rsidRPr="007C705C">
        <w:rPr>
          <w:rFonts w:eastAsiaTheme="minorEastAsia"/>
        </w:rPr>
        <w:t>do atmosféry. (Ball et al., 1999) (Scala et al., 2001)</w:t>
      </w:r>
    </w:p>
    <w:p w14:paraId="73F847B0" w14:textId="77777777" w:rsidR="003E0F58" w:rsidRPr="007C705C" w:rsidRDefault="003E0F58" w:rsidP="008A1AE3">
      <w:pPr>
        <w:pStyle w:val="Odstavecseseznamem"/>
        <w:numPr>
          <w:ilvl w:val="0"/>
          <w:numId w:val="25"/>
        </w:numPr>
        <w:spacing w:before="60"/>
        <w:rPr>
          <w:rFonts w:eastAsiaTheme="minorEastAsia"/>
          <w:u w:val="single"/>
        </w:rPr>
      </w:pPr>
      <w:r w:rsidRPr="007C705C">
        <w:rPr>
          <w:rFonts w:eastAsiaTheme="minorEastAsia"/>
          <w:u w:val="single"/>
        </w:rPr>
        <w:t>Využívaná agrotechnika (orba x minimalizační techniky)</w:t>
      </w:r>
    </w:p>
    <w:p w14:paraId="16E31411" w14:textId="77777777" w:rsidR="003E0F58" w:rsidRPr="007C705C" w:rsidRDefault="003E0F58" w:rsidP="008A1AE3">
      <w:pPr>
        <w:pStyle w:val="Odstavecseseznamem"/>
        <w:numPr>
          <w:ilvl w:val="0"/>
          <w:numId w:val="29"/>
        </w:numPr>
        <w:spacing w:before="120" w:after="120" w:line="240" w:lineRule="auto"/>
        <w:ind w:left="1797" w:hanging="357"/>
        <w:rPr>
          <w:rFonts w:eastAsiaTheme="minorEastAsia"/>
        </w:rPr>
      </w:pPr>
      <w:r w:rsidRPr="007C705C">
        <w:rPr>
          <w:rFonts w:eastAsiaTheme="minorEastAsia"/>
          <w:lang w:eastAsia="x-none"/>
        </w:rPr>
        <w:t>Na základě malé informovanosti část zemědělců stále prosazuje jako základní kultivaci orbu.</w:t>
      </w:r>
      <w:r w:rsidRPr="007C705C">
        <w:rPr>
          <w:lang w:eastAsia="x-none"/>
        </w:rPr>
        <w:tab/>
      </w:r>
    </w:p>
    <w:p w14:paraId="20857DA9" w14:textId="77777777" w:rsidR="003E0F58" w:rsidRPr="007C705C" w:rsidRDefault="003E0F58" w:rsidP="008A1AE3">
      <w:pPr>
        <w:pStyle w:val="Odstavecseseznamem"/>
        <w:numPr>
          <w:ilvl w:val="0"/>
          <w:numId w:val="29"/>
        </w:numPr>
        <w:spacing w:before="120" w:after="120" w:line="240" w:lineRule="auto"/>
        <w:ind w:left="1797" w:hanging="357"/>
        <w:rPr>
          <w:rFonts w:eastAsiaTheme="minorEastAsia"/>
        </w:rPr>
      </w:pPr>
      <w:r w:rsidRPr="007C705C">
        <w:rPr>
          <w:rFonts w:eastAsiaTheme="minorEastAsia"/>
        </w:rPr>
        <w:t>Podpora vzdělávání v zemědělství. Podpora nákupu vhodné zemědělské techniky (No-till, Strip-till apod.)</w:t>
      </w:r>
    </w:p>
    <w:p w14:paraId="3C3279B0" w14:textId="77777777" w:rsidR="003E0F58" w:rsidRPr="007C705C" w:rsidRDefault="003E0F58" w:rsidP="008A1AE3">
      <w:pPr>
        <w:pStyle w:val="Odstavecseseznamem"/>
        <w:numPr>
          <w:ilvl w:val="0"/>
          <w:numId w:val="25"/>
        </w:numPr>
        <w:spacing w:before="60"/>
        <w:rPr>
          <w:rFonts w:eastAsiaTheme="minorEastAsia"/>
          <w:u w:val="single"/>
        </w:rPr>
      </w:pPr>
      <w:r w:rsidRPr="007C705C">
        <w:rPr>
          <w:rFonts w:eastAsiaTheme="minorEastAsia"/>
          <w:u w:val="single"/>
        </w:rPr>
        <w:t>Hloubka kultivace</w:t>
      </w:r>
    </w:p>
    <w:p w14:paraId="77731EBD" w14:textId="77777777" w:rsidR="003E0F58" w:rsidRPr="007C705C" w:rsidRDefault="003E0F58" w:rsidP="008A1AE3">
      <w:pPr>
        <w:pStyle w:val="Odstavecseseznamem"/>
        <w:numPr>
          <w:ilvl w:val="0"/>
          <w:numId w:val="29"/>
        </w:numPr>
        <w:spacing w:before="120" w:after="120" w:line="240" w:lineRule="auto"/>
        <w:ind w:left="1797" w:hanging="357"/>
        <w:rPr>
          <w:rFonts w:eastAsiaTheme="minorEastAsia"/>
          <w:lang w:eastAsia="x-none"/>
        </w:rPr>
      </w:pPr>
      <w:r w:rsidRPr="007C705C">
        <w:rPr>
          <w:rFonts w:eastAsiaTheme="minorEastAsia"/>
          <w:lang w:eastAsia="x-none"/>
        </w:rPr>
        <w:t>Využití faktoru hloubky zpracování půdy je dvojsečné, kdy na jednu stranu je posílena infiltrace vody do půdy a na druhou se uvolňuje větší množství CO</w:t>
      </w:r>
      <w:r w:rsidRPr="00154F16">
        <w:rPr>
          <w:rFonts w:eastAsiaTheme="minorEastAsia"/>
          <w:lang w:eastAsia="x-none"/>
        </w:rPr>
        <w:t>2</w:t>
      </w:r>
      <w:r w:rsidRPr="007C705C">
        <w:rPr>
          <w:rFonts w:eastAsiaTheme="minorEastAsia"/>
          <w:lang w:eastAsia="x-none"/>
        </w:rPr>
        <w:t>.</w:t>
      </w:r>
      <w:r w:rsidRPr="00154F16">
        <w:rPr>
          <w:rFonts w:eastAsiaTheme="minorEastAsia"/>
          <w:lang w:eastAsia="x-none"/>
        </w:rPr>
        <w:tab/>
      </w:r>
    </w:p>
    <w:p w14:paraId="166F35A5" w14:textId="77777777" w:rsidR="003E0F58" w:rsidRPr="007C705C" w:rsidRDefault="003E0F58" w:rsidP="008A1AE3">
      <w:pPr>
        <w:pStyle w:val="Odstavecseseznamem"/>
        <w:numPr>
          <w:ilvl w:val="0"/>
          <w:numId w:val="29"/>
        </w:numPr>
        <w:spacing w:before="120" w:after="120" w:line="240" w:lineRule="auto"/>
        <w:ind w:left="1797" w:hanging="357"/>
        <w:rPr>
          <w:rFonts w:eastAsiaTheme="minorEastAsia"/>
          <w:lang w:eastAsia="x-none"/>
        </w:rPr>
      </w:pPr>
      <w:r w:rsidRPr="007C705C">
        <w:rPr>
          <w:rFonts w:eastAsiaTheme="minorEastAsia"/>
          <w:lang w:eastAsia="x-none"/>
        </w:rPr>
        <w:t>Podpora nákupu vhodné zemědělské techniky.</w:t>
      </w:r>
    </w:p>
    <w:p w14:paraId="4369AD85" w14:textId="77777777" w:rsidR="003E0F58" w:rsidRPr="007C705C" w:rsidRDefault="003E0F58" w:rsidP="008A1AE3">
      <w:pPr>
        <w:pStyle w:val="Odstavecseseznamem"/>
        <w:numPr>
          <w:ilvl w:val="0"/>
          <w:numId w:val="25"/>
        </w:numPr>
        <w:spacing w:before="60"/>
        <w:rPr>
          <w:rFonts w:eastAsiaTheme="minorEastAsia"/>
          <w:u w:val="single"/>
        </w:rPr>
      </w:pPr>
      <w:r w:rsidRPr="007C705C">
        <w:rPr>
          <w:rFonts w:eastAsiaTheme="minorEastAsia"/>
          <w:u w:val="single"/>
        </w:rPr>
        <w:lastRenderedPageBreak/>
        <w:t>Intenzita difúzního procesu přechod CO</w:t>
      </w:r>
      <w:r w:rsidRPr="007C705C">
        <w:rPr>
          <w:rFonts w:eastAsiaTheme="minorEastAsia"/>
          <w:u w:val="single"/>
          <w:vertAlign w:val="subscript"/>
        </w:rPr>
        <w:t xml:space="preserve">2 </w:t>
      </w:r>
      <w:r w:rsidRPr="007C705C">
        <w:rPr>
          <w:rFonts w:eastAsiaTheme="minorEastAsia"/>
          <w:u w:val="single"/>
        </w:rPr>
        <w:t>půda – vzduch (závisí na pórovitosti, vlhkosti půdy, gradientu koncentrace CO2 a teplotě)</w:t>
      </w:r>
    </w:p>
    <w:p w14:paraId="48329218" w14:textId="77777777" w:rsidR="003E0F58" w:rsidRPr="007C705C" w:rsidRDefault="003E0F58" w:rsidP="008A1AE3">
      <w:pPr>
        <w:pStyle w:val="Odstavecseseznamem"/>
        <w:numPr>
          <w:ilvl w:val="0"/>
          <w:numId w:val="29"/>
        </w:numPr>
        <w:spacing w:before="120" w:after="120" w:line="240" w:lineRule="auto"/>
        <w:ind w:left="1797" w:hanging="357"/>
        <w:rPr>
          <w:rFonts w:eastAsiaTheme="minorEastAsia"/>
          <w:lang w:eastAsia="x-none"/>
        </w:rPr>
      </w:pPr>
      <w:r w:rsidRPr="007C705C">
        <w:rPr>
          <w:rFonts w:eastAsiaTheme="minorEastAsia"/>
          <w:lang w:eastAsia="x-none"/>
        </w:rPr>
        <w:t>Tento faktor je ovlivnitelný v omezené míře a zpravidla souvisí s uplatněním meziplodin a org. hnojením</w:t>
      </w:r>
      <w:r w:rsidRPr="00154F16">
        <w:rPr>
          <w:rFonts w:eastAsiaTheme="minorEastAsia"/>
          <w:lang w:eastAsia="x-none"/>
        </w:rPr>
        <w:tab/>
      </w:r>
    </w:p>
    <w:p w14:paraId="571B8732" w14:textId="77777777" w:rsidR="003E0F58" w:rsidRPr="007C705C" w:rsidRDefault="003E0F58" w:rsidP="008A1AE3">
      <w:pPr>
        <w:pStyle w:val="Odstavecseseznamem"/>
        <w:numPr>
          <w:ilvl w:val="0"/>
          <w:numId w:val="29"/>
        </w:numPr>
        <w:spacing w:before="120" w:after="120" w:line="240" w:lineRule="auto"/>
        <w:ind w:left="1797" w:hanging="357"/>
        <w:rPr>
          <w:rFonts w:eastAsiaTheme="minorEastAsia"/>
          <w:lang w:eastAsia="x-none"/>
        </w:rPr>
      </w:pPr>
      <w:r w:rsidRPr="007C705C">
        <w:rPr>
          <w:rFonts w:eastAsiaTheme="minorEastAsia"/>
          <w:lang w:eastAsia="x-none"/>
        </w:rPr>
        <w:t>Zohlednit zařazováním meziplodin a aplikací org. hmoty, který povede k lepšímu strukturnímu stavu půdy</w:t>
      </w:r>
    </w:p>
    <w:p w14:paraId="561E7941" w14:textId="77777777" w:rsidR="003E0F58" w:rsidRPr="007C705C" w:rsidRDefault="003E0F58" w:rsidP="008A1AE3">
      <w:pPr>
        <w:pStyle w:val="Odstavecseseznamem"/>
        <w:numPr>
          <w:ilvl w:val="0"/>
          <w:numId w:val="25"/>
        </w:numPr>
        <w:spacing w:before="60"/>
        <w:rPr>
          <w:rFonts w:eastAsiaTheme="minorEastAsia"/>
          <w:u w:val="single"/>
        </w:rPr>
      </w:pPr>
      <w:r w:rsidRPr="007C705C">
        <w:rPr>
          <w:rFonts w:eastAsiaTheme="minorEastAsia"/>
          <w:u w:val="single"/>
        </w:rPr>
        <w:t>Nevhodný nebo nedostatečný (chybějící) vegetační pokryv v průběhu roku</w:t>
      </w:r>
    </w:p>
    <w:p w14:paraId="6A1EA8A0" w14:textId="77777777" w:rsidR="003E0F58" w:rsidRPr="007C705C" w:rsidRDefault="003E0F58" w:rsidP="008A1AE3">
      <w:pPr>
        <w:pStyle w:val="Odstavecseseznamem"/>
        <w:numPr>
          <w:ilvl w:val="0"/>
          <w:numId w:val="29"/>
        </w:numPr>
        <w:spacing w:before="120" w:after="120" w:line="240" w:lineRule="auto"/>
        <w:ind w:left="1797" w:hanging="357"/>
        <w:rPr>
          <w:rFonts w:eastAsiaTheme="minorEastAsia"/>
          <w:lang w:eastAsia="x-none"/>
        </w:rPr>
      </w:pPr>
      <w:r w:rsidRPr="007C705C">
        <w:rPr>
          <w:rFonts w:eastAsiaTheme="minorEastAsia"/>
          <w:lang w:eastAsia="x-none"/>
        </w:rPr>
        <w:t>Nezbytnost úpravy osevního postupu, obava z odběru půdní vláhy a živin.</w:t>
      </w:r>
    </w:p>
    <w:p w14:paraId="3B79FED8" w14:textId="0C06F24F" w:rsidR="003E0F58" w:rsidRPr="00154F16" w:rsidRDefault="003E0F58" w:rsidP="008A1AE3">
      <w:pPr>
        <w:pStyle w:val="Odstavecseseznamem"/>
        <w:numPr>
          <w:ilvl w:val="0"/>
          <w:numId w:val="29"/>
        </w:numPr>
        <w:spacing w:before="120" w:after="120" w:line="240" w:lineRule="auto"/>
        <w:ind w:left="1797" w:hanging="357"/>
        <w:rPr>
          <w:rFonts w:eastAsiaTheme="minorEastAsia"/>
          <w:lang w:eastAsia="x-none"/>
        </w:rPr>
      </w:pPr>
      <w:r w:rsidRPr="007C705C">
        <w:rPr>
          <w:rFonts w:eastAsiaTheme="minorEastAsia"/>
          <w:lang w:eastAsia="x-none"/>
        </w:rPr>
        <w:t xml:space="preserve">Podpora zařazování plodin do osevního postupu a částečná finanční kompenzace </w:t>
      </w:r>
    </w:p>
    <w:tbl>
      <w:tblPr>
        <w:tblStyle w:val="Mkatabulky2"/>
        <w:tblpPr w:leftFromText="141" w:rightFromText="141" w:vertAnchor="text" w:horzAnchor="margin" w:tblpY="685"/>
        <w:tblW w:w="9351" w:type="dxa"/>
        <w:tblLayout w:type="fixed"/>
        <w:tblLook w:val="04A0" w:firstRow="1" w:lastRow="0" w:firstColumn="1" w:lastColumn="0" w:noHBand="0" w:noVBand="1"/>
      </w:tblPr>
      <w:tblGrid>
        <w:gridCol w:w="1384"/>
        <w:gridCol w:w="1418"/>
        <w:gridCol w:w="2155"/>
        <w:gridCol w:w="1814"/>
        <w:gridCol w:w="1275"/>
        <w:gridCol w:w="1305"/>
      </w:tblGrid>
      <w:tr w:rsidR="003E0F58" w:rsidRPr="007C705C" w14:paraId="07D6BC7B" w14:textId="77777777" w:rsidTr="002D3D3A">
        <w:tc>
          <w:tcPr>
            <w:tcW w:w="1384" w:type="dxa"/>
            <w:shd w:val="clear" w:color="auto" w:fill="E7E6E6" w:themeFill="background2"/>
          </w:tcPr>
          <w:p w14:paraId="5232661B"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Problém</w:t>
            </w:r>
          </w:p>
        </w:tc>
        <w:tc>
          <w:tcPr>
            <w:tcW w:w="1418" w:type="dxa"/>
            <w:shd w:val="clear" w:color="auto" w:fill="E7E6E6" w:themeFill="background2"/>
          </w:tcPr>
          <w:p w14:paraId="7283F824"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Příčiny</w:t>
            </w:r>
          </w:p>
        </w:tc>
        <w:tc>
          <w:tcPr>
            <w:tcW w:w="2155" w:type="dxa"/>
            <w:shd w:val="clear" w:color="auto" w:fill="E7E6E6" w:themeFill="background2"/>
          </w:tcPr>
          <w:p w14:paraId="4BD37137"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Převládající chování/reakce zemědělců</w:t>
            </w:r>
          </w:p>
        </w:tc>
        <w:tc>
          <w:tcPr>
            <w:tcW w:w="1814" w:type="dxa"/>
            <w:shd w:val="clear" w:color="auto" w:fill="E7E6E6" w:themeFill="background2"/>
          </w:tcPr>
          <w:p w14:paraId="09AB39CE"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Nutná změna</w:t>
            </w:r>
          </w:p>
        </w:tc>
        <w:tc>
          <w:tcPr>
            <w:tcW w:w="1275" w:type="dxa"/>
            <w:shd w:val="clear" w:color="auto" w:fill="E7E6E6" w:themeFill="background2"/>
          </w:tcPr>
          <w:p w14:paraId="08D539C1"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Prvek intervence</w:t>
            </w:r>
          </w:p>
        </w:tc>
        <w:tc>
          <w:tcPr>
            <w:tcW w:w="1305" w:type="dxa"/>
            <w:shd w:val="clear" w:color="auto" w:fill="E7E6E6" w:themeFill="background2"/>
          </w:tcPr>
          <w:p w14:paraId="77155124"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Intervence</w:t>
            </w:r>
          </w:p>
        </w:tc>
      </w:tr>
      <w:tr w:rsidR="003E0F58" w:rsidRPr="007C705C" w14:paraId="22C65AAA" w14:textId="77777777" w:rsidTr="002D3D3A">
        <w:tc>
          <w:tcPr>
            <w:tcW w:w="1384" w:type="dxa"/>
          </w:tcPr>
          <w:p w14:paraId="54096B76"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Nevyužívání půdoochranných technologií, které mají vliv na snižování emisí</w:t>
            </w:r>
          </w:p>
        </w:tc>
        <w:tc>
          <w:tcPr>
            <w:tcW w:w="1418" w:type="dxa"/>
          </w:tcPr>
          <w:p w14:paraId="086C713A"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Neinformovanost</w:t>
            </w:r>
          </w:p>
          <w:p w14:paraId="43406C00"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Technicky a organizačně náročnější</w:t>
            </w:r>
          </w:p>
          <w:p w14:paraId="197C231B" w14:textId="77777777" w:rsidR="003E0F58" w:rsidRPr="007C705C" w:rsidRDefault="003E0F58" w:rsidP="004D2249">
            <w:pPr>
              <w:jc w:val="left"/>
              <w:rPr>
                <w:rFonts w:eastAsia="Calibri" w:cs="Times New Roman"/>
                <w:sz w:val="20"/>
                <w:szCs w:val="20"/>
              </w:rPr>
            </w:pPr>
          </w:p>
        </w:tc>
        <w:tc>
          <w:tcPr>
            <w:tcW w:w="2155" w:type="dxa"/>
          </w:tcPr>
          <w:p w14:paraId="4A5B73E3"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Orba</w:t>
            </w:r>
          </w:p>
          <w:p w14:paraId="3179A455"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Nedostatečný vegetační pokryv</w:t>
            </w:r>
          </w:p>
        </w:tc>
        <w:tc>
          <w:tcPr>
            <w:tcW w:w="1814" w:type="dxa"/>
          </w:tcPr>
          <w:p w14:paraId="22A214B1"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Omezit orbu</w:t>
            </w:r>
          </w:p>
          <w:p w14:paraId="3F008C8A" w14:textId="77777777" w:rsidR="003E0F58" w:rsidRPr="007C705C" w:rsidRDefault="003E0F58" w:rsidP="004D2249">
            <w:pPr>
              <w:jc w:val="left"/>
              <w:rPr>
                <w:rFonts w:eastAsia="Calibri" w:cs="Times New Roman"/>
                <w:sz w:val="20"/>
                <w:szCs w:val="20"/>
              </w:rPr>
            </w:pPr>
          </w:p>
          <w:p w14:paraId="131C537E"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Zvýšit informovanost</w:t>
            </w:r>
          </w:p>
          <w:p w14:paraId="40BBB595" w14:textId="77777777" w:rsidR="003E0F58" w:rsidRPr="007C705C" w:rsidRDefault="003E0F58" w:rsidP="004D2249">
            <w:pPr>
              <w:jc w:val="left"/>
              <w:rPr>
                <w:rFonts w:eastAsia="Calibri" w:cs="Times New Roman"/>
                <w:sz w:val="20"/>
                <w:szCs w:val="20"/>
              </w:rPr>
            </w:pPr>
          </w:p>
          <w:p w14:paraId="7C31E06E"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Více org. hmoty do půdy</w:t>
            </w:r>
          </w:p>
          <w:p w14:paraId="207BCADB" w14:textId="77777777" w:rsidR="003E0F58" w:rsidRPr="007C705C" w:rsidRDefault="003E0F58" w:rsidP="004D2249">
            <w:pPr>
              <w:jc w:val="left"/>
              <w:rPr>
                <w:rFonts w:eastAsia="Calibri" w:cs="Times New Roman"/>
                <w:sz w:val="20"/>
                <w:szCs w:val="20"/>
              </w:rPr>
            </w:pPr>
          </w:p>
          <w:p w14:paraId="482206CE"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Více meziplodin</w:t>
            </w:r>
          </w:p>
          <w:p w14:paraId="5C6BDF1B" w14:textId="77777777" w:rsidR="003E0F58" w:rsidRPr="007C705C" w:rsidRDefault="003E0F58" w:rsidP="004D2249">
            <w:pPr>
              <w:jc w:val="left"/>
              <w:rPr>
                <w:rFonts w:eastAsia="Calibri" w:cs="Times New Roman"/>
                <w:sz w:val="20"/>
                <w:szCs w:val="20"/>
              </w:rPr>
            </w:pPr>
          </w:p>
        </w:tc>
        <w:tc>
          <w:tcPr>
            <w:tcW w:w="1275" w:type="dxa"/>
          </w:tcPr>
          <w:p w14:paraId="315AF995"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Podpora nákupu vhodné zemědělské techniky (No-till, Strip-till apod.)</w:t>
            </w:r>
          </w:p>
          <w:p w14:paraId="0A259CC1" w14:textId="77777777" w:rsidR="003E0F58" w:rsidRPr="007C705C" w:rsidRDefault="003E0F58" w:rsidP="004D2249">
            <w:pPr>
              <w:jc w:val="left"/>
              <w:rPr>
                <w:rFonts w:eastAsia="Calibri" w:cs="Times New Roman"/>
                <w:sz w:val="20"/>
                <w:szCs w:val="20"/>
              </w:rPr>
            </w:pPr>
          </w:p>
          <w:p w14:paraId="5FFB407F"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Podpora vzdělávání</w:t>
            </w:r>
          </w:p>
          <w:p w14:paraId="44E644AB" w14:textId="77777777" w:rsidR="003E0F58" w:rsidRPr="007C705C" w:rsidRDefault="003E0F58" w:rsidP="004D2249">
            <w:pPr>
              <w:jc w:val="left"/>
              <w:rPr>
                <w:rFonts w:eastAsia="Calibri" w:cs="Times New Roman"/>
                <w:sz w:val="20"/>
                <w:szCs w:val="20"/>
              </w:rPr>
            </w:pPr>
          </w:p>
          <w:p w14:paraId="50E5299D"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Zatravňování</w:t>
            </w:r>
          </w:p>
          <w:p w14:paraId="027A4F8B"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DZES</w:t>
            </w:r>
          </w:p>
          <w:p w14:paraId="294A435E" w14:textId="77777777" w:rsidR="003E0F58" w:rsidRPr="007C705C" w:rsidRDefault="003E0F58" w:rsidP="004D2249">
            <w:pPr>
              <w:jc w:val="left"/>
              <w:rPr>
                <w:rFonts w:eastAsia="Calibri" w:cs="Times New Roman"/>
                <w:sz w:val="20"/>
                <w:szCs w:val="20"/>
              </w:rPr>
            </w:pPr>
          </w:p>
          <w:p w14:paraId="210725A6"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dtto</w:t>
            </w:r>
          </w:p>
        </w:tc>
        <w:tc>
          <w:tcPr>
            <w:tcW w:w="1305" w:type="dxa"/>
          </w:tcPr>
          <w:p w14:paraId="2A3C1A23"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Podpora poradenství a vzdělávání</w:t>
            </w:r>
          </w:p>
          <w:p w14:paraId="5EC37978" w14:textId="77777777" w:rsidR="003E0F58" w:rsidRPr="007C705C" w:rsidRDefault="003E0F58" w:rsidP="004D2249">
            <w:pPr>
              <w:jc w:val="left"/>
              <w:rPr>
                <w:rFonts w:eastAsia="Calibri" w:cs="Times New Roman"/>
                <w:sz w:val="20"/>
                <w:szCs w:val="20"/>
              </w:rPr>
            </w:pPr>
          </w:p>
          <w:p w14:paraId="0C17D8BF"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Investice do majetku</w:t>
            </w:r>
          </w:p>
          <w:p w14:paraId="09E2DD4C" w14:textId="77777777" w:rsidR="003E0F58" w:rsidRPr="007C705C" w:rsidRDefault="003E0F58" w:rsidP="004D2249">
            <w:pPr>
              <w:jc w:val="left"/>
              <w:rPr>
                <w:rFonts w:eastAsia="Calibri" w:cs="Times New Roman"/>
                <w:sz w:val="20"/>
                <w:szCs w:val="20"/>
              </w:rPr>
            </w:pPr>
          </w:p>
          <w:p w14:paraId="5F507224" w14:textId="77777777" w:rsidR="003E0F58" w:rsidRPr="007C705C" w:rsidRDefault="003E0F58" w:rsidP="004D2249">
            <w:pPr>
              <w:jc w:val="left"/>
              <w:rPr>
                <w:rFonts w:eastAsia="Calibri" w:cs="Times New Roman"/>
                <w:sz w:val="20"/>
                <w:szCs w:val="20"/>
              </w:rPr>
            </w:pPr>
          </w:p>
          <w:p w14:paraId="2C37BE7F"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Ekorežimy</w:t>
            </w:r>
          </w:p>
          <w:p w14:paraId="7193EBCB" w14:textId="77777777" w:rsidR="003E0F58" w:rsidRPr="007C705C" w:rsidRDefault="003E0F58" w:rsidP="004D2249">
            <w:pPr>
              <w:jc w:val="left"/>
              <w:rPr>
                <w:rFonts w:eastAsia="Calibri" w:cs="Times New Roman"/>
                <w:sz w:val="20"/>
                <w:szCs w:val="20"/>
              </w:rPr>
            </w:pPr>
          </w:p>
          <w:p w14:paraId="52C9CCE5"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AEKO</w:t>
            </w:r>
          </w:p>
        </w:tc>
      </w:tr>
    </w:tbl>
    <w:p w14:paraId="2E90EDB2" w14:textId="55B41D7F" w:rsidR="003E0F58" w:rsidRPr="007C705C" w:rsidRDefault="003E0F58" w:rsidP="00154F16">
      <w:pPr>
        <w:pStyle w:val="UZEITaB"/>
      </w:pPr>
      <w:r w:rsidRPr="007C705C">
        <w:t xml:space="preserve"> </w:t>
      </w:r>
      <w:bookmarkStart w:id="378" w:name="_Toc77245849"/>
      <w:bookmarkStart w:id="379" w:name="_Toc94181613"/>
      <w:r w:rsidRPr="007C705C">
        <w:t>Možnosti efektivního řešení problému v rámci nástrojů SZP - Nevyužívání půdoochranných technologií</w:t>
      </w:r>
      <w:bookmarkEnd w:id="378"/>
      <w:bookmarkEnd w:id="379"/>
    </w:p>
    <w:p w14:paraId="08FB9983" w14:textId="77777777" w:rsidR="003E0F58" w:rsidRPr="007C705C" w:rsidRDefault="003E0F58" w:rsidP="00154F16">
      <w:pPr>
        <w:pStyle w:val="UZEIZdroj"/>
      </w:pPr>
      <w:r w:rsidRPr="007C705C">
        <w:rPr>
          <w:b/>
          <w:color w:val="FF0000"/>
        </w:rPr>
        <w:t>Červeně/tučně</w:t>
      </w:r>
      <w:r w:rsidRPr="007C705C">
        <w:rPr>
          <w:color w:val="FF0000"/>
        </w:rPr>
        <w:t xml:space="preserve"> </w:t>
      </w:r>
      <w:r w:rsidRPr="007C705C">
        <w:t>= mimo dosah zemědělce – příčinu nemůže změnit, ani SZP nemá nástroje na řešení</w:t>
      </w:r>
    </w:p>
    <w:p w14:paraId="373CF3E2" w14:textId="77777777" w:rsidR="003E0F58" w:rsidRPr="007C705C" w:rsidRDefault="003E0F58" w:rsidP="00154F16">
      <w:pPr>
        <w:pStyle w:val="UZEIZdroj"/>
      </w:pPr>
      <w:r w:rsidRPr="007C705C">
        <w:rPr>
          <w:b/>
          <w:color w:val="7030A0"/>
        </w:rPr>
        <w:t>Fialově/tučně</w:t>
      </w:r>
      <w:r w:rsidRPr="007C705C">
        <w:rPr>
          <w:color w:val="7030A0"/>
        </w:rPr>
        <w:t xml:space="preserve"> </w:t>
      </w:r>
      <w:r w:rsidRPr="007C705C">
        <w:t>= může ovlivnit jen do jisté míry</w:t>
      </w:r>
    </w:p>
    <w:p w14:paraId="132E10E7" w14:textId="6930D8EE" w:rsidR="003E0F58" w:rsidRPr="007C705C" w:rsidRDefault="003E0F58" w:rsidP="006E5E8A">
      <w:pPr>
        <w:pStyle w:val="UZEIZdroj"/>
        <w:rPr>
          <w:rFonts w:eastAsiaTheme="minorEastAsia"/>
        </w:rPr>
      </w:pPr>
      <w:r w:rsidRPr="007C705C">
        <w:t>Zdroj: Pracovní skupina Klima, 2018</w:t>
      </w:r>
    </w:p>
    <w:p w14:paraId="694B207E" w14:textId="11FF0C6A" w:rsidR="003E0F58" w:rsidRPr="007C705C" w:rsidRDefault="003E0F58" w:rsidP="006E5E8A">
      <w:pPr>
        <w:pStyle w:val="UZEIOdrky"/>
        <w:rPr>
          <w:rFonts w:eastAsiaTheme="minorEastAsia"/>
        </w:rPr>
      </w:pPr>
      <w:r w:rsidRPr="007C705C">
        <w:rPr>
          <w:rFonts w:eastAsiaTheme="minorEastAsia"/>
        </w:rPr>
        <w:t>Nevyužívání změn managementu na půdě – zalesňování a zatravňování ZPF</w:t>
      </w:r>
    </w:p>
    <w:p w14:paraId="022A72EB" w14:textId="1BDD626D" w:rsidR="003E0F58" w:rsidRPr="007C705C" w:rsidRDefault="003E0F58" w:rsidP="006E5E8A">
      <w:pPr>
        <w:pStyle w:val="UZEINormaln"/>
        <w:rPr>
          <w:rFonts w:eastAsiaTheme="minorEastAsia"/>
        </w:rPr>
      </w:pPr>
      <w:r w:rsidRPr="007C705C">
        <w:rPr>
          <w:rFonts w:eastAsiaTheme="minorEastAsia"/>
        </w:rPr>
        <w:t>Mitigační účinky – zalesňování patří mezi hlavní strategie pro vázání uhlíku, a tedy pro snižování emisí skleníkových plynů. Adaptační účinky – účelné zatravnění údolnic, drah povrchového odtoku, strmých svahů, ochranné zatravnění, popř. zalesnění v blízkosti intravilánu mají nejen ochranou funkci, ale výraznou měrou přispívají k adaptaci na změny klimatu</w:t>
      </w:r>
      <w:r w:rsidR="006E5E8A">
        <w:rPr>
          <w:rFonts w:eastAsiaTheme="minorEastAsia"/>
        </w:rPr>
        <w:t>.</w:t>
      </w:r>
    </w:p>
    <w:p w14:paraId="31875F7D" w14:textId="77777777" w:rsidR="003E0F58" w:rsidRPr="007C705C" w:rsidRDefault="003E0F58" w:rsidP="008A1AE3">
      <w:pPr>
        <w:pStyle w:val="Odstavecseseznamem"/>
        <w:numPr>
          <w:ilvl w:val="0"/>
          <w:numId w:val="26"/>
        </w:numPr>
        <w:spacing w:before="120" w:after="120" w:line="240" w:lineRule="auto"/>
        <w:ind w:hanging="357"/>
        <w:rPr>
          <w:rFonts w:eastAsiaTheme="minorEastAsia"/>
        </w:rPr>
      </w:pPr>
      <w:r w:rsidRPr="007C705C">
        <w:rPr>
          <w:rFonts w:eastAsiaTheme="minorEastAsia"/>
        </w:rPr>
        <w:t>dotační titul na zalesnění oslovuje nízké procento žadatelů (zalesnění pozemku je zatíženo platbou odvodu ze ZPF, zemědělský subjekt často není vlastníkem půdy, nemá potřebnou kvalifikaci v péči o lesní porosty)</w:t>
      </w:r>
    </w:p>
    <w:p w14:paraId="31670825" w14:textId="77777777" w:rsidR="003E0F58" w:rsidRPr="007C705C" w:rsidRDefault="003E0F58" w:rsidP="008A1AE3">
      <w:pPr>
        <w:pStyle w:val="Odstavecseseznamem"/>
        <w:numPr>
          <w:ilvl w:val="0"/>
          <w:numId w:val="29"/>
        </w:numPr>
        <w:spacing w:before="120" w:after="120" w:line="240" w:lineRule="auto"/>
        <w:ind w:hanging="357"/>
        <w:rPr>
          <w:rFonts w:eastAsiaTheme="minorEastAsia"/>
        </w:rPr>
      </w:pPr>
      <w:r w:rsidRPr="007C705C">
        <w:rPr>
          <w:rFonts w:eastAsiaTheme="minorEastAsia"/>
        </w:rPr>
        <w:t>1) převod zemědělské půdy na lesní je vysoce časově, fyzicky a finančně náročný proces, 2) podpora zalesnění naráží na povinnost zaplatit odvody ze ZPF (pro III. třídu ochrany), 3) pro hospodařící subjekt je problematický převod pozemků do PUPFL (změna charakteru činnosti, funkce lesního hospodáře), 4) hospodařící subjekt není vlastníkem pozemku</w:t>
      </w:r>
    </w:p>
    <w:p w14:paraId="58B033BB" w14:textId="77777777" w:rsidR="003E0F58" w:rsidRPr="007C705C" w:rsidRDefault="003E0F58" w:rsidP="008A1AE3">
      <w:pPr>
        <w:pStyle w:val="Odstavecseseznamem"/>
        <w:numPr>
          <w:ilvl w:val="0"/>
          <w:numId w:val="29"/>
        </w:numPr>
        <w:spacing w:before="120" w:after="120" w:line="240" w:lineRule="auto"/>
        <w:ind w:hanging="357"/>
        <w:rPr>
          <w:rFonts w:eastAsiaTheme="minorEastAsia"/>
        </w:rPr>
      </w:pPr>
      <w:r w:rsidRPr="007C705C">
        <w:rPr>
          <w:rFonts w:eastAsiaTheme="minorEastAsia"/>
        </w:rPr>
        <w:lastRenderedPageBreak/>
        <w:t>Motivovat vlastníky půdy - zejména v oblastech, které byly vytyčeny jako prioritní k zalesnění k úpravě, pachtovních smluv a převodu svých pozemků do PUPFL (hodnotit mitigační potenciál lesa)</w:t>
      </w:r>
    </w:p>
    <w:p w14:paraId="7ABD60ED" w14:textId="77777777" w:rsidR="003E0F58" w:rsidRPr="007C705C" w:rsidRDefault="003E0F58" w:rsidP="008A1AE3">
      <w:pPr>
        <w:pStyle w:val="Odstavecseseznamem"/>
        <w:numPr>
          <w:ilvl w:val="0"/>
          <w:numId w:val="26"/>
        </w:numPr>
        <w:spacing w:before="120" w:after="120" w:line="240" w:lineRule="auto"/>
        <w:ind w:hanging="357"/>
        <w:rPr>
          <w:rFonts w:eastAsiaTheme="minorEastAsia"/>
        </w:rPr>
      </w:pPr>
      <w:r w:rsidRPr="007C705C">
        <w:rPr>
          <w:rFonts w:eastAsiaTheme="minorEastAsia"/>
        </w:rPr>
        <w:t>nízký počet realizací konkrétní adaptačních a mitigačních opatření v rámci ZPF</w:t>
      </w:r>
    </w:p>
    <w:p w14:paraId="4E3C55B0" w14:textId="77777777" w:rsidR="003E0F58" w:rsidRPr="007C705C" w:rsidRDefault="003E0F58" w:rsidP="008A1AE3">
      <w:pPr>
        <w:pStyle w:val="Odstavecseseznamem"/>
        <w:numPr>
          <w:ilvl w:val="0"/>
          <w:numId w:val="29"/>
        </w:numPr>
        <w:spacing w:before="120" w:after="120" w:line="240" w:lineRule="auto"/>
        <w:ind w:hanging="357"/>
        <w:rPr>
          <w:rFonts w:eastAsiaTheme="minorEastAsia"/>
        </w:rPr>
      </w:pPr>
      <w:r w:rsidRPr="007C705C">
        <w:rPr>
          <w:rFonts w:eastAsiaTheme="minorEastAsia"/>
          <w:lang w:eastAsia="x-none"/>
        </w:rPr>
        <w:t xml:space="preserve"> zemědělec nemá potřebu ani není nucen vytvářet malé lesnické plochy, remízky, mokřady, biocentra, travní kultury s druhovou pestrostí apod.</w:t>
      </w:r>
    </w:p>
    <w:p w14:paraId="7BB028DC" w14:textId="77777777" w:rsidR="003E0F58" w:rsidRPr="007C705C" w:rsidRDefault="003E0F58" w:rsidP="008A1AE3">
      <w:pPr>
        <w:pStyle w:val="Odstavecseseznamem"/>
        <w:numPr>
          <w:ilvl w:val="0"/>
          <w:numId w:val="29"/>
        </w:numPr>
        <w:spacing w:before="120" w:after="120" w:line="240" w:lineRule="auto"/>
        <w:ind w:hanging="357"/>
        <w:rPr>
          <w:rFonts w:eastAsiaTheme="minorEastAsia"/>
        </w:rPr>
      </w:pPr>
      <w:r w:rsidRPr="007C705C">
        <w:rPr>
          <w:rFonts w:eastAsiaTheme="minorEastAsia"/>
        </w:rPr>
        <w:t xml:space="preserve">1) zaměřit podporu na konkrétní prvky zelené infrastruktury (indikující sekvestrační potenciál C, retenční potenciál, půdoochrannou funkci v krajině, podporu biodiverzity, vytváření biotonu, zajištění ekosystémových funkcí apod. 2) podpořit vznik ALS (agrolesnických systémů)  </w:t>
      </w:r>
    </w:p>
    <w:p w14:paraId="301C7DA7" w14:textId="77777777" w:rsidR="003E0F58" w:rsidRPr="007C705C" w:rsidRDefault="003E0F58" w:rsidP="008A1AE3">
      <w:pPr>
        <w:pStyle w:val="Odstavecseseznamem"/>
        <w:numPr>
          <w:ilvl w:val="0"/>
          <w:numId w:val="26"/>
        </w:numPr>
        <w:spacing w:before="120" w:after="120" w:line="240" w:lineRule="auto"/>
        <w:ind w:hanging="357"/>
        <w:rPr>
          <w:rFonts w:eastAsiaTheme="minorEastAsia"/>
        </w:rPr>
      </w:pPr>
      <w:r w:rsidRPr="007C705C">
        <w:rPr>
          <w:rFonts w:eastAsiaTheme="minorEastAsia"/>
        </w:rPr>
        <w:t>nízké zařazení prvků zelené infrastruktury do územních plánů (popř. pozemkových úprav) rozvoje měst a obcí (socioekonomické vlivy) - vytváření relaxačních zón – chybí prvky Smart Cities</w:t>
      </w:r>
    </w:p>
    <w:p w14:paraId="500D41B7" w14:textId="77777777" w:rsidR="003E0F58" w:rsidRPr="007C705C" w:rsidRDefault="003E0F58" w:rsidP="008A1AE3">
      <w:pPr>
        <w:pStyle w:val="Odstavecseseznamem"/>
        <w:numPr>
          <w:ilvl w:val="0"/>
          <w:numId w:val="29"/>
        </w:numPr>
        <w:spacing w:before="120" w:after="120" w:line="240" w:lineRule="auto"/>
        <w:ind w:hanging="357"/>
        <w:rPr>
          <w:rFonts w:eastAsiaTheme="minorEastAsia"/>
        </w:rPr>
      </w:pPr>
      <w:r w:rsidRPr="007C705C">
        <w:rPr>
          <w:rFonts w:eastAsiaTheme="minorEastAsia"/>
          <w:lang w:eastAsia="x-none"/>
        </w:rPr>
        <w:t xml:space="preserve">chybí propojenost zemědělského a veřejného sektoru </w:t>
      </w:r>
      <w:r w:rsidRPr="007C705C">
        <w:rPr>
          <w:lang w:eastAsia="x-none"/>
        </w:rPr>
        <w:tab/>
      </w:r>
    </w:p>
    <w:p w14:paraId="279EDF5A" w14:textId="77777777" w:rsidR="003E0F58" w:rsidRPr="007C705C" w:rsidRDefault="003E0F58" w:rsidP="008A1AE3">
      <w:pPr>
        <w:pStyle w:val="Odstavecseseznamem"/>
        <w:numPr>
          <w:ilvl w:val="0"/>
          <w:numId w:val="29"/>
        </w:numPr>
        <w:spacing w:before="120" w:after="120" w:line="240" w:lineRule="auto"/>
        <w:ind w:hanging="357"/>
        <w:rPr>
          <w:rFonts w:eastAsiaTheme="minorEastAsia"/>
        </w:rPr>
      </w:pPr>
      <w:r w:rsidRPr="007C705C">
        <w:rPr>
          <w:rFonts w:eastAsiaTheme="minorEastAsia"/>
        </w:rPr>
        <w:t>1) maximální využití veřejných financí k vytváření prvků zelené infrastruktury sloužících k ochraně a sociokulturnímu vyžití obyvatel (zapojit obyvatele do ozelenění obce) 2) podpora využití místních materiálových zdrojů, zbytkové biomasy z měst a obcí v zemědělství (výměna sláma za kompost apod.)</w:t>
      </w:r>
    </w:p>
    <w:p w14:paraId="14EB3951" w14:textId="77777777" w:rsidR="003E0F58" w:rsidRPr="007C705C" w:rsidRDefault="003E0F58" w:rsidP="008A1AE3">
      <w:pPr>
        <w:pStyle w:val="Odstavecseseznamem"/>
        <w:numPr>
          <w:ilvl w:val="0"/>
          <w:numId w:val="26"/>
        </w:numPr>
        <w:spacing w:before="120" w:after="120" w:line="240" w:lineRule="auto"/>
        <w:ind w:hanging="357"/>
        <w:rPr>
          <w:rFonts w:eastAsiaTheme="minorEastAsia"/>
        </w:rPr>
      </w:pPr>
      <w:r w:rsidRPr="007C705C">
        <w:rPr>
          <w:rFonts w:eastAsiaTheme="minorEastAsia"/>
        </w:rPr>
        <w:t>omezené možnosti uplatnění produkce pícnin na trhu se zemědělskými komoditami</w:t>
      </w:r>
    </w:p>
    <w:p w14:paraId="1F02A60E" w14:textId="77777777" w:rsidR="003E0F58" w:rsidRPr="007C705C" w:rsidRDefault="003E0F58" w:rsidP="008A1AE3">
      <w:pPr>
        <w:pStyle w:val="Odstavecseseznamem"/>
        <w:numPr>
          <w:ilvl w:val="0"/>
          <w:numId w:val="29"/>
        </w:numPr>
        <w:spacing w:before="120" w:after="120" w:line="240" w:lineRule="auto"/>
        <w:ind w:hanging="357"/>
        <w:rPr>
          <w:rFonts w:eastAsiaTheme="minorEastAsia"/>
        </w:rPr>
      </w:pPr>
      <w:r w:rsidRPr="007C705C">
        <w:rPr>
          <w:rFonts w:eastAsiaTheme="minorEastAsia"/>
          <w:lang w:eastAsia="x-none"/>
        </w:rPr>
        <w:t xml:space="preserve">zemědělci nemají potřebu měnit management pěstování TTP, není vytvářen dostatečný tlak na počet dobytka pro pastviny, výroba bioplynu je situována do produkčních oblastí </w:t>
      </w:r>
      <w:r w:rsidRPr="007C705C">
        <w:rPr>
          <w:lang w:eastAsia="x-none"/>
        </w:rPr>
        <w:tab/>
      </w:r>
    </w:p>
    <w:p w14:paraId="4A754C16" w14:textId="06019EA5" w:rsidR="003E0F58" w:rsidRPr="00C2702D" w:rsidRDefault="003E0F58" w:rsidP="008A1AE3">
      <w:pPr>
        <w:pStyle w:val="Odstavecseseznamem"/>
        <w:numPr>
          <w:ilvl w:val="0"/>
          <w:numId w:val="29"/>
        </w:numPr>
        <w:spacing w:before="120" w:after="120" w:line="240" w:lineRule="auto"/>
        <w:ind w:hanging="357"/>
        <w:rPr>
          <w:rFonts w:eastAsiaTheme="minorEastAsia"/>
        </w:rPr>
      </w:pPr>
      <w:r w:rsidRPr="007C705C">
        <w:rPr>
          <w:rFonts w:eastAsiaTheme="minorEastAsia"/>
        </w:rPr>
        <w:t>podpora bioplynových stanic využívajících jako dominantní zdroj travních senáží, využití energetických zdrojů biomasy v podhorských oblastech ČR</w:t>
      </w:r>
    </w:p>
    <w:p w14:paraId="10F4C5E1" w14:textId="2AF24A67" w:rsidR="003E0F58" w:rsidRPr="007C705C" w:rsidRDefault="00C2702D" w:rsidP="00C2702D">
      <w:pPr>
        <w:pStyle w:val="UZEITaB"/>
      </w:pPr>
      <w:bookmarkStart w:id="380" w:name="_Toc77245850"/>
      <w:r>
        <w:t xml:space="preserve"> </w:t>
      </w:r>
      <w:bookmarkStart w:id="381" w:name="_Toc94181614"/>
      <w:r w:rsidR="003E0F58" w:rsidRPr="007C705C">
        <w:t>Možnosti efektivního řešení problému v rámci nástrojů SZP - Nevyužívání změn managementu na půdě – zalesňování a zatravňování ZPF</w:t>
      </w:r>
      <w:bookmarkEnd w:id="380"/>
      <w:bookmarkEnd w:id="381"/>
    </w:p>
    <w:tbl>
      <w:tblPr>
        <w:tblStyle w:val="Mkatabulky2"/>
        <w:tblpPr w:leftFromText="141" w:rightFromText="141" w:vertAnchor="text" w:horzAnchor="margin" w:tblpY="158"/>
        <w:tblW w:w="9493" w:type="dxa"/>
        <w:tblLayout w:type="fixed"/>
        <w:tblLook w:val="04A0" w:firstRow="1" w:lastRow="0" w:firstColumn="1" w:lastColumn="0" w:noHBand="0" w:noVBand="1"/>
      </w:tblPr>
      <w:tblGrid>
        <w:gridCol w:w="1384"/>
        <w:gridCol w:w="1418"/>
        <w:gridCol w:w="2268"/>
        <w:gridCol w:w="1701"/>
        <w:gridCol w:w="1275"/>
        <w:gridCol w:w="1447"/>
      </w:tblGrid>
      <w:tr w:rsidR="003E0F58" w:rsidRPr="007C705C" w14:paraId="22A348BA" w14:textId="77777777" w:rsidTr="002D3D3A">
        <w:tc>
          <w:tcPr>
            <w:tcW w:w="1384" w:type="dxa"/>
            <w:shd w:val="clear" w:color="auto" w:fill="E7E6E6" w:themeFill="background2"/>
          </w:tcPr>
          <w:p w14:paraId="19581312"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Problém</w:t>
            </w:r>
          </w:p>
        </w:tc>
        <w:tc>
          <w:tcPr>
            <w:tcW w:w="1418" w:type="dxa"/>
            <w:shd w:val="clear" w:color="auto" w:fill="E7E6E6" w:themeFill="background2"/>
          </w:tcPr>
          <w:p w14:paraId="62E05435"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Příčiny</w:t>
            </w:r>
          </w:p>
        </w:tc>
        <w:tc>
          <w:tcPr>
            <w:tcW w:w="2268" w:type="dxa"/>
            <w:shd w:val="clear" w:color="auto" w:fill="E7E6E6" w:themeFill="background2"/>
          </w:tcPr>
          <w:p w14:paraId="530B57B5"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Převládající chování/reakce zemědělců</w:t>
            </w:r>
          </w:p>
        </w:tc>
        <w:tc>
          <w:tcPr>
            <w:tcW w:w="1701" w:type="dxa"/>
            <w:shd w:val="clear" w:color="auto" w:fill="E7E6E6" w:themeFill="background2"/>
          </w:tcPr>
          <w:p w14:paraId="7530AE84"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Nutná změna</w:t>
            </w:r>
          </w:p>
        </w:tc>
        <w:tc>
          <w:tcPr>
            <w:tcW w:w="1275" w:type="dxa"/>
            <w:shd w:val="clear" w:color="auto" w:fill="E7E6E6" w:themeFill="background2"/>
          </w:tcPr>
          <w:p w14:paraId="67A3F024"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Prvek intervence</w:t>
            </w:r>
          </w:p>
        </w:tc>
        <w:tc>
          <w:tcPr>
            <w:tcW w:w="1447" w:type="dxa"/>
            <w:shd w:val="clear" w:color="auto" w:fill="E7E6E6" w:themeFill="background2"/>
          </w:tcPr>
          <w:p w14:paraId="17408E64"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Intervence</w:t>
            </w:r>
          </w:p>
        </w:tc>
      </w:tr>
      <w:tr w:rsidR="003E0F58" w:rsidRPr="007C705C" w14:paraId="390B8FD4" w14:textId="77777777" w:rsidTr="002D3D3A">
        <w:tc>
          <w:tcPr>
            <w:tcW w:w="1384" w:type="dxa"/>
          </w:tcPr>
          <w:p w14:paraId="6D29DC76"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Nevyužívání změn managementu na půdě – zalesňování a zatravňování ZPF</w:t>
            </w:r>
          </w:p>
        </w:tc>
        <w:tc>
          <w:tcPr>
            <w:tcW w:w="1418" w:type="dxa"/>
          </w:tcPr>
          <w:p w14:paraId="79FB9359" w14:textId="77777777" w:rsidR="003E0F58" w:rsidRPr="007C705C" w:rsidRDefault="003E0F58" w:rsidP="004D2249">
            <w:pPr>
              <w:ind w:firstLine="39"/>
              <w:jc w:val="left"/>
              <w:rPr>
                <w:rFonts w:eastAsia="Calibri" w:cs="Times New Roman"/>
                <w:sz w:val="20"/>
                <w:szCs w:val="20"/>
              </w:rPr>
            </w:pPr>
            <w:r w:rsidRPr="007C705C">
              <w:rPr>
                <w:rFonts w:eastAsia="Calibri" w:cs="Times New Roman"/>
                <w:sz w:val="20"/>
                <w:szCs w:val="20"/>
              </w:rPr>
              <w:t>Nákladné založení</w:t>
            </w:r>
          </w:p>
          <w:p w14:paraId="4350C088" w14:textId="77777777" w:rsidR="003E0F58" w:rsidRPr="007C705C" w:rsidRDefault="003E0F58" w:rsidP="004D2249">
            <w:pPr>
              <w:ind w:firstLine="39"/>
              <w:jc w:val="left"/>
              <w:rPr>
                <w:rFonts w:eastAsia="Calibri" w:cs="Times New Roman"/>
                <w:sz w:val="20"/>
                <w:szCs w:val="20"/>
              </w:rPr>
            </w:pPr>
            <w:r w:rsidRPr="007C705C">
              <w:rPr>
                <w:rFonts w:eastAsia="Calibri" w:cs="Times New Roman"/>
                <w:color w:val="FF0000"/>
                <w:sz w:val="20"/>
                <w:szCs w:val="20"/>
              </w:rPr>
              <w:t>Platba odvodu ZPF</w:t>
            </w:r>
          </w:p>
          <w:p w14:paraId="0BF6FD59" w14:textId="77777777" w:rsidR="003E0F58" w:rsidRPr="007C705C" w:rsidRDefault="003E0F58" w:rsidP="004D2249">
            <w:pPr>
              <w:ind w:firstLine="39"/>
              <w:jc w:val="left"/>
              <w:rPr>
                <w:rFonts w:eastAsia="Calibri" w:cs="Times New Roman"/>
                <w:sz w:val="20"/>
                <w:szCs w:val="20"/>
              </w:rPr>
            </w:pPr>
            <w:r w:rsidRPr="007C705C">
              <w:rPr>
                <w:rFonts w:eastAsia="Calibri" w:cs="Times New Roman"/>
                <w:color w:val="7030A0"/>
                <w:sz w:val="20"/>
                <w:szCs w:val="20"/>
              </w:rPr>
              <w:t>Vlastnictví půdy</w:t>
            </w:r>
          </w:p>
          <w:p w14:paraId="1D61EDF1" w14:textId="77777777" w:rsidR="003E0F58" w:rsidRPr="007C705C" w:rsidRDefault="003E0F58" w:rsidP="004D2249">
            <w:pPr>
              <w:ind w:firstLine="39"/>
              <w:jc w:val="left"/>
              <w:rPr>
                <w:rFonts w:eastAsia="Calibri" w:cs="Times New Roman"/>
                <w:sz w:val="20"/>
                <w:szCs w:val="20"/>
              </w:rPr>
            </w:pPr>
            <w:r w:rsidRPr="007C705C">
              <w:rPr>
                <w:rFonts w:eastAsia="Calibri" w:cs="Times New Roman"/>
                <w:sz w:val="20"/>
                <w:szCs w:val="20"/>
              </w:rPr>
              <w:t>Chybí kvalifikace na lesy</w:t>
            </w:r>
          </w:p>
          <w:p w14:paraId="50F1E947" w14:textId="77777777" w:rsidR="003E0F58" w:rsidRPr="007C705C" w:rsidRDefault="003E0F58" w:rsidP="004D2249">
            <w:pPr>
              <w:ind w:firstLine="39"/>
              <w:jc w:val="left"/>
              <w:rPr>
                <w:rFonts w:eastAsia="Calibri" w:cs="Times New Roman"/>
                <w:sz w:val="20"/>
                <w:szCs w:val="20"/>
              </w:rPr>
            </w:pPr>
            <w:r w:rsidRPr="007C705C">
              <w:rPr>
                <w:rFonts w:eastAsia="Calibri" w:cs="Times New Roman"/>
                <w:sz w:val="20"/>
                <w:szCs w:val="20"/>
              </w:rPr>
              <w:t xml:space="preserve">Složité vrácení zpět (technicky, </w:t>
            </w:r>
            <w:r w:rsidRPr="007C705C">
              <w:rPr>
                <w:rFonts w:eastAsia="Calibri" w:cs="Times New Roman"/>
                <w:color w:val="FF0000"/>
                <w:sz w:val="20"/>
                <w:szCs w:val="20"/>
              </w:rPr>
              <w:t>legislativně</w:t>
            </w:r>
            <w:r w:rsidRPr="007C705C">
              <w:rPr>
                <w:rFonts w:eastAsia="Calibri" w:cs="Times New Roman"/>
                <w:sz w:val="20"/>
                <w:szCs w:val="20"/>
              </w:rPr>
              <w:t xml:space="preserve"> a nákladné)</w:t>
            </w:r>
          </w:p>
          <w:p w14:paraId="6B8F2181" w14:textId="77777777" w:rsidR="003E0F58" w:rsidRPr="007C705C" w:rsidRDefault="003E0F58" w:rsidP="004D2249">
            <w:pPr>
              <w:ind w:firstLine="39"/>
              <w:jc w:val="left"/>
              <w:rPr>
                <w:rFonts w:eastAsia="Calibri" w:cs="Times New Roman"/>
                <w:sz w:val="20"/>
                <w:szCs w:val="20"/>
              </w:rPr>
            </w:pPr>
            <w:r w:rsidRPr="007C705C">
              <w:rPr>
                <w:rFonts w:eastAsia="Calibri" w:cs="Times New Roman"/>
                <w:sz w:val="20"/>
                <w:szCs w:val="20"/>
              </w:rPr>
              <w:t xml:space="preserve">Problematické tržní uplatnění pícnin </w:t>
            </w:r>
          </w:p>
          <w:p w14:paraId="6D055476" w14:textId="77777777" w:rsidR="003E0F58" w:rsidRPr="007C705C" w:rsidRDefault="003E0F58" w:rsidP="004D2249">
            <w:pPr>
              <w:ind w:firstLine="39"/>
              <w:jc w:val="left"/>
              <w:rPr>
                <w:rFonts w:eastAsia="Calibri" w:cs="Times New Roman"/>
                <w:color w:val="FF0000"/>
                <w:sz w:val="20"/>
                <w:szCs w:val="20"/>
              </w:rPr>
            </w:pPr>
            <w:r w:rsidRPr="007C705C">
              <w:rPr>
                <w:rFonts w:eastAsia="Calibri" w:cs="Times New Roman"/>
                <w:color w:val="FF0000"/>
                <w:sz w:val="20"/>
                <w:szCs w:val="20"/>
              </w:rPr>
              <w:t>chybí propojenost zemědělského a veřejného sektoru</w:t>
            </w:r>
          </w:p>
          <w:p w14:paraId="008623CA" w14:textId="77777777" w:rsidR="003E0F58" w:rsidRPr="007C705C" w:rsidRDefault="003E0F58" w:rsidP="004D2249">
            <w:pPr>
              <w:ind w:firstLine="39"/>
              <w:jc w:val="left"/>
              <w:rPr>
                <w:rFonts w:eastAsia="Calibri" w:cs="Times New Roman"/>
                <w:color w:val="FF0000"/>
                <w:sz w:val="20"/>
                <w:szCs w:val="20"/>
              </w:rPr>
            </w:pPr>
            <w:r w:rsidRPr="007C705C">
              <w:rPr>
                <w:rFonts w:eastAsia="Calibri" w:cs="Times New Roman"/>
                <w:color w:val="FF0000"/>
                <w:sz w:val="20"/>
                <w:szCs w:val="20"/>
              </w:rPr>
              <w:lastRenderedPageBreak/>
              <w:t>nízké zařazení prvků zelené infrastruktury do územních plánů rozvoje měst a obcí</w:t>
            </w:r>
          </w:p>
          <w:p w14:paraId="3517A5AB" w14:textId="77777777" w:rsidR="003E0F58" w:rsidRPr="007C705C" w:rsidRDefault="003E0F58" w:rsidP="004D2249">
            <w:pPr>
              <w:ind w:firstLine="39"/>
              <w:jc w:val="left"/>
              <w:rPr>
                <w:rFonts w:eastAsia="Calibri" w:cs="Times New Roman"/>
                <w:sz w:val="20"/>
                <w:szCs w:val="20"/>
              </w:rPr>
            </w:pPr>
          </w:p>
        </w:tc>
        <w:tc>
          <w:tcPr>
            <w:tcW w:w="2268" w:type="dxa"/>
          </w:tcPr>
          <w:p w14:paraId="673B6E2E" w14:textId="77777777" w:rsidR="003E0F58" w:rsidRPr="007C705C" w:rsidRDefault="003E0F58" w:rsidP="004D2249">
            <w:pPr>
              <w:ind w:firstLine="39"/>
              <w:jc w:val="left"/>
              <w:rPr>
                <w:rFonts w:eastAsia="Calibri" w:cs="Times New Roman"/>
                <w:sz w:val="20"/>
                <w:szCs w:val="20"/>
              </w:rPr>
            </w:pPr>
            <w:r w:rsidRPr="007C705C">
              <w:rPr>
                <w:rFonts w:eastAsia="Calibri" w:cs="Times New Roman"/>
                <w:sz w:val="20"/>
                <w:szCs w:val="20"/>
              </w:rPr>
              <w:lastRenderedPageBreak/>
              <w:t>Nezalesňují</w:t>
            </w:r>
          </w:p>
          <w:p w14:paraId="6DFED6FA" w14:textId="77777777" w:rsidR="003E0F58" w:rsidRPr="007C705C" w:rsidRDefault="003E0F58" w:rsidP="004D2249">
            <w:pPr>
              <w:ind w:firstLine="39"/>
              <w:jc w:val="left"/>
              <w:rPr>
                <w:rFonts w:eastAsia="Calibri" w:cs="Times New Roman"/>
                <w:sz w:val="20"/>
                <w:szCs w:val="20"/>
              </w:rPr>
            </w:pPr>
            <w:r w:rsidRPr="007C705C">
              <w:rPr>
                <w:rFonts w:eastAsia="Calibri" w:cs="Times New Roman"/>
                <w:sz w:val="20"/>
                <w:szCs w:val="20"/>
              </w:rPr>
              <w:t>Nezatravňují</w:t>
            </w:r>
          </w:p>
          <w:p w14:paraId="648A2B81" w14:textId="77777777" w:rsidR="003E0F58" w:rsidRPr="007C705C" w:rsidRDefault="003E0F58" w:rsidP="004D2249">
            <w:pPr>
              <w:ind w:firstLine="39"/>
              <w:jc w:val="left"/>
              <w:rPr>
                <w:rFonts w:eastAsia="Calibri" w:cs="Times New Roman"/>
                <w:sz w:val="20"/>
                <w:szCs w:val="20"/>
              </w:rPr>
            </w:pPr>
            <w:r w:rsidRPr="007C705C">
              <w:rPr>
                <w:rFonts w:eastAsia="Calibri" w:cs="Times New Roman"/>
                <w:sz w:val="20"/>
                <w:szCs w:val="20"/>
              </w:rPr>
              <w:t>Nepěstují pícniny</w:t>
            </w:r>
          </w:p>
          <w:p w14:paraId="23B3E947" w14:textId="77777777" w:rsidR="003E0F58" w:rsidRPr="007C705C" w:rsidRDefault="003E0F58" w:rsidP="004D2249">
            <w:pPr>
              <w:ind w:firstLine="39"/>
              <w:jc w:val="left"/>
              <w:rPr>
                <w:rFonts w:eastAsia="Calibri" w:cs="Times New Roman"/>
                <w:sz w:val="20"/>
                <w:szCs w:val="20"/>
              </w:rPr>
            </w:pPr>
          </w:p>
          <w:p w14:paraId="48091478" w14:textId="77777777" w:rsidR="003E0F58" w:rsidRPr="007C705C" w:rsidRDefault="003E0F58" w:rsidP="004D2249">
            <w:pPr>
              <w:ind w:firstLine="39"/>
              <w:jc w:val="left"/>
              <w:rPr>
                <w:rFonts w:eastAsia="Calibri" w:cs="Times New Roman"/>
                <w:color w:val="7030A0"/>
                <w:sz w:val="20"/>
                <w:szCs w:val="20"/>
              </w:rPr>
            </w:pPr>
            <w:r w:rsidRPr="007C705C">
              <w:rPr>
                <w:rFonts w:eastAsia="Calibri" w:cs="Times New Roman"/>
                <w:color w:val="7030A0"/>
                <w:sz w:val="20"/>
                <w:szCs w:val="20"/>
              </w:rPr>
              <w:t xml:space="preserve">Není motivace </w:t>
            </w:r>
          </w:p>
          <w:p w14:paraId="1F632AF8" w14:textId="77777777" w:rsidR="003E0F58" w:rsidRPr="007C705C" w:rsidRDefault="003E0F58" w:rsidP="004D2249">
            <w:pPr>
              <w:ind w:firstLine="39"/>
              <w:jc w:val="left"/>
              <w:rPr>
                <w:rFonts w:eastAsia="Calibri" w:cs="Times New Roman"/>
                <w:sz w:val="20"/>
                <w:szCs w:val="20"/>
              </w:rPr>
            </w:pPr>
          </w:p>
          <w:p w14:paraId="3A742ABC" w14:textId="77777777" w:rsidR="003E0F58" w:rsidRPr="007C705C" w:rsidRDefault="003E0F58" w:rsidP="004D2249">
            <w:pPr>
              <w:ind w:firstLine="39"/>
              <w:jc w:val="left"/>
              <w:rPr>
                <w:rFonts w:eastAsia="Calibri" w:cs="Times New Roman"/>
                <w:sz w:val="20"/>
                <w:szCs w:val="20"/>
              </w:rPr>
            </w:pPr>
            <w:r w:rsidRPr="007C705C">
              <w:rPr>
                <w:rFonts w:eastAsia="Calibri" w:cs="Times New Roman"/>
                <w:sz w:val="20"/>
                <w:szCs w:val="20"/>
              </w:rPr>
              <w:t>Zrušili ž.v.</w:t>
            </w:r>
          </w:p>
          <w:p w14:paraId="15984272" w14:textId="77777777" w:rsidR="003E0F58" w:rsidRPr="007C705C" w:rsidRDefault="003E0F58" w:rsidP="004D2249">
            <w:pPr>
              <w:ind w:firstLine="39"/>
              <w:jc w:val="left"/>
              <w:rPr>
                <w:rFonts w:eastAsia="Calibri" w:cs="Times New Roman"/>
                <w:sz w:val="20"/>
                <w:szCs w:val="20"/>
              </w:rPr>
            </w:pPr>
          </w:p>
        </w:tc>
        <w:tc>
          <w:tcPr>
            <w:tcW w:w="1701" w:type="dxa"/>
          </w:tcPr>
          <w:p w14:paraId="0D39C238"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Zalesňovat</w:t>
            </w:r>
          </w:p>
          <w:p w14:paraId="7BDC97A9" w14:textId="77777777" w:rsidR="003E0F58" w:rsidRPr="007C705C" w:rsidRDefault="003E0F58" w:rsidP="004D2249">
            <w:pPr>
              <w:ind w:firstLine="39"/>
              <w:jc w:val="left"/>
              <w:rPr>
                <w:rFonts w:eastAsia="Calibri" w:cs="Times New Roman"/>
                <w:sz w:val="20"/>
                <w:szCs w:val="20"/>
              </w:rPr>
            </w:pPr>
          </w:p>
          <w:p w14:paraId="58B32CDF"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Zatravňovat</w:t>
            </w:r>
          </w:p>
          <w:p w14:paraId="6CCD583A" w14:textId="77777777" w:rsidR="003E0F58" w:rsidRPr="007C705C" w:rsidRDefault="003E0F58" w:rsidP="004D2249">
            <w:pPr>
              <w:ind w:firstLine="39"/>
              <w:jc w:val="left"/>
              <w:rPr>
                <w:rFonts w:eastAsia="Calibri" w:cs="Times New Roman"/>
                <w:sz w:val="20"/>
                <w:szCs w:val="20"/>
              </w:rPr>
            </w:pPr>
          </w:p>
          <w:p w14:paraId="1CBE9485"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Zvýšit pěstování pícnin</w:t>
            </w:r>
          </w:p>
          <w:p w14:paraId="56547813" w14:textId="77777777" w:rsidR="003E0F58" w:rsidRPr="007C705C" w:rsidRDefault="003E0F58" w:rsidP="004D2249">
            <w:pPr>
              <w:ind w:firstLine="39"/>
              <w:jc w:val="left"/>
              <w:rPr>
                <w:rFonts w:eastAsia="Calibri" w:cs="Times New Roman"/>
                <w:sz w:val="20"/>
                <w:szCs w:val="20"/>
              </w:rPr>
            </w:pPr>
          </w:p>
          <w:p w14:paraId="018F4EDE"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Zvýšit podíl vlastní vs. pronajaté půdy</w:t>
            </w:r>
          </w:p>
          <w:p w14:paraId="71D14594" w14:textId="77777777" w:rsidR="003E0F58" w:rsidRPr="007C705C" w:rsidRDefault="003E0F58" w:rsidP="004D2249">
            <w:pPr>
              <w:ind w:firstLine="39"/>
              <w:jc w:val="left"/>
              <w:rPr>
                <w:rFonts w:eastAsia="Calibri" w:cs="Times New Roman"/>
                <w:sz w:val="20"/>
                <w:szCs w:val="20"/>
              </w:rPr>
            </w:pPr>
          </w:p>
          <w:p w14:paraId="0467420C"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Zvýšit kvalifikaci v lesnictví</w:t>
            </w:r>
          </w:p>
          <w:p w14:paraId="085D6802" w14:textId="77777777" w:rsidR="003E0F58" w:rsidRPr="007C705C" w:rsidRDefault="003E0F58" w:rsidP="004D2249">
            <w:pPr>
              <w:jc w:val="left"/>
              <w:rPr>
                <w:rFonts w:eastAsia="Calibri" w:cs="Times New Roman"/>
                <w:sz w:val="20"/>
                <w:szCs w:val="20"/>
              </w:rPr>
            </w:pPr>
          </w:p>
          <w:p w14:paraId="026BB733"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Zajistit odbyt pícnin</w:t>
            </w:r>
          </w:p>
          <w:p w14:paraId="795FC1EB" w14:textId="77777777" w:rsidR="003E0F58" w:rsidRPr="007C705C" w:rsidRDefault="003E0F58" w:rsidP="004D2249">
            <w:pPr>
              <w:ind w:firstLine="39"/>
              <w:jc w:val="left"/>
              <w:rPr>
                <w:rFonts w:eastAsia="Calibri" w:cs="Times New Roman"/>
                <w:sz w:val="20"/>
                <w:szCs w:val="20"/>
              </w:rPr>
            </w:pPr>
          </w:p>
          <w:p w14:paraId="699F3C86"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Zajistit odbyt pro biomasu</w:t>
            </w:r>
          </w:p>
          <w:p w14:paraId="1CE1BDAB" w14:textId="77777777" w:rsidR="003E0F58" w:rsidRPr="007C705C" w:rsidRDefault="003E0F58" w:rsidP="004D2249">
            <w:pPr>
              <w:ind w:firstLine="39"/>
              <w:jc w:val="left"/>
              <w:rPr>
                <w:rFonts w:eastAsia="Calibri" w:cs="Times New Roman"/>
                <w:sz w:val="20"/>
                <w:szCs w:val="20"/>
              </w:rPr>
            </w:pPr>
          </w:p>
        </w:tc>
        <w:tc>
          <w:tcPr>
            <w:tcW w:w="1275" w:type="dxa"/>
          </w:tcPr>
          <w:p w14:paraId="1B360C8F"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 xml:space="preserve">zatravnění údolnic, </w:t>
            </w:r>
          </w:p>
          <w:p w14:paraId="038C8FB6"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 xml:space="preserve">drah povrchového odtoku, </w:t>
            </w:r>
          </w:p>
          <w:p w14:paraId="4271F0B7"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strmých svahů, ochranné zatravnění, popř. zalesnění</w:t>
            </w:r>
          </w:p>
          <w:p w14:paraId="282C6DC8" w14:textId="77777777" w:rsidR="003E0F58" w:rsidRPr="007C705C" w:rsidRDefault="003E0F58" w:rsidP="004D2249">
            <w:pPr>
              <w:ind w:firstLine="39"/>
              <w:jc w:val="left"/>
              <w:rPr>
                <w:rFonts w:eastAsia="Calibri" w:cs="Times New Roman"/>
                <w:sz w:val="20"/>
                <w:szCs w:val="20"/>
              </w:rPr>
            </w:pPr>
          </w:p>
          <w:p w14:paraId="4B7C4834"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agrolesnictví</w:t>
            </w:r>
          </w:p>
          <w:p w14:paraId="79EAD5B8" w14:textId="77777777" w:rsidR="003E0F58" w:rsidRPr="007C705C" w:rsidRDefault="003E0F58" w:rsidP="004D2249">
            <w:pPr>
              <w:ind w:firstLine="39"/>
              <w:jc w:val="left"/>
              <w:rPr>
                <w:rFonts w:eastAsia="Calibri" w:cs="Times New Roman"/>
                <w:sz w:val="20"/>
                <w:szCs w:val="20"/>
              </w:rPr>
            </w:pPr>
          </w:p>
          <w:p w14:paraId="4115E416"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Podpora nákupu půdy</w:t>
            </w:r>
          </w:p>
          <w:p w14:paraId="7FDBFDB9" w14:textId="77777777" w:rsidR="003E0F58" w:rsidRPr="007C705C" w:rsidRDefault="003E0F58" w:rsidP="004D2249">
            <w:pPr>
              <w:ind w:firstLine="39"/>
              <w:jc w:val="left"/>
              <w:rPr>
                <w:rFonts w:eastAsia="Calibri" w:cs="Times New Roman"/>
                <w:sz w:val="20"/>
                <w:szCs w:val="20"/>
              </w:rPr>
            </w:pPr>
          </w:p>
          <w:p w14:paraId="35A1AB54"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Transfer znalostí</w:t>
            </w:r>
          </w:p>
          <w:p w14:paraId="16367894" w14:textId="77777777" w:rsidR="003E0F58" w:rsidRPr="007C705C" w:rsidRDefault="003E0F58" w:rsidP="004D2249">
            <w:pPr>
              <w:ind w:firstLine="39"/>
              <w:jc w:val="left"/>
              <w:rPr>
                <w:rFonts w:eastAsia="Calibri" w:cs="Times New Roman"/>
                <w:sz w:val="20"/>
                <w:szCs w:val="20"/>
              </w:rPr>
            </w:pPr>
          </w:p>
          <w:p w14:paraId="42BC8F0C"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 xml:space="preserve">Podpora BPS na </w:t>
            </w:r>
            <w:r w:rsidRPr="007C705C">
              <w:rPr>
                <w:rFonts w:eastAsia="Calibri" w:cs="Times New Roman"/>
                <w:sz w:val="20"/>
                <w:szCs w:val="20"/>
              </w:rPr>
              <w:lastRenderedPageBreak/>
              <w:t>pícniny a trávy</w:t>
            </w:r>
          </w:p>
          <w:p w14:paraId="56C88B8F" w14:textId="77777777" w:rsidR="003E0F58" w:rsidRPr="007C705C" w:rsidRDefault="003E0F58" w:rsidP="004D2249">
            <w:pPr>
              <w:ind w:firstLine="39"/>
              <w:jc w:val="left"/>
              <w:rPr>
                <w:rFonts w:eastAsia="Calibri" w:cs="Times New Roman"/>
                <w:sz w:val="20"/>
                <w:szCs w:val="20"/>
              </w:rPr>
            </w:pPr>
          </w:p>
          <w:p w14:paraId="669EE2BC"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Podpora obecních výtopen na biomasu</w:t>
            </w:r>
          </w:p>
        </w:tc>
        <w:tc>
          <w:tcPr>
            <w:tcW w:w="1447" w:type="dxa"/>
          </w:tcPr>
          <w:p w14:paraId="786D34D0"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lastRenderedPageBreak/>
              <w:t>AEKO</w:t>
            </w:r>
          </w:p>
          <w:p w14:paraId="10900CB2" w14:textId="77777777" w:rsidR="003E0F58" w:rsidRPr="007C705C" w:rsidRDefault="003E0F58" w:rsidP="004D2249">
            <w:pPr>
              <w:ind w:firstLine="39"/>
              <w:jc w:val="left"/>
              <w:rPr>
                <w:rFonts w:eastAsia="Calibri" w:cs="Times New Roman"/>
                <w:sz w:val="20"/>
                <w:szCs w:val="20"/>
              </w:rPr>
            </w:pPr>
          </w:p>
          <w:p w14:paraId="0143C955"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Ekorežimy</w:t>
            </w:r>
          </w:p>
          <w:p w14:paraId="208F6BFE" w14:textId="77777777" w:rsidR="003E0F58" w:rsidRPr="007C705C" w:rsidRDefault="003E0F58" w:rsidP="004D2249">
            <w:pPr>
              <w:ind w:firstLine="39"/>
              <w:jc w:val="left"/>
              <w:rPr>
                <w:rFonts w:eastAsia="Calibri" w:cs="Times New Roman"/>
                <w:sz w:val="20"/>
                <w:szCs w:val="20"/>
              </w:rPr>
            </w:pPr>
          </w:p>
          <w:p w14:paraId="392EA5E6"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Investice do majetku</w:t>
            </w:r>
          </w:p>
          <w:p w14:paraId="4D9F377E" w14:textId="77777777" w:rsidR="003E0F58" w:rsidRPr="007C705C" w:rsidRDefault="003E0F58" w:rsidP="004D2249">
            <w:pPr>
              <w:jc w:val="left"/>
              <w:rPr>
                <w:rFonts w:eastAsia="Calibri" w:cs="Times New Roman"/>
                <w:sz w:val="20"/>
                <w:szCs w:val="20"/>
              </w:rPr>
            </w:pPr>
          </w:p>
          <w:p w14:paraId="7020B124"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Podpora poradenství a vzdělávání</w:t>
            </w:r>
          </w:p>
          <w:p w14:paraId="3138A026" w14:textId="77777777" w:rsidR="003E0F58" w:rsidRPr="007C705C" w:rsidRDefault="003E0F58" w:rsidP="004D2249">
            <w:pPr>
              <w:ind w:firstLine="39"/>
              <w:jc w:val="left"/>
              <w:rPr>
                <w:rFonts w:eastAsia="Calibri" w:cs="Times New Roman"/>
                <w:sz w:val="20"/>
                <w:szCs w:val="20"/>
              </w:rPr>
            </w:pPr>
          </w:p>
          <w:p w14:paraId="6464A533"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Investice do lesních oblastí a lesů</w:t>
            </w:r>
          </w:p>
          <w:p w14:paraId="042275BD" w14:textId="77777777" w:rsidR="003E0F58" w:rsidRPr="007C705C" w:rsidRDefault="003E0F58" w:rsidP="004D2249">
            <w:pPr>
              <w:ind w:firstLine="39"/>
              <w:jc w:val="left"/>
              <w:rPr>
                <w:rFonts w:eastAsia="Calibri" w:cs="Times New Roman"/>
                <w:sz w:val="20"/>
                <w:szCs w:val="20"/>
              </w:rPr>
            </w:pPr>
          </w:p>
        </w:tc>
      </w:tr>
    </w:tbl>
    <w:p w14:paraId="0B998C63" w14:textId="77777777" w:rsidR="003E0F58" w:rsidRPr="007C705C" w:rsidRDefault="003E0F58" w:rsidP="00C2702D">
      <w:pPr>
        <w:pStyle w:val="UZEIZdroj"/>
      </w:pPr>
      <w:r w:rsidRPr="007C705C">
        <w:rPr>
          <w:b/>
          <w:color w:val="FF0000"/>
        </w:rPr>
        <w:t>Červeně/tučně</w:t>
      </w:r>
      <w:r w:rsidRPr="007C705C">
        <w:rPr>
          <w:color w:val="FF0000"/>
        </w:rPr>
        <w:t xml:space="preserve"> </w:t>
      </w:r>
      <w:r w:rsidRPr="007C705C">
        <w:t>= mimo dosah zemědělce – příčinu nemůže změnit, ani SZP nemá nástroje na řešení</w:t>
      </w:r>
    </w:p>
    <w:p w14:paraId="1CAB79AC" w14:textId="77777777" w:rsidR="003E0F58" w:rsidRPr="007C705C" w:rsidRDefault="003E0F58" w:rsidP="00C2702D">
      <w:pPr>
        <w:pStyle w:val="UZEIZdroj"/>
      </w:pPr>
      <w:r w:rsidRPr="007C705C">
        <w:rPr>
          <w:b/>
          <w:color w:val="7030A0"/>
        </w:rPr>
        <w:t>Fialově/tučně</w:t>
      </w:r>
      <w:r w:rsidRPr="007C705C">
        <w:rPr>
          <w:color w:val="7030A0"/>
        </w:rPr>
        <w:t xml:space="preserve"> </w:t>
      </w:r>
      <w:r w:rsidRPr="007C705C">
        <w:t>= může ovlivnit jen do jisté míry</w:t>
      </w:r>
    </w:p>
    <w:p w14:paraId="79678ECD" w14:textId="77777777" w:rsidR="003E0F58" w:rsidRPr="007C705C" w:rsidRDefault="003E0F58" w:rsidP="00C2702D">
      <w:pPr>
        <w:pStyle w:val="UZEIZdroj"/>
        <w:rPr>
          <w:rFonts w:eastAsiaTheme="minorEastAsia"/>
        </w:rPr>
      </w:pPr>
      <w:r w:rsidRPr="007C705C">
        <w:t>Zdroj: Pracovní skupina Klima, 2018</w:t>
      </w:r>
    </w:p>
    <w:p w14:paraId="14DE4E14" w14:textId="77777777" w:rsidR="003E0F58" w:rsidRPr="007C705C" w:rsidRDefault="003E0F58" w:rsidP="003E0F58">
      <w:pPr>
        <w:rPr>
          <w:rFonts w:eastAsiaTheme="minorEastAsia" w:cs="Times New Roman"/>
          <w:lang w:val="cs-CZ"/>
        </w:rPr>
      </w:pPr>
    </w:p>
    <w:p w14:paraId="2F6615A1" w14:textId="072FCB1B" w:rsidR="003E0F58" w:rsidRPr="007C705C" w:rsidRDefault="003E0F58" w:rsidP="00C2702D">
      <w:pPr>
        <w:pStyle w:val="UZEIOdrky"/>
        <w:rPr>
          <w:rFonts w:eastAsiaTheme="minorEastAsia"/>
        </w:rPr>
      </w:pPr>
      <w:r w:rsidRPr="007C705C">
        <w:rPr>
          <w:rFonts w:eastAsiaTheme="minorEastAsia"/>
        </w:rPr>
        <w:t>Pomalé zavádění technologií snižujících emise GHG a NH</w:t>
      </w:r>
      <w:r w:rsidRPr="0006094E">
        <w:rPr>
          <w:rFonts w:eastAsiaTheme="minorEastAsia"/>
          <w:vertAlign w:val="subscript"/>
        </w:rPr>
        <w:t>3</w:t>
      </w:r>
      <w:r w:rsidRPr="007C705C">
        <w:rPr>
          <w:rFonts w:eastAsiaTheme="minorEastAsia"/>
        </w:rPr>
        <w:t xml:space="preserve"> v živočišné a rostlinné výrobě</w:t>
      </w:r>
    </w:p>
    <w:p w14:paraId="1FDADE06" w14:textId="77777777" w:rsidR="00797E29" w:rsidRDefault="003E0F58" w:rsidP="008A1AE3">
      <w:pPr>
        <w:pStyle w:val="Odstavecseseznamem"/>
        <w:numPr>
          <w:ilvl w:val="0"/>
          <w:numId w:val="29"/>
        </w:numPr>
        <w:spacing w:before="120" w:after="120" w:line="240" w:lineRule="auto"/>
        <w:ind w:left="1797" w:hanging="357"/>
        <w:rPr>
          <w:rFonts w:eastAsiaTheme="minorEastAsia"/>
        </w:rPr>
      </w:pPr>
      <w:r w:rsidRPr="007C705C">
        <w:rPr>
          <w:rFonts w:eastAsiaTheme="minorEastAsia"/>
        </w:rPr>
        <w:t>Zavádění těchto technologií lze podpořit buď přímo dotacemi na pořízení snižujících technologií (např. zastřešení jímek, modernizace stájí, používání biotechnologických přípravků do krmiva, napájecí vody nebo do kejdy) nebo nepřímými dotacemi (budování BPS, zlepšování stájového mikroklimatu vedoucí ke snížení produkce plynů).</w:t>
      </w:r>
    </w:p>
    <w:p w14:paraId="7A589C73" w14:textId="780E69A8" w:rsidR="003E0F58" w:rsidRPr="007C705C" w:rsidRDefault="00797E29" w:rsidP="008A1AE3">
      <w:pPr>
        <w:pStyle w:val="Odstavecseseznamem"/>
        <w:numPr>
          <w:ilvl w:val="0"/>
          <w:numId w:val="29"/>
        </w:numPr>
        <w:spacing w:before="120" w:after="120" w:line="240" w:lineRule="auto"/>
        <w:ind w:left="1797" w:hanging="357"/>
        <w:rPr>
          <w:rFonts w:eastAsiaTheme="minorEastAsia"/>
        </w:rPr>
      </w:pPr>
      <w:r w:rsidRPr="00B96B9F">
        <w:t>Rychlejšího a efektivnějšího zavádění technologií snižujících emise lze dosáhnout i podporou většího rozšíření technologií pro precizní zemědělství</w:t>
      </w:r>
      <w:r w:rsidR="003E0F58" w:rsidRPr="007C705C">
        <w:rPr>
          <w:rFonts w:eastAsiaTheme="minorEastAsia"/>
        </w:rPr>
        <w:t>.</w:t>
      </w:r>
    </w:p>
    <w:p w14:paraId="4DDFBA43" w14:textId="02414A61" w:rsidR="003E0F58" w:rsidRPr="00C2702D" w:rsidRDefault="003E0F58" w:rsidP="008A1AE3">
      <w:pPr>
        <w:pStyle w:val="Odstavecseseznamem"/>
        <w:numPr>
          <w:ilvl w:val="0"/>
          <w:numId w:val="29"/>
        </w:numPr>
        <w:spacing w:before="120" w:after="120" w:line="240" w:lineRule="auto"/>
        <w:ind w:left="1797" w:hanging="357"/>
        <w:rPr>
          <w:rFonts w:eastAsiaTheme="minorEastAsia"/>
        </w:rPr>
      </w:pPr>
      <w:r w:rsidRPr="007C705C">
        <w:rPr>
          <w:rFonts w:eastAsiaTheme="minorEastAsia"/>
        </w:rPr>
        <w:t>Zajištění větší informovanosti zemědělské veřejnosti o problematice emisí NH</w:t>
      </w:r>
      <w:r w:rsidRPr="0006094E">
        <w:rPr>
          <w:rFonts w:eastAsiaTheme="minorEastAsia"/>
          <w:vertAlign w:val="subscript"/>
        </w:rPr>
        <w:t>3</w:t>
      </w:r>
      <w:r w:rsidRPr="007C705C">
        <w:rPr>
          <w:rFonts w:eastAsiaTheme="minorEastAsia"/>
        </w:rPr>
        <w:t xml:space="preserve"> a GHG, o předpokládaném vývoji legislativy, o vlivu snížení emisí na lepší využití statkových hnojiv a v případě snížení produkce NH</w:t>
      </w:r>
      <w:r w:rsidRPr="0006094E">
        <w:rPr>
          <w:rFonts w:eastAsiaTheme="minorEastAsia"/>
          <w:vertAlign w:val="subscript"/>
        </w:rPr>
        <w:t>3</w:t>
      </w:r>
      <w:r w:rsidRPr="007C705C">
        <w:rPr>
          <w:rFonts w:eastAsiaTheme="minorEastAsia"/>
        </w:rPr>
        <w:t xml:space="preserve"> ve stáji o vlivu na zlepšení zdravotního stavu a užitkovosti ustájených zvířat.</w:t>
      </w:r>
    </w:p>
    <w:p w14:paraId="1AF97728" w14:textId="0A998A59" w:rsidR="003E0F58" w:rsidRPr="007C705C" w:rsidRDefault="00C2702D" w:rsidP="00C2702D">
      <w:pPr>
        <w:pStyle w:val="UZEITaB"/>
      </w:pPr>
      <w:bookmarkStart w:id="382" w:name="_Toc77245851"/>
      <w:r>
        <w:t xml:space="preserve"> </w:t>
      </w:r>
      <w:bookmarkStart w:id="383" w:name="_Toc94181615"/>
      <w:r w:rsidR="003E0F58" w:rsidRPr="007C705C">
        <w:t>Možnosti efektivního řešení problému v rámci nástrojů SZP - Zavádění technologií snižujících emise GHG a NH</w:t>
      </w:r>
      <w:r w:rsidR="003E0F58" w:rsidRPr="007C705C">
        <w:rPr>
          <w:vertAlign w:val="subscript"/>
        </w:rPr>
        <w:t>3</w:t>
      </w:r>
      <w:bookmarkEnd w:id="382"/>
      <w:bookmarkEnd w:id="383"/>
    </w:p>
    <w:tbl>
      <w:tblPr>
        <w:tblStyle w:val="Mkatabulky2"/>
        <w:tblpPr w:leftFromText="141" w:rightFromText="141" w:vertAnchor="text" w:horzAnchor="margin" w:tblpY="171"/>
        <w:tblW w:w="9351" w:type="dxa"/>
        <w:tblLayout w:type="fixed"/>
        <w:tblLook w:val="04A0" w:firstRow="1" w:lastRow="0" w:firstColumn="1" w:lastColumn="0" w:noHBand="0" w:noVBand="1"/>
      </w:tblPr>
      <w:tblGrid>
        <w:gridCol w:w="1384"/>
        <w:gridCol w:w="1418"/>
        <w:gridCol w:w="2268"/>
        <w:gridCol w:w="1701"/>
        <w:gridCol w:w="1275"/>
        <w:gridCol w:w="1305"/>
      </w:tblGrid>
      <w:tr w:rsidR="003E0F58" w:rsidRPr="007C705C" w14:paraId="3A795BB3" w14:textId="77777777" w:rsidTr="001C5FDC">
        <w:tc>
          <w:tcPr>
            <w:tcW w:w="1384" w:type="dxa"/>
            <w:shd w:val="clear" w:color="auto" w:fill="E7E6E6" w:themeFill="background2"/>
          </w:tcPr>
          <w:p w14:paraId="6F5CF2B3"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Problém</w:t>
            </w:r>
          </w:p>
        </w:tc>
        <w:tc>
          <w:tcPr>
            <w:tcW w:w="1418" w:type="dxa"/>
            <w:shd w:val="clear" w:color="auto" w:fill="E7E6E6" w:themeFill="background2"/>
          </w:tcPr>
          <w:p w14:paraId="5BD7AD91"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Příčiny</w:t>
            </w:r>
          </w:p>
        </w:tc>
        <w:tc>
          <w:tcPr>
            <w:tcW w:w="2268" w:type="dxa"/>
            <w:shd w:val="clear" w:color="auto" w:fill="E7E6E6" w:themeFill="background2"/>
          </w:tcPr>
          <w:p w14:paraId="7C2A8D48"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Převládající chování/reakce zemědělců</w:t>
            </w:r>
          </w:p>
        </w:tc>
        <w:tc>
          <w:tcPr>
            <w:tcW w:w="1701" w:type="dxa"/>
            <w:shd w:val="clear" w:color="auto" w:fill="E7E6E6" w:themeFill="background2"/>
          </w:tcPr>
          <w:p w14:paraId="077AFBCB"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Nutná změna</w:t>
            </w:r>
          </w:p>
        </w:tc>
        <w:tc>
          <w:tcPr>
            <w:tcW w:w="1275" w:type="dxa"/>
            <w:shd w:val="clear" w:color="auto" w:fill="E7E6E6" w:themeFill="background2"/>
          </w:tcPr>
          <w:p w14:paraId="141A5F4F"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Prvek intervence</w:t>
            </w:r>
          </w:p>
        </w:tc>
        <w:tc>
          <w:tcPr>
            <w:tcW w:w="1305" w:type="dxa"/>
            <w:shd w:val="clear" w:color="auto" w:fill="E7E6E6" w:themeFill="background2"/>
          </w:tcPr>
          <w:p w14:paraId="52C714E4"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Intervence</w:t>
            </w:r>
          </w:p>
        </w:tc>
      </w:tr>
      <w:tr w:rsidR="003E0F58" w:rsidRPr="007C705C" w14:paraId="24601C75" w14:textId="77777777" w:rsidTr="001C5FDC">
        <w:tc>
          <w:tcPr>
            <w:tcW w:w="1384" w:type="dxa"/>
          </w:tcPr>
          <w:p w14:paraId="5CBFB8F1"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Pomalé zavádění technologií snižujících emise GHG a NH3 v živočišné a rostlinné výrobě</w:t>
            </w:r>
          </w:p>
        </w:tc>
        <w:tc>
          <w:tcPr>
            <w:tcW w:w="1418" w:type="dxa"/>
          </w:tcPr>
          <w:p w14:paraId="4226EA5D"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Nejsou emisní limity</w:t>
            </w:r>
          </w:p>
          <w:p w14:paraId="69F9D271" w14:textId="77777777" w:rsidR="003E0F58" w:rsidRPr="007C705C" w:rsidRDefault="003E0F58" w:rsidP="004D2249">
            <w:pPr>
              <w:jc w:val="left"/>
              <w:rPr>
                <w:rFonts w:eastAsia="Calibri" w:cs="Times New Roman"/>
                <w:sz w:val="20"/>
                <w:szCs w:val="20"/>
              </w:rPr>
            </w:pPr>
          </w:p>
          <w:p w14:paraId="300B1F08"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Nákladné</w:t>
            </w:r>
          </w:p>
          <w:p w14:paraId="35B2318D"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Neinformovanost</w:t>
            </w:r>
          </w:p>
          <w:p w14:paraId="1023B82E" w14:textId="77777777" w:rsidR="003E0F58" w:rsidRPr="007C705C" w:rsidRDefault="003E0F58" w:rsidP="004D2249">
            <w:pPr>
              <w:jc w:val="left"/>
              <w:rPr>
                <w:rFonts w:eastAsia="Calibri" w:cs="Times New Roman"/>
                <w:sz w:val="20"/>
                <w:szCs w:val="20"/>
              </w:rPr>
            </w:pPr>
          </w:p>
          <w:p w14:paraId="455D7AE7"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Chybí jako služba</w:t>
            </w:r>
            <w:r w:rsidRPr="007C705C">
              <w:rPr>
                <w:rFonts w:eastAsia="Calibri" w:cs="Times New Roman"/>
                <w:sz w:val="20"/>
                <w:szCs w:val="20"/>
                <w:vertAlign w:val="superscript"/>
              </w:rPr>
              <w:footnoteReference w:id="9"/>
            </w:r>
          </w:p>
          <w:p w14:paraId="2E40C09E" w14:textId="77777777" w:rsidR="003E0F58" w:rsidRPr="007C705C" w:rsidRDefault="003E0F58" w:rsidP="004D2249">
            <w:pPr>
              <w:jc w:val="left"/>
              <w:rPr>
                <w:rFonts w:eastAsia="Calibri" w:cs="Times New Roman"/>
                <w:sz w:val="20"/>
                <w:szCs w:val="20"/>
              </w:rPr>
            </w:pPr>
          </w:p>
          <w:p w14:paraId="052A38EE"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Často vyšší provozní náklady</w:t>
            </w:r>
          </w:p>
        </w:tc>
        <w:tc>
          <w:tcPr>
            <w:tcW w:w="2268" w:type="dxa"/>
          </w:tcPr>
          <w:p w14:paraId="3FD6B989"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Nevyužívají možností precizního zemědělství</w:t>
            </w:r>
          </w:p>
          <w:p w14:paraId="2B9883A7" w14:textId="77777777" w:rsidR="003E0F58" w:rsidRPr="007C705C" w:rsidRDefault="003E0F58" w:rsidP="004D2249">
            <w:pPr>
              <w:jc w:val="left"/>
              <w:rPr>
                <w:rFonts w:eastAsia="Calibri" w:cs="Times New Roman"/>
                <w:sz w:val="20"/>
                <w:szCs w:val="20"/>
              </w:rPr>
            </w:pPr>
          </w:p>
          <w:p w14:paraId="14FF7111"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Nezavádí nové technologie</w:t>
            </w:r>
          </w:p>
        </w:tc>
        <w:tc>
          <w:tcPr>
            <w:tcW w:w="1701" w:type="dxa"/>
          </w:tcPr>
          <w:p w14:paraId="26A15306"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Zavádět snižující technologie</w:t>
            </w:r>
          </w:p>
          <w:p w14:paraId="15FAC95A" w14:textId="77777777" w:rsidR="003E0F58" w:rsidRPr="007C705C" w:rsidRDefault="003E0F58" w:rsidP="004D2249">
            <w:pPr>
              <w:jc w:val="left"/>
              <w:rPr>
                <w:rFonts w:eastAsia="Calibri" w:cs="Times New Roman"/>
                <w:sz w:val="20"/>
                <w:szCs w:val="20"/>
              </w:rPr>
            </w:pPr>
          </w:p>
          <w:p w14:paraId="510B2FB3"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Zvýšit informovanost</w:t>
            </w:r>
          </w:p>
        </w:tc>
        <w:tc>
          <w:tcPr>
            <w:tcW w:w="1275" w:type="dxa"/>
          </w:tcPr>
          <w:p w14:paraId="3531D419"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Podpora investic vybraných technologií</w:t>
            </w:r>
          </w:p>
          <w:p w14:paraId="53A29667" w14:textId="77777777" w:rsidR="003E0F58" w:rsidRPr="007C705C" w:rsidRDefault="003E0F58" w:rsidP="004D2249">
            <w:pPr>
              <w:jc w:val="left"/>
              <w:rPr>
                <w:rFonts w:eastAsia="Calibri" w:cs="Times New Roman"/>
                <w:sz w:val="20"/>
                <w:szCs w:val="20"/>
              </w:rPr>
            </w:pPr>
          </w:p>
          <w:p w14:paraId="1F70C6A9"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budování BPS</w:t>
            </w:r>
          </w:p>
          <w:p w14:paraId="448201AF" w14:textId="77777777" w:rsidR="003E0F58" w:rsidRPr="007C705C" w:rsidRDefault="003E0F58" w:rsidP="004D2249">
            <w:pPr>
              <w:jc w:val="left"/>
              <w:rPr>
                <w:rFonts w:eastAsia="Calibri" w:cs="Times New Roman"/>
                <w:sz w:val="20"/>
                <w:szCs w:val="20"/>
              </w:rPr>
            </w:pPr>
          </w:p>
          <w:p w14:paraId="4A876A92"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Podpora vzdělávání</w:t>
            </w:r>
          </w:p>
        </w:tc>
        <w:tc>
          <w:tcPr>
            <w:tcW w:w="1305" w:type="dxa"/>
          </w:tcPr>
          <w:p w14:paraId="48102E44"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Investice do majetku</w:t>
            </w:r>
          </w:p>
          <w:p w14:paraId="2FCBCEA1" w14:textId="77777777" w:rsidR="003E0F58" w:rsidRPr="007C705C" w:rsidRDefault="003E0F58" w:rsidP="004D2249">
            <w:pPr>
              <w:jc w:val="left"/>
              <w:rPr>
                <w:rFonts w:eastAsia="Calibri" w:cs="Times New Roman"/>
                <w:sz w:val="20"/>
                <w:szCs w:val="20"/>
              </w:rPr>
            </w:pPr>
          </w:p>
          <w:p w14:paraId="38C2CDDB"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Podpora poradenství a vzdělávání</w:t>
            </w:r>
          </w:p>
        </w:tc>
      </w:tr>
    </w:tbl>
    <w:p w14:paraId="16307C70" w14:textId="77777777" w:rsidR="003E0F58" w:rsidRPr="007C705C" w:rsidRDefault="003E0F58" w:rsidP="00C2702D">
      <w:pPr>
        <w:pStyle w:val="UZEIZdroj"/>
      </w:pPr>
      <w:r w:rsidRPr="007C705C">
        <w:rPr>
          <w:b/>
          <w:color w:val="FF0000"/>
        </w:rPr>
        <w:t>Červeně/tučně</w:t>
      </w:r>
      <w:r w:rsidRPr="007C705C">
        <w:rPr>
          <w:color w:val="FF0000"/>
        </w:rPr>
        <w:t xml:space="preserve"> </w:t>
      </w:r>
      <w:r w:rsidRPr="007C705C">
        <w:t>= mimo dosah zemědělce – příčinu nemůže změnit, ani SZP nemá nástroje na řešení</w:t>
      </w:r>
    </w:p>
    <w:p w14:paraId="5D22968C" w14:textId="77777777" w:rsidR="003E0F58" w:rsidRPr="007C705C" w:rsidRDefault="003E0F58" w:rsidP="00C2702D">
      <w:pPr>
        <w:pStyle w:val="UZEIZdroj"/>
      </w:pPr>
      <w:r w:rsidRPr="007C705C">
        <w:rPr>
          <w:b/>
          <w:color w:val="7030A0"/>
        </w:rPr>
        <w:t>Fialově/tučně</w:t>
      </w:r>
      <w:r w:rsidRPr="007C705C">
        <w:rPr>
          <w:color w:val="7030A0"/>
        </w:rPr>
        <w:t xml:space="preserve"> </w:t>
      </w:r>
      <w:r w:rsidRPr="007C705C">
        <w:t>= může ovlivnit jen do jisté míry</w:t>
      </w:r>
    </w:p>
    <w:p w14:paraId="112FE5D6" w14:textId="4162E5E8" w:rsidR="003E0F58" w:rsidRPr="00C2702D" w:rsidRDefault="003E0F58" w:rsidP="00C2702D">
      <w:pPr>
        <w:pStyle w:val="UZEIZdroj"/>
        <w:rPr>
          <w:rFonts w:eastAsiaTheme="minorEastAsia"/>
        </w:rPr>
      </w:pPr>
      <w:r w:rsidRPr="007C705C">
        <w:t>Zdroj: Pracovní skupina Klima, 2018</w:t>
      </w:r>
    </w:p>
    <w:p w14:paraId="759109EC" w14:textId="77777777" w:rsidR="003E0F58" w:rsidRPr="007C705C" w:rsidRDefault="003E0F58" w:rsidP="008A1AE3">
      <w:pPr>
        <w:pStyle w:val="Odstavecseseznamem"/>
        <w:numPr>
          <w:ilvl w:val="0"/>
          <w:numId w:val="18"/>
        </w:numPr>
        <w:spacing w:before="60" w:line="360" w:lineRule="atLeast"/>
        <w:rPr>
          <w:rFonts w:eastAsiaTheme="minorEastAsia"/>
          <w:b/>
          <w:bCs/>
        </w:rPr>
      </w:pPr>
      <w:r w:rsidRPr="007C705C">
        <w:rPr>
          <w:rFonts w:eastAsiaTheme="minorEastAsia"/>
          <w:b/>
          <w:bCs/>
        </w:rPr>
        <w:t>Nízký obsah organického uhlíku v půdě</w:t>
      </w:r>
    </w:p>
    <w:p w14:paraId="58369200" w14:textId="0A1ACBC1" w:rsidR="003E0F58" w:rsidRPr="007C705C" w:rsidRDefault="003E0F58" w:rsidP="00C2702D">
      <w:pPr>
        <w:pStyle w:val="UZEIOdrky"/>
        <w:rPr>
          <w:rFonts w:eastAsiaTheme="minorEastAsia"/>
        </w:rPr>
      </w:pPr>
      <w:bookmarkStart w:id="384" w:name="_Hlk525815684"/>
      <w:r w:rsidRPr="007C705C">
        <w:rPr>
          <w:rFonts w:eastAsiaTheme="minorEastAsia"/>
        </w:rPr>
        <w:t>Úbytek organického uhlíku v orné půdě</w:t>
      </w:r>
      <w:bookmarkEnd w:id="384"/>
    </w:p>
    <w:p w14:paraId="408C002A" w14:textId="77777777" w:rsidR="003E0F58" w:rsidRPr="007C705C" w:rsidRDefault="003E0F58" w:rsidP="00C2702D">
      <w:pPr>
        <w:pStyle w:val="UZEINormaln"/>
        <w:rPr>
          <w:rFonts w:eastAsiaTheme="minorEastAsia"/>
        </w:rPr>
      </w:pPr>
      <w:r w:rsidRPr="007C705C">
        <w:rPr>
          <w:rFonts w:eastAsiaTheme="minorEastAsia"/>
        </w:rPr>
        <w:lastRenderedPageBreak/>
        <w:t>Do oblasti řešení sekvestrace uhlíku částečně spadají opatření zaměřená na omezení eroze (greening), ale lze je považovat za naprosto nedostatečná. V naprosté většině je pěstování meziplodin prováděno nevhodným způsobem s cílem zemědělce naopak omezit množství vyprodukované biomasy. Jedná se především o pozdní setí meziplodin, nízké výsevky, druhově chudé směsi, zapravení meziplodin do půdy intenzivní kultivací.  Je tedy nutné upravit podmínky podpory, aby přinášely skutečný efekt, tj. výsev do 3 dnů po sklizni (optimum je 24 hodin, které zajišťuje dostatek vláhy pro jejich vzcházení) a omezení zpracování půdy před setím následné plodiny (ideálně výsev do mulče meziplodiny).</w:t>
      </w:r>
    </w:p>
    <w:p w14:paraId="55EF0FE4" w14:textId="77777777" w:rsidR="003E0F58" w:rsidRPr="007C705C" w:rsidRDefault="003E0F58" w:rsidP="00C2702D">
      <w:pPr>
        <w:pStyle w:val="UZEINormaln"/>
        <w:rPr>
          <w:rFonts w:eastAsiaTheme="minorEastAsia"/>
        </w:rPr>
      </w:pPr>
      <w:r w:rsidRPr="007C705C">
        <w:rPr>
          <w:rFonts w:eastAsiaTheme="minorEastAsia"/>
        </w:rPr>
        <w:t>Především musí být, ale problematika sekvestrace uhlíku řešena v komplexu, tedy uplatnění více opatření najednou. K hlavním opatřením patří:</w:t>
      </w:r>
    </w:p>
    <w:p w14:paraId="4F41865A" w14:textId="77777777" w:rsidR="003E0F58" w:rsidRPr="007C705C" w:rsidRDefault="003E0F58" w:rsidP="008A1AE3">
      <w:pPr>
        <w:pStyle w:val="Odstavecseseznamem"/>
        <w:numPr>
          <w:ilvl w:val="0"/>
          <w:numId w:val="27"/>
        </w:numPr>
        <w:spacing w:before="120" w:after="120" w:line="240" w:lineRule="auto"/>
        <w:rPr>
          <w:rFonts w:eastAsiaTheme="minorEastAsia"/>
        </w:rPr>
      </w:pPr>
      <w:r w:rsidRPr="007C705C">
        <w:rPr>
          <w:rFonts w:eastAsiaTheme="minorEastAsia"/>
        </w:rPr>
        <w:t>Podpora živočišné výroby, vedoucí ke zvýšení podílu víceletých pícnin na orné půdě a návratu kvalitní organické hmoty do půdy ve formě statkových hnojiv</w:t>
      </w:r>
    </w:p>
    <w:p w14:paraId="1FCC1373" w14:textId="77777777" w:rsidR="003E0F58" w:rsidRPr="007C705C" w:rsidRDefault="003E0F58" w:rsidP="008A1AE3">
      <w:pPr>
        <w:pStyle w:val="Odstavecseseznamem"/>
        <w:numPr>
          <w:ilvl w:val="0"/>
          <w:numId w:val="27"/>
        </w:numPr>
        <w:spacing w:before="120" w:after="120" w:line="240" w:lineRule="auto"/>
        <w:rPr>
          <w:rFonts w:eastAsiaTheme="minorEastAsia"/>
        </w:rPr>
      </w:pPr>
      <w:r w:rsidRPr="007C705C">
        <w:rPr>
          <w:rFonts w:eastAsiaTheme="minorEastAsia"/>
        </w:rPr>
        <w:t>Omezení nadbytečných dávek minerálních hnojiv (především dusíku vedoucí) ke zvýšenému rozkladu organické hmoty – opatření je identické s opatřením pro omezení emisí oxidu dusného</w:t>
      </w:r>
    </w:p>
    <w:p w14:paraId="7312D3B4" w14:textId="77777777" w:rsidR="003E0F58" w:rsidRPr="007C705C" w:rsidRDefault="003E0F58" w:rsidP="008A1AE3">
      <w:pPr>
        <w:pStyle w:val="Odstavecseseznamem"/>
        <w:numPr>
          <w:ilvl w:val="0"/>
          <w:numId w:val="27"/>
        </w:numPr>
        <w:spacing w:before="120" w:after="120" w:line="240" w:lineRule="auto"/>
        <w:rPr>
          <w:rFonts w:eastAsiaTheme="minorEastAsia"/>
        </w:rPr>
      </w:pPr>
      <w:r w:rsidRPr="007C705C">
        <w:rPr>
          <w:rFonts w:eastAsiaTheme="minorEastAsia"/>
        </w:rPr>
        <w:t xml:space="preserve">Podpora pěstování meziplodin se zásadním zpřísněním pravidel pro poskytování podpory. Především je nutné zajistit výsev co nejdříve po sklizni plodiny (max. 3 dny). Dále je nutné preferovat druhově bohaté směsky s optimálním podílem leguminóz (do 20 %) a také s podílem druhů s velmi pomalým rozkladem organické hmoty (tj. vysoký stupeň lignifikace jako je např. len). </w:t>
      </w:r>
    </w:p>
    <w:p w14:paraId="345091AF" w14:textId="77777777" w:rsidR="003E0F58" w:rsidRPr="007C705C" w:rsidRDefault="003E0F58" w:rsidP="008A1AE3">
      <w:pPr>
        <w:pStyle w:val="Odstavecseseznamem"/>
        <w:numPr>
          <w:ilvl w:val="0"/>
          <w:numId w:val="27"/>
        </w:numPr>
        <w:spacing w:before="120" w:after="120" w:line="240" w:lineRule="auto"/>
        <w:rPr>
          <w:rFonts w:eastAsiaTheme="minorEastAsia"/>
        </w:rPr>
      </w:pPr>
      <w:r w:rsidRPr="007C705C">
        <w:rPr>
          <w:rFonts w:eastAsiaTheme="minorEastAsia"/>
        </w:rPr>
        <w:t xml:space="preserve">Podpora bezorebných technologií zakládání porostů (ideálně setí přímo do mulče meziplodiny). </w:t>
      </w:r>
    </w:p>
    <w:p w14:paraId="11F1B2A1" w14:textId="77777777" w:rsidR="003E0F58" w:rsidRPr="007C705C" w:rsidRDefault="003E0F58" w:rsidP="008A1AE3">
      <w:pPr>
        <w:pStyle w:val="Odstavecseseznamem"/>
        <w:numPr>
          <w:ilvl w:val="0"/>
          <w:numId w:val="27"/>
        </w:numPr>
        <w:spacing w:before="120" w:after="120" w:line="240" w:lineRule="auto"/>
        <w:rPr>
          <w:rFonts w:eastAsiaTheme="minorEastAsia"/>
        </w:rPr>
      </w:pPr>
      <w:r w:rsidRPr="007C705C">
        <w:rPr>
          <w:rFonts w:eastAsiaTheme="minorEastAsia"/>
        </w:rPr>
        <w:t>Podpora agrolesnictví na dosud zemědělsky obhospodařovaných pozemcích. Lesnické prvky na zemědělské půdě mohou chránit také před větrnou či vodní erozí a v období vysokých teplot chránit před nadměrným zahříváním a vysušováním půdy.  Je nutné ale zvažovat také případné negativní důsledky (odčerpávání vody v okolí stromů).</w:t>
      </w:r>
    </w:p>
    <w:p w14:paraId="005E8BFB" w14:textId="77777777" w:rsidR="003E0F58" w:rsidRPr="007C705C" w:rsidRDefault="003E0F58" w:rsidP="008A1AE3">
      <w:pPr>
        <w:pStyle w:val="Odstavecseseznamem"/>
        <w:numPr>
          <w:ilvl w:val="0"/>
          <w:numId w:val="27"/>
        </w:numPr>
        <w:spacing w:before="120" w:after="120" w:line="240" w:lineRule="auto"/>
        <w:rPr>
          <w:rFonts w:eastAsiaTheme="minorEastAsia"/>
        </w:rPr>
      </w:pPr>
      <w:r w:rsidRPr="007C705C">
        <w:rPr>
          <w:rFonts w:eastAsiaTheme="minorEastAsia"/>
        </w:rPr>
        <w:t>Diverzifikace plodin - souvislá plocha jedné zemědělské plodiny na DPB s kulturou standardní orná půda nepřesahující 30 ha (v SZP 14+ DZES 7d), větší diverzita plodin snižuje rizika degradace půdy (úbytek organické hmoty v půdě, eroze).</w:t>
      </w:r>
    </w:p>
    <w:p w14:paraId="3EBD285D" w14:textId="65CCDCC8" w:rsidR="003E0F58" w:rsidRPr="00C2702D" w:rsidRDefault="003E0F58" w:rsidP="008A1AE3">
      <w:pPr>
        <w:pStyle w:val="Odstavecseseznamem"/>
        <w:numPr>
          <w:ilvl w:val="0"/>
          <w:numId w:val="27"/>
        </w:numPr>
        <w:spacing w:before="120" w:after="120" w:line="240" w:lineRule="auto"/>
        <w:rPr>
          <w:rFonts w:eastAsiaTheme="minorEastAsia"/>
        </w:rPr>
      </w:pPr>
      <w:r w:rsidRPr="007C705C">
        <w:rPr>
          <w:rFonts w:eastAsiaTheme="minorEastAsia"/>
        </w:rPr>
        <w:t>Pro zmírnění rizika degradace půd lze ve větší míře využívat EFA plochy s pozitivním protierozním vlivem a s potenciálem dodání organické hmoty do půdy. Jako plochy EFA mohou být vyčleněny plochy s plodinami, které vážou dusík, plochy s meziplodinami, plochy s rychle rostoucími dřevinami, zalesněná plochy, úhor s porostem, souvrať a několik druhů krajinných prvků.</w:t>
      </w:r>
    </w:p>
    <w:p w14:paraId="79C24DBA" w14:textId="34507E7A" w:rsidR="003E0F58" w:rsidRPr="007C705C" w:rsidRDefault="00C2702D" w:rsidP="00C2702D">
      <w:pPr>
        <w:pStyle w:val="UZEITaB"/>
      </w:pPr>
      <w:bookmarkStart w:id="385" w:name="_Toc77245852"/>
      <w:r>
        <w:t xml:space="preserve"> </w:t>
      </w:r>
      <w:bookmarkStart w:id="386" w:name="_Toc94181616"/>
      <w:r w:rsidR="003E0F58" w:rsidRPr="007C705C">
        <w:t>Možnosti efektivního řešení problému v rámci nástrojů SZP - Úbytek organického uhlíku v orné půdě</w:t>
      </w:r>
      <w:bookmarkEnd w:id="385"/>
      <w:bookmarkEnd w:id="386"/>
    </w:p>
    <w:tbl>
      <w:tblPr>
        <w:tblStyle w:val="Mkatabulky2"/>
        <w:tblpPr w:leftFromText="141" w:rightFromText="141" w:vertAnchor="text" w:horzAnchor="margin" w:tblpY="214"/>
        <w:tblW w:w="9180" w:type="dxa"/>
        <w:tblLayout w:type="fixed"/>
        <w:tblLook w:val="04A0" w:firstRow="1" w:lastRow="0" w:firstColumn="1" w:lastColumn="0" w:noHBand="0" w:noVBand="1"/>
      </w:tblPr>
      <w:tblGrid>
        <w:gridCol w:w="1384"/>
        <w:gridCol w:w="1418"/>
        <w:gridCol w:w="2268"/>
        <w:gridCol w:w="1701"/>
        <w:gridCol w:w="1275"/>
        <w:gridCol w:w="1134"/>
      </w:tblGrid>
      <w:tr w:rsidR="003E0F58" w:rsidRPr="007C705C" w14:paraId="0FAEA558" w14:textId="77777777" w:rsidTr="004D2249">
        <w:tc>
          <w:tcPr>
            <w:tcW w:w="1384" w:type="dxa"/>
            <w:shd w:val="clear" w:color="auto" w:fill="E7E6E6" w:themeFill="background2"/>
          </w:tcPr>
          <w:p w14:paraId="2E2CBF86"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Problém</w:t>
            </w:r>
          </w:p>
        </w:tc>
        <w:tc>
          <w:tcPr>
            <w:tcW w:w="1418" w:type="dxa"/>
            <w:shd w:val="clear" w:color="auto" w:fill="E7E6E6" w:themeFill="background2"/>
          </w:tcPr>
          <w:p w14:paraId="05BC4157"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Příčiny</w:t>
            </w:r>
          </w:p>
        </w:tc>
        <w:tc>
          <w:tcPr>
            <w:tcW w:w="2268" w:type="dxa"/>
            <w:shd w:val="clear" w:color="auto" w:fill="E7E6E6" w:themeFill="background2"/>
          </w:tcPr>
          <w:p w14:paraId="222348ED"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Převládající chování/reakce zemědělců</w:t>
            </w:r>
          </w:p>
        </w:tc>
        <w:tc>
          <w:tcPr>
            <w:tcW w:w="1701" w:type="dxa"/>
            <w:shd w:val="clear" w:color="auto" w:fill="E7E6E6" w:themeFill="background2"/>
          </w:tcPr>
          <w:p w14:paraId="3EB166EB"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Nutná změna</w:t>
            </w:r>
          </w:p>
        </w:tc>
        <w:tc>
          <w:tcPr>
            <w:tcW w:w="1275" w:type="dxa"/>
            <w:shd w:val="clear" w:color="auto" w:fill="E7E6E6" w:themeFill="background2"/>
          </w:tcPr>
          <w:p w14:paraId="36C60F67"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Prvek intervence</w:t>
            </w:r>
          </w:p>
        </w:tc>
        <w:tc>
          <w:tcPr>
            <w:tcW w:w="1134" w:type="dxa"/>
            <w:shd w:val="clear" w:color="auto" w:fill="E7E6E6" w:themeFill="background2"/>
          </w:tcPr>
          <w:p w14:paraId="6749A793"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Intervence</w:t>
            </w:r>
          </w:p>
        </w:tc>
      </w:tr>
      <w:tr w:rsidR="003E0F58" w:rsidRPr="007C705C" w14:paraId="00AA6224" w14:textId="77777777" w:rsidTr="004D2249">
        <w:tc>
          <w:tcPr>
            <w:tcW w:w="1384" w:type="dxa"/>
          </w:tcPr>
          <w:p w14:paraId="3A09ECDF"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 xml:space="preserve">Úbytek organického uhlíku v orné půdě </w:t>
            </w:r>
          </w:p>
        </w:tc>
        <w:tc>
          <w:tcPr>
            <w:tcW w:w="1418" w:type="dxa"/>
          </w:tcPr>
          <w:p w14:paraId="29D100ED"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Orba</w:t>
            </w:r>
          </w:p>
          <w:p w14:paraId="521D5CBD" w14:textId="77777777" w:rsidR="003E0F58" w:rsidRPr="007C705C" w:rsidRDefault="003E0F58" w:rsidP="004D2249">
            <w:pPr>
              <w:jc w:val="left"/>
              <w:rPr>
                <w:rFonts w:eastAsia="Calibri" w:cs="Times New Roman"/>
                <w:sz w:val="20"/>
                <w:szCs w:val="20"/>
              </w:rPr>
            </w:pPr>
          </w:p>
          <w:p w14:paraId="4B7B93EE"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Nízký přísun org. hmoty</w:t>
            </w:r>
          </w:p>
          <w:p w14:paraId="5EE6E00F" w14:textId="77777777" w:rsidR="003E0F58" w:rsidRPr="007C705C" w:rsidRDefault="003E0F58" w:rsidP="004D2249">
            <w:pPr>
              <w:jc w:val="left"/>
              <w:rPr>
                <w:rFonts w:eastAsia="Calibri" w:cs="Times New Roman"/>
                <w:sz w:val="20"/>
                <w:szCs w:val="20"/>
              </w:rPr>
            </w:pPr>
          </w:p>
          <w:p w14:paraId="5A2E8E0B"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Pokles ž.v.</w:t>
            </w:r>
          </w:p>
          <w:p w14:paraId="470C19BB" w14:textId="77777777" w:rsidR="003E0F58" w:rsidRPr="007C705C" w:rsidRDefault="003E0F58" w:rsidP="004D2249">
            <w:pPr>
              <w:jc w:val="left"/>
              <w:rPr>
                <w:rFonts w:eastAsia="Calibri" w:cs="Times New Roman"/>
                <w:sz w:val="20"/>
                <w:szCs w:val="20"/>
              </w:rPr>
            </w:pPr>
          </w:p>
          <w:p w14:paraId="3643FDB1"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 xml:space="preserve">Není tržní uplatnění </w:t>
            </w:r>
            <w:r w:rsidRPr="007C705C">
              <w:rPr>
                <w:rFonts w:eastAsia="Calibri" w:cs="Times New Roman"/>
                <w:sz w:val="20"/>
                <w:szCs w:val="20"/>
              </w:rPr>
              <w:lastRenderedPageBreak/>
              <w:t>víceletých pícnin</w:t>
            </w:r>
          </w:p>
          <w:p w14:paraId="69683236" w14:textId="77777777" w:rsidR="003E0F58" w:rsidRPr="007C705C" w:rsidRDefault="003E0F58" w:rsidP="004D2249">
            <w:pPr>
              <w:jc w:val="left"/>
              <w:rPr>
                <w:rFonts w:eastAsia="Calibri" w:cs="Times New Roman"/>
                <w:sz w:val="20"/>
                <w:szCs w:val="20"/>
              </w:rPr>
            </w:pPr>
          </w:p>
          <w:p w14:paraId="5D5B2352"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Přehnojení prům. „N“</w:t>
            </w:r>
          </w:p>
          <w:p w14:paraId="0C66FB9A" w14:textId="77777777" w:rsidR="003E0F58" w:rsidRPr="007C705C" w:rsidRDefault="003E0F58" w:rsidP="004D2249">
            <w:pPr>
              <w:jc w:val="left"/>
              <w:rPr>
                <w:rFonts w:eastAsia="Calibri" w:cs="Times New Roman"/>
                <w:sz w:val="20"/>
                <w:szCs w:val="20"/>
              </w:rPr>
            </w:pPr>
          </w:p>
        </w:tc>
        <w:tc>
          <w:tcPr>
            <w:tcW w:w="2268" w:type="dxa"/>
          </w:tcPr>
          <w:p w14:paraId="65CEEB41"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lastRenderedPageBreak/>
              <w:t>Málo zařazují meziplodiny</w:t>
            </w:r>
          </w:p>
          <w:p w14:paraId="4E24122D" w14:textId="77777777" w:rsidR="003E0F58" w:rsidRPr="007C705C" w:rsidRDefault="003E0F58" w:rsidP="004D2249">
            <w:pPr>
              <w:jc w:val="left"/>
              <w:rPr>
                <w:rFonts w:eastAsia="Calibri" w:cs="Times New Roman"/>
                <w:sz w:val="20"/>
                <w:szCs w:val="20"/>
              </w:rPr>
            </w:pPr>
          </w:p>
          <w:p w14:paraId="58DA21F6"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Málo pěstují víceleté pícniny</w:t>
            </w:r>
          </w:p>
          <w:p w14:paraId="4355BD7F"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Přehnojují „N“</w:t>
            </w:r>
          </w:p>
        </w:tc>
        <w:tc>
          <w:tcPr>
            <w:tcW w:w="1701" w:type="dxa"/>
          </w:tcPr>
          <w:p w14:paraId="4B5396E4"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Omezit orbu</w:t>
            </w:r>
          </w:p>
          <w:p w14:paraId="60D075ED" w14:textId="77777777" w:rsidR="003E0F58" w:rsidRPr="007C705C" w:rsidRDefault="003E0F58" w:rsidP="004D2249">
            <w:pPr>
              <w:jc w:val="left"/>
              <w:rPr>
                <w:rFonts w:eastAsia="Calibri" w:cs="Times New Roman"/>
                <w:sz w:val="20"/>
                <w:szCs w:val="20"/>
              </w:rPr>
            </w:pPr>
          </w:p>
          <w:p w14:paraId="384901C7"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Více org. hmoty do půdy</w:t>
            </w:r>
          </w:p>
          <w:p w14:paraId="63D612B9" w14:textId="77777777" w:rsidR="003E0F58" w:rsidRPr="007C705C" w:rsidRDefault="003E0F58" w:rsidP="004D2249">
            <w:pPr>
              <w:jc w:val="left"/>
              <w:rPr>
                <w:rFonts w:eastAsia="Calibri" w:cs="Times New Roman"/>
                <w:sz w:val="20"/>
                <w:szCs w:val="20"/>
              </w:rPr>
            </w:pPr>
          </w:p>
          <w:p w14:paraId="26991E79"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Zvýšit stavy h.z.</w:t>
            </w:r>
          </w:p>
          <w:p w14:paraId="5B32C493" w14:textId="77777777" w:rsidR="003E0F58" w:rsidRPr="007C705C" w:rsidRDefault="003E0F58" w:rsidP="004D2249">
            <w:pPr>
              <w:jc w:val="left"/>
              <w:rPr>
                <w:rFonts w:eastAsia="Calibri" w:cs="Times New Roman"/>
                <w:sz w:val="20"/>
                <w:szCs w:val="20"/>
              </w:rPr>
            </w:pPr>
          </w:p>
          <w:p w14:paraId="45AC1338"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Snížit dávky prům. „N“</w:t>
            </w:r>
          </w:p>
          <w:p w14:paraId="756A20AF" w14:textId="77777777" w:rsidR="003E0F58" w:rsidRPr="007C705C" w:rsidRDefault="003E0F58" w:rsidP="004D2249">
            <w:pPr>
              <w:jc w:val="left"/>
              <w:rPr>
                <w:rFonts w:eastAsia="Calibri" w:cs="Times New Roman"/>
                <w:sz w:val="20"/>
                <w:szCs w:val="20"/>
              </w:rPr>
            </w:pPr>
          </w:p>
          <w:p w14:paraId="0374D582"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Omezit 1 leté plodiny</w:t>
            </w:r>
          </w:p>
          <w:p w14:paraId="342FA07D" w14:textId="77777777" w:rsidR="003E0F58" w:rsidRPr="007C705C" w:rsidRDefault="003E0F58" w:rsidP="004D2249">
            <w:pPr>
              <w:jc w:val="left"/>
              <w:rPr>
                <w:rFonts w:eastAsia="Calibri" w:cs="Times New Roman"/>
                <w:sz w:val="20"/>
                <w:szCs w:val="20"/>
              </w:rPr>
            </w:pPr>
          </w:p>
          <w:p w14:paraId="222CA118"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Zvýšit podíl víceletých</w:t>
            </w:r>
          </w:p>
          <w:p w14:paraId="252CECB6" w14:textId="77777777" w:rsidR="003E0F58" w:rsidRPr="007C705C" w:rsidRDefault="003E0F58" w:rsidP="004D2249">
            <w:pPr>
              <w:jc w:val="left"/>
              <w:rPr>
                <w:rFonts w:eastAsia="Calibri" w:cs="Times New Roman"/>
                <w:sz w:val="20"/>
                <w:szCs w:val="20"/>
              </w:rPr>
            </w:pPr>
          </w:p>
          <w:p w14:paraId="4781D789"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Zvýšit pěstování meziplodin</w:t>
            </w:r>
          </w:p>
          <w:p w14:paraId="5B367F4E" w14:textId="77777777" w:rsidR="003E0F58" w:rsidRPr="007C705C" w:rsidRDefault="003E0F58" w:rsidP="004D2249">
            <w:pPr>
              <w:jc w:val="left"/>
              <w:rPr>
                <w:rFonts w:eastAsia="Calibri" w:cs="Times New Roman"/>
                <w:sz w:val="20"/>
                <w:szCs w:val="20"/>
              </w:rPr>
            </w:pPr>
          </w:p>
          <w:p w14:paraId="54BEB9B0"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Zajistit odbyt pícnin</w:t>
            </w:r>
          </w:p>
          <w:p w14:paraId="33E6736C" w14:textId="77777777" w:rsidR="003E0F58" w:rsidRPr="007C705C" w:rsidRDefault="003E0F58" w:rsidP="004D2249">
            <w:pPr>
              <w:jc w:val="left"/>
              <w:rPr>
                <w:rFonts w:eastAsia="Calibri" w:cs="Times New Roman"/>
                <w:sz w:val="20"/>
                <w:szCs w:val="20"/>
              </w:rPr>
            </w:pPr>
          </w:p>
        </w:tc>
        <w:tc>
          <w:tcPr>
            <w:tcW w:w="1275" w:type="dxa"/>
          </w:tcPr>
          <w:p w14:paraId="2AE6D1F3"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lastRenderedPageBreak/>
              <w:t>DZES</w:t>
            </w:r>
          </w:p>
          <w:p w14:paraId="74111757" w14:textId="77777777" w:rsidR="003E0F58" w:rsidRPr="007C705C" w:rsidRDefault="003E0F58" w:rsidP="004D2249">
            <w:pPr>
              <w:jc w:val="left"/>
              <w:rPr>
                <w:rFonts w:eastAsia="Calibri" w:cs="Times New Roman"/>
                <w:sz w:val="20"/>
                <w:szCs w:val="20"/>
              </w:rPr>
            </w:pPr>
          </w:p>
          <w:p w14:paraId="4EB94A0F"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výsev do mulče meziplodiny</w:t>
            </w:r>
          </w:p>
          <w:p w14:paraId="355AF931" w14:textId="77777777" w:rsidR="003E0F58" w:rsidRPr="007C705C" w:rsidRDefault="003E0F58" w:rsidP="004D2249">
            <w:pPr>
              <w:jc w:val="left"/>
              <w:rPr>
                <w:rFonts w:eastAsia="Calibri" w:cs="Times New Roman"/>
                <w:sz w:val="20"/>
                <w:szCs w:val="20"/>
              </w:rPr>
            </w:pPr>
          </w:p>
          <w:p w14:paraId="7E169B2C"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 xml:space="preserve">podpora aplikace </w:t>
            </w:r>
            <w:r w:rsidRPr="007C705C">
              <w:rPr>
                <w:rFonts w:eastAsia="Calibri" w:cs="Times New Roman"/>
                <w:sz w:val="20"/>
                <w:szCs w:val="20"/>
              </w:rPr>
              <w:lastRenderedPageBreak/>
              <w:t>organických hnojiv</w:t>
            </w:r>
            <w:r w:rsidRPr="007C705C" w:rsidDel="00284508">
              <w:rPr>
                <w:rFonts w:eastAsia="Calibri" w:cs="Times New Roman"/>
                <w:sz w:val="20"/>
                <w:szCs w:val="20"/>
              </w:rPr>
              <w:t xml:space="preserve"> </w:t>
            </w:r>
          </w:p>
          <w:p w14:paraId="444BE709" w14:textId="77777777" w:rsidR="003E0F58" w:rsidRPr="007C705C" w:rsidRDefault="003E0F58" w:rsidP="004D2249">
            <w:pPr>
              <w:jc w:val="left"/>
              <w:rPr>
                <w:rFonts w:eastAsia="Calibri" w:cs="Times New Roman"/>
                <w:sz w:val="20"/>
                <w:szCs w:val="20"/>
              </w:rPr>
            </w:pPr>
          </w:p>
          <w:p w14:paraId="2EEB2E72"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Podpora investic vybraných technologií</w:t>
            </w:r>
          </w:p>
          <w:p w14:paraId="0F618DA7" w14:textId="77777777" w:rsidR="003E0F58" w:rsidRPr="007C705C" w:rsidRDefault="003E0F58" w:rsidP="004D2249">
            <w:pPr>
              <w:jc w:val="left"/>
              <w:rPr>
                <w:rFonts w:eastAsia="Calibri" w:cs="Times New Roman"/>
                <w:sz w:val="20"/>
                <w:szCs w:val="20"/>
              </w:rPr>
            </w:pPr>
          </w:p>
          <w:p w14:paraId="2C840906"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Náhrada 1letých víceletými plodinami</w:t>
            </w:r>
          </w:p>
          <w:p w14:paraId="605AFE59" w14:textId="77777777" w:rsidR="003E0F58" w:rsidRPr="007C705C" w:rsidRDefault="003E0F58" w:rsidP="004D2249">
            <w:pPr>
              <w:jc w:val="left"/>
              <w:rPr>
                <w:rFonts w:eastAsia="Calibri" w:cs="Times New Roman"/>
                <w:sz w:val="20"/>
                <w:szCs w:val="20"/>
              </w:rPr>
            </w:pPr>
          </w:p>
          <w:p w14:paraId="1DDC8E00"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Meziplodiny</w:t>
            </w:r>
          </w:p>
          <w:p w14:paraId="31405E88" w14:textId="77777777" w:rsidR="003E0F58" w:rsidRPr="007C705C" w:rsidRDefault="003E0F58" w:rsidP="004D2249">
            <w:pPr>
              <w:jc w:val="left"/>
              <w:rPr>
                <w:rFonts w:eastAsia="Calibri" w:cs="Times New Roman"/>
                <w:sz w:val="20"/>
                <w:szCs w:val="20"/>
              </w:rPr>
            </w:pPr>
          </w:p>
          <w:p w14:paraId="0D775AA8"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Podpora BPS na pícniny a trávy</w:t>
            </w:r>
          </w:p>
          <w:p w14:paraId="36DD8AF1" w14:textId="77777777" w:rsidR="003E0F58" w:rsidRPr="007C705C" w:rsidRDefault="003E0F58" w:rsidP="004D2249">
            <w:pPr>
              <w:jc w:val="left"/>
              <w:rPr>
                <w:rFonts w:eastAsia="Calibri" w:cs="Times New Roman"/>
                <w:sz w:val="20"/>
                <w:szCs w:val="20"/>
              </w:rPr>
            </w:pPr>
          </w:p>
          <w:p w14:paraId="6C2803F5"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Podpora obecních výtopen na biomasu</w:t>
            </w:r>
          </w:p>
        </w:tc>
        <w:tc>
          <w:tcPr>
            <w:tcW w:w="1134" w:type="dxa"/>
          </w:tcPr>
          <w:p w14:paraId="562CC7FC"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lastRenderedPageBreak/>
              <w:t>Ekorežimy</w:t>
            </w:r>
          </w:p>
          <w:p w14:paraId="0F0103AA" w14:textId="77777777" w:rsidR="003E0F58" w:rsidRPr="007C705C" w:rsidRDefault="003E0F58" w:rsidP="004D2249">
            <w:pPr>
              <w:jc w:val="left"/>
              <w:rPr>
                <w:rFonts w:eastAsia="Calibri" w:cs="Times New Roman"/>
                <w:sz w:val="20"/>
                <w:szCs w:val="20"/>
              </w:rPr>
            </w:pPr>
          </w:p>
          <w:p w14:paraId="34F64090"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Investice do majetku</w:t>
            </w:r>
          </w:p>
          <w:p w14:paraId="6617A9CE" w14:textId="77777777" w:rsidR="003E0F58" w:rsidRPr="007C705C" w:rsidRDefault="003E0F58" w:rsidP="004D2249">
            <w:pPr>
              <w:jc w:val="left"/>
              <w:rPr>
                <w:rFonts w:eastAsia="Calibri" w:cs="Times New Roman"/>
                <w:sz w:val="20"/>
                <w:szCs w:val="20"/>
              </w:rPr>
            </w:pPr>
          </w:p>
          <w:p w14:paraId="34DA2757" w14:textId="77777777" w:rsidR="003E0F58" w:rsidRPr="007C705C" w:rsidRDefault="003E0F58" w:rsidP="004D2249">
            <w:pPr>
              <w:jc w:val="left"/>
              <w:rPr>
                <w:rFonts w:eastAsia="Calibri" w:cs="Times New Roman"/>
                <w:sz w:val="20"/>
                <w:szCs w:val="20"/>
              </w:rPr>
            </w:pPr>
          </w:p>
          <w:p w14:paraId="302416D6"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AEKO</w:t>
            </w:r>
          </w:p>
          <w:p w14:paraId="738CEE99" w14:textId="77777777" w:rsidR="003E0F58" w:rsidRPr="007C705C" w:rsidRDefault="003E0F58" w:rsidP="004D2249">
            <w:pPr>
              <w:jc w:val="left"/>
              <w:rPr>
                <w:rFonts w:eastAsia="Calibri" w:cs="Times New Roman"/>
                <w:sz w:val="20"/>
                <w:szCs w:val="20"/>
              </w:rPr>
            </w:pPr>
          </w:p>
        </w:tc>
      </w:tr>
    </w:tbl>
    <w:p w14:paraId="2383AA9D" w14:textId="77777777" w:rsidR="003E0F58" w:rsidRPr="007C705C" w:rsidRDefault="003E0F58" w:rsidP="00C2702D">
      <w:pPr>
        <w:pStyle w:val="UZEIZdroj"/>
      </w:pPr>
      <w:r w:rsidRPr="007C705C">
        <w:rPr>
          <w:b/>
          <w:color w:val="FF0000"/>
        </w:rPr>
        <w:t>Červeně/tučně</w:t>
      </w:r>
      <w:r w:rsidRPr="007C705C">
        <w:rPr>
          <w:color w:val="FF0000"/>
        </w:rPr>
        <w:t xml:space="preserve"> </w:t>
      </w:r>
      <w:r w:rsidRPr="007C705C">
        <w:t>= mimo dosah zemědělce – příčinu nemůže změnit, ani SZP nemá nástroje na řešení</w:t>
      </w:r>
    </w:p>
    <w:p w14:paraId="0D3510F9" w14:textId="77777777" w:rsidR="003E0F58" w:rsidRPr="007C705C" w:rsidRDefault="003E0F58" w:rsidP="00C2702D">
      <w:pPr>
        <w:pStyle w:val="UZEIZdroj"/>
      </w:pPr>
      <w:r w:rsidRPr="007C705C">
        <w:rPr>
          <w:b/>
          <w:color w:val="7030A0"/>
        </w:rPr>
        <w:t>Fialově/tučně</w:t>
      </w:r>
      <w:r w:rsidRPr="007C705C">
        <w:rPr>
          <w:color w:val="7030A0"/>
        </w:rPr>
        <w:t xml:space="preserve"> </w:t>
      </w:r>
      <w:r w:rsidRPr="007C705C">
        <w:t>= může ovlivnit jen do jisté míry</w:t>
      </w:r>
    </w:p>
    <w:p w14:paraId="6268AF07" w14:textId="6456DFE7" w:rsidR="003E0F58" w:rsidRPr="007C705C" w:rsidRDefault="003E0F58" w:rsidP="00C2702D">
      <w:pPr>
        <w:pStyle w:val="UZEIZdroj"/>
        <w:rPr>
          <w:rFonts w:eastAsiaTheme="minorEastAsia"/>
        </w:rPr>
      </w:pPr>
      <w:r w:rsidRPr="007C705C">
        <w:t>Zdroj: Pracovní skupina Klima, 2018</w:t>
      </w:r>
    </w:p>
    <w:p w14:paraId="650F87B1" w14:textId="73D89A26" w:rsidR="003E0F58" w:rsidRPr="007C705C" w:rsidRDefault="003E0F58" w:rsidP="00C2702D">
      <w:pPr>
        <w:pStyle w:val="UZEIOdrky"/>
        <w:rPr>
          <w:rFonts w:eastAsiaTheme="minorEastAsia"/>
        </w:rPr>
      </w:pPr>
      <w:r w:rsidRPr="007C705C">
        <w:rPr>
          <w:rFonts w:eastAsiaTheme="minorEastAsia"/>
        </w:rPr>
        <w:t>Nedostatečné hospodaření na půdě z hlediska bilancování organické hmoty</w:t>
      </w:r>
    </w:p>
    <w:p w14:paraId="1FD57D93" w14:textId="77777777" w:rsidR="003E0F58" w:rsidRPr="007C705C" w:rsidRDefault="003E0F58" w:rsidP="008A1AE3">
      <w:pPr>
        <w:pStyle w:val="Odstavecseseznamem"/>
        <w:numPr>
          <w:ilvl w:val="0"/>
          <w:numId w:val="31"/>
        </w:numPr>
        <w:spacing w:before="120" w:after="120" w:line="240" w:lineRule="auto"/>
        <w:rPr>
          <w:rFonts w:eastAsiaTheme="minorEastAsia"/>
        </w:rPr>
      </w:pPr>
      <w:r w:rsidRPr="007C705C">
        <w:rPr>
          <w:rFonts w:eastAsiaTheme="minorEastAsia"/>
        </w:rPr>
        <w:t>Zemědělské podniky v první řadě reagují na poptávku trhu, dotační politiku a ekonomické hospodaření. Další důležitý faktor je, že zemědělci často hospodaří na pronajatých pozemcích. Z praxe je známo, že zemědělci vlastním pozemkům věnují adekvátní péči. V případě kombinace vlastních a pronajatých poté vlastní upřednostňují na úkor těch pronajatých (problémy pachtovních smluv).</w:t>
      </w:r>
    </w:p>
    <w:p w14:paraId="5C3F35EF" w14:textId="77777777" w:rsidR="003E0F58" w:rsidRPr="007C705C" w:rsidRDefault="003E0F58" w:rsidP="008A1AE3">
      <w:pPr>
        <w:pStyle w:val="Odstavecseseznamem"/>
        <w:numPr>
          <w:ilvl w:val="0"/>
          <w:numId w:val="31"/>
        </w:numPr>
        <w:spacing w:before="120" w:after="120" w:line="240" w:lineRule="auto"/>
        <w:rPr>
          <w:rFonts w:eastAsiaTheme="minorEastAsia"/>
        </w:rPr>
      </w:pPr>
      <w:r w:rsidRPr="007C705C">
        <w:rPr>
          <w:rFonts w:eastAsiaTheme="minorEastAsia"/>
        </w:rPr>
        <w:t>Pokles živočišné produkce je dán politickou a ekonomickou situací. Zemědělcům se proto nevyplatí živočišnou výrobu udržovat. Poklesem počtu hospodářských zvířat zaniká potřeba pěstování víceletých pícnin, které mají příznivý vliv na obsah POH.</w:t>
      </w:r>
    </w:p>
    <w:p w14:paraId="0005013F" w14:textId="77777777" w:rsidR="003E0F58" w:rsidRPr="007C705C" w:rsidRDefault="003E0F58" w:rsidP="008A1AE3">
      <w:pPr>
        <w:pStyle w:val="Odstavecseseznamem"/>
        <w:numPr>
          <w:ilvl w:val="0"/>
          <w:numId w:val="31"/>
        </w:numPr>
        <w:spacing w:before="120" w:after="120" w:line="240" w:lineRule="auto"/>
        <w:rPr>
          <w:rFonts w:eastAsiaTheme="minorEastAsia"/>
        </w:rPr>
      </w:pPr>
      <w:r w:rsidRPr="007C705C">
        <w:rPr>
          <w:rFonts w:eastAsiaTheme="minorEastAsia"/>
        </w:rPr>
        <w:t>Poptávka po vedlejších produktech rostlinné výroby např. pro využití v bioplynových stanicích.</w:t>
      </w:r>
    </w:p>
    <w:p w14:paraId="5B0D852F" w14:textId="77777777" w:rsidR="003E0F58" w:rsidRPr="007C705C" w:rsidRDefault="003E0F58" w:rsidP="008A1AE3">
      <w:pPr>
        <w:pStyle w:val="Odstavecseseznamem"/>
        <w:numPr>
          <w:ilvl w:val="0"/>
          <w:numId w:val="31"/>
        </w:numPr>
        <w:spacing w:before="120" w:after="120" w:line="240" w:lineRule="auto"/>
        <w:rPr>
          <w:rFonts w:eastAsiaTheme="minorEastAsia"/>
          <w:u w:val="single"/>
        </w:rPr>
      </w:pPr>
      <w:r w:rsidRPr="007C705C">
        <w:rPr>
          <w:rFonts w:eastAsiaTheme="minorEastAsia"/>
        </w:rPr>
        <w:t>Z ekonomických důvodů není dodržena optimální rotace plodin.</w:t>
      </w:r>
    </w:p>
    <w:p w14:paraId="30BB37DD" w14:textId="77777777" w:rsidR="003E0F58" w:rsidRPr="007C705C" w:rsidRDefault="003E0F58" w:rsidP="00C2702D">
      <w:pPr>
        <w:spacing w:before="120" w:after="120"/>
        <w:ind w:left="851"/>
        <w:rPr>
          <w:rFonts w:eastAsiaTheme="minorEastAsia" w:cs="Times New Roman"/>
          <w:u w:val="single"/>
          <w:lang w:val="cs-CZ"/>
        </w:rPr>
      </w:pPr>
      <w:r w:rsidRPr="007C705C">
        <w:rPr>
          <w:rFonts w:eastAsiaTheme="minorEastAsia" w:cs="Times New Roman"/>
          <w:u w:val="single"/>
          <w:lang w:val="cs-CZ"/>
        </w:rPr>
        <w:t xml:space="preserve">k bodům a) – d) souhrnně: </w:t>
      </w:r>
    </w:p>
    <w:p w14:paraId="195AEE2E" w14:textId="77777777" w:rsidR="003E0F58" w:rsidRPr="007C705C" w:rsidRDefault="003E0F58" w:rsidP="008A1AE3">
      <w:pPr>
        <w:pStyle w:val="Odstavecseseznamem"/>
        <w:numPr>
          <w:ilvl w:val="0"/>
          <w:numId w:val="30"/>
        </w:numPr>
        <w:spacing w:before="120" w:after="120" w:line="240" w:lineRule="auto"/>
        <w:rPr>
          <w:rFonts w:eastAsiaTheme="minorEastAsia"/>
        </w:rPr>
      </w:pPr>
      <w:r w:rsidRPr="007C705C">
        <w:rPr>
          <w:rFonts w:eastAsiaTheme="minorEastAsia"/>
        </w:rPr>
        <w:t>Podpora živočišné výroby</w:t>
      </w:r>
    </w:p>
    <w:p w14:paraId="50702CD5" w14:textId="77777777" w:rsidR="003E0F58" w:rsidRPr="007C705C" w:rsidRDefault="003E0F58" w:rsidP="008A1AE3">
      <w:pPr>
        <w:pStyle w:val="Odstavecseseznamem"/>
        <w:numPr>
          <w:ilvl w:val="0"/>
          <w:numId w:val="30"/>
        </w:numPr>
        <w:spacing w:before="120" w:after="120" w:line="240" w:lineRule="auto"/>
        <w:rPr>
          <w:rFonts w:eastAsiaTheme="minorEastAsia"/>
        </w:rPr>
      </w:pPr>
      <w:r w:rsidRPr="007C705C">
        <w:rPr>
          <w:rFonts w:eastAsiaTheme="minorEastAsia"/>
        </w:rPr>
        <w:t>Podpora pěstování meziplodin</w:t>
      </w:r>
    </w:p>
    <w:p w14:paraId="7A74C436" w14:textId="77777777" w:rsidR="003E0F58" w:rsidRPr="007C705C" w:rsidRDefault="003E0F58" w:rsidP="008A1AE3">
      <w:pPr>
        <w:pStyle w:val="Odstavecseseznamem"/>
        <w:numPr>
          <w:ilvl w:val="0"/>
          <w:numId w:val="30"/>
        </w:numPr>
        <w:spacing w:before="120" w:after="120" w:line="240" w:lineRule="auto"/>
        <w:rPr>
          <w:rFonts w:eastAsiaTheme="minorEastAsia"/>
        </w:rPr>
      </w:pPr>
      <w:r w:rsidRPr="007C705C">
        <w:rPr>
          <w:rFonts w:eastAsiaTheme="minorEastAsia"/>
        </w:rPr>
        <w:t>Podpora ochranných způsobů zpracování půdy</w:t>
      </w:r>
    </w:p>
    <w:p w14:paraId="6C984DD7" w14:textId="77777777" w:rsidR="003E0F58" w:rsidRPr="007C705C" w:rsidRDefault="003E0F58" w:rsidP="008A1AE3">
      <w:pPr>
        <w:pStyle w:val="Odstavecseseznamem"/>
        <w:numPr>
          <w:ilvl w:val="0"/>
          <w:numId w:val="30"/>
        </w:numPr>
        <w:spacing w:before="120" w:after="120" w:line="240" w:lineRule="auto"/>
        <w:rPr>
          <w:rFonts w:eastAsiaTheme="minorEastAsia"/>
        </w:rPr>
      </w:pPr>
      <w:r w:rsidRPr="007C705C">
        <w:rPr>
          <w:rFonts w:eastAsiaTheme="minorEastAsia"/>
        </w:rPr>
        <w:t>Optimalizace osevních postupů</w:t>
      </w:r>
    </w:p>
    <w:p w14:paraId="29EF259F" w14:textId="77777777" w:rsidR="003E0F58" w:rsidRPr="007C705C" w:rsidRDefault="003E0F58" w:rsidP="008A1AE3">
      <w:pPr>
        <w:pStyle w:val="Odstavecseseznamem"/>
        <w:numPr>
          <w:ilvl w:val="0"/>
          <w:numId w:val="30"/>
        </w:numPr>
        <w:spacing w:before="120" w:after="120" w:line="240" w:lineRule="auto"/>
        <w:rPr>
          <w:rFonts w:eastAsiaTheme="minorEastAsia"/>
        </w:rPr>
      </w:pPr>
      <w:r w:rsidRPr="007C705C">
        <w:rPr>
          <w:rFonts w:eastAsiaTheme="minorEastAsia"/>
        </w:rPr>
        <w:t>Ponechání vedlejších produktů rostlinné výroby na pozemku</w:t>
      </w:r>
    </w:p>
    <w:p w14:paraId="5683099F" w14:textId="4F1109D7" w:rsidR="003E0F58" w:rsidRDefault="003E0F58" w:rsidP="008A1AE3">
      <w:pPr>
        <w:pStyle w:val="Odstavecseseznamem"/>
        <w:numPr>
          <w:ilvl w:val="0"/>
          <w:numId w:val="30"/>
        </w:numPr>
        <w:spacing w:before="120" w:after="120" w:line="240" w:lineRule="auto"/>
        <w:rPr>
          <w:rFonts w:eastAsiaTheme="minorEastAsia"/>
        </w:rPr>
      </w:pPr>
      <w:r w:rsidRPr="007C705C">
        <w:rPr>
          <w:rFonts w:eastAsiaTheme="minorEastAsia"/>
        </w:rPr>
        <w:t>Povinnost evidence bilance půdních organických hmot podniku</w:t>
      </w:r>
    </w:p>
    <w:p w14:paraId="5BB34C61" w14:textId="16E83DA3" w:rsidR="00F075AF" w:rsidRDefault="00F075AF" w:rsidP="00F075AF">
      <w:pPr>
        <w:spacing w:before="120" w:after="120"/>
        <w:rPr>
          <w:rFonts w:eastAsiaTheme="minorEastAsia"/>
        </w:rPr>
      </w:pPr>
    </w:p>
    <w:p w14:paraId="66916304" w14:textId="629ABA6C" w:rsidR="00F075AF" w:rsidRDefault="00F075AF" w:rsidP="00F075AF">
      <w:pPr>
        <w:spacing w:before="120" w:after="120"/>
        <w:rPr>
          <w:rFonts w:eastAsiaTheme="minorEastAsia"/>
        </w:rPr>
      </w:pPr>
    </w:p>
    <w:p w14:paraId="64EEA077" w14:textId="77777777" w:rsidR="00F075AF" w:rsidRPr="00F075AF" w:rsidRDefault="00F075AF" w:rsidP="00F075AF">
      <w:pPr>
        <w:spacing w:before="120" w:after="120"/>
        <w:rPr>
          <w:rFonts w:eastAsiaTheme="minorEastAsia"/>
        </w:rPr>
      </w:pPr>
    </w:p>
    <w:p w14:paraId="7C14EFD3" w14:textId="30BF3ECF" w:rsidR="003E0F58" w:rsidRPr="007C705C" w:rsidRDefault="00C2702D" w:rsidP="00C2702D">
      <w:pPr>
        <w:pStyle w:val="UZEITaB"/>
      </w:pPr>
      <w:bookmarkStart w:id="387" w:name="_Toc77245853"/>
      <w:r>
        <w:lastRenderedPageBreak/>
        <w:t xml:space="preserve"> </w:t>
      </w:r>
      <w:bookmarkStart w:id="388" w:name="_Toc94181617"/>
      <w:r w:rsidR="003E0F58" w:rsidRPr="007C705C">
        <w:t>Možnosti efektivního řešení problému v rámci nástrojů SZP - Nedostatečné hospodaření na půdě z hlediska bilancování organické hmoty</w:t>
      </w:r>
      <w:bookmarkEnd w:id="387"/>
      <w:bookmarkEnd w:id="388"/>
    </w:p>
    <w:tbl>
      <w:tblPr>
        <w:tblStyle w:val="Mkatabulky2"/>
        <w:tblpPr w:leftFromText="141" w:rightFromText="141" w:vertAnchor="text" w:horzAnchor="margin" w:tblpY="98"/>
        <w:tblW w:w="9180" w:type="dxa"/>
        <w:tblLayout w:type="fixed"/>
        <w:tblLook w:val="04A0" w:firstRow="1" w:lastRow="0" w:firstColumn="1" w:lastColumn="0" w:noHBand="0" w:noVBand="1"/>
      </w:tblPr>
      <w:tblGrid>
        <w:gridCol w:w="1384"/>
        <w:gridCol w:w="1418"/>
        <w:gridCol w:w="2268"/>
        <w:gridCol w:w="1701"/>
        <w:gridCol w:w="1275"/>
        <w:gridCol w:w="1134"/>
      </w:tblGrid>
      <w:tr w:rsidR="003E0F58" w:rsidRPr="007C705C" w14:paraId="64A7DECA" w14:textId="77777777" w:rsidTr="004D2249">
        <w:tc>
          <w:tcPr>
            <w:tcW w:w="1384" w:type="dxa"/>
            <w:shd w:val="clear" w:color="auto" w:fill="E7E6E6" w:themeFill="background2"/>
          </w:tcPr>
          <w:p w14:paraId="4A417467"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Problém</w:t>
            </w:r>
          </w:p>
        </w:tc>
        <w:tc>
          <w:tcPr>
            <w:tcW w:w="1418" w:type="dxa"/>
            <w:shd w:val="clear" w:color="auto" w:fill="E7E6E6" w:themeFill="background2"/>
          </w:tcPr>
          <w:p w14:paraId="4C1B6BE8"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Příčiny</w:t>
            </w:r>
          </w:p>
        </w:tc>
        <w:tc>
          <w:tcPr>
            <w:tcW w:w="2268" w:type="dxa"/>
            <w:shd w:val="clear" w:color="auto" w:fill="E7E6E6" w:themeFill="background2"/>
          </w:tcPr>
          <w:p w14:paraId="530790FA"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Převládající chování/reakce zemědělců</w:t>
            </w:r>
          </w:p>
        </w:tc>
        <w:tc>
          <w:tcPr>
            <w:tcW w:w="1701" w:type="dxa"/>
            <w:shd w:val="clear" w:color="auto" w:fill="E7E6E6" w:themeFill="background2"/>
          </w:tcPr>
          <w:p w14:paraId="64519DA9"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Nutná změna</w:t>
            </w:r>
          </w:p>
        </w:tc>
        <w:tc>
          <w:tcPr>
            <w:tcW w:w="1275" w:type="dxa"/>
            <w:shd w:val="clear" w:color="auto" w:fill="E7E6E6" w:themeFill="background2"/>
          </w:tcPr>
          <w:p w14:paraId="2A1A4A3E"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Prvek intervence</w:t>
            </w:r>
          </w:p>
        </w:tc>
        <w:tc>
          <w:tcPr>
            <w:tcW w:w="1134" w:type="dxa"/>
            <w:shd w:val="clear" w:color="auto" w:fill="E7E6E6" w:themeFill="background2"/>
          </w:tcPr>
          <w:p w14:paraId="4D9EEAF0" w14:textId="77777777" w:rsidR="003E0F58" w:rsidRPr="007C705C" w:rsidRDefault="003E0F58" w:rsidP="004D2249">
            <w:pPr>
              <w:jc w:val="left"/>
              <w:rPr>
                <w:rFonts w:eastAsia="Calibri" w:cs="Times New Roman"/>
                <w:b/>
                <w:sz w:val="20"/>
                <w:szCs w:val="20"/>
              </w:rPr>
            </w:pPr>
            <w:r w:rsidRPr="007C705C">
              <w:rPr>
                <w:rFonts w:eastAsia="Calibri" w:cs="Times New Roman"/>
                <w:b/>
                <w:sz w:val="20"/>
                <w:szCs w:val="20"/>
              </w:rPr>
              <w:t>Intervence</w:t>
            </w:r>
          </w:p>
        </w:tc>
      </w:tr>
      <w:tr w:rsidR="003E0F58" w:rsidRPr="007C705C" w14:paraId="21A7692F" w14:textId="77777777" w:rsidTr="004D2249">
        <w:tc>
          <w:tcPr>
            <w:tcW w:w="1384" w:type="dxa"/>
          </w:tcPr>
          <w:p w14:paraId="171AD0EA"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Nedostatečné hospodaření na půdě z hlediska bilancování organické hmoty</w:t>
            </w:r>
          </w:p>
        </w:tc>
        <w:tc>
          <w:tcPr>
            <w:tcW w:w="1418" w:type="dxa"/>
          </w:tcPr>
          <w:p w14:paraId="7ACD5933"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Pokles pěstování pícnin</w:t>
            </w:r>
          </w:p>
          <w:p w14:paraId="32E40293" w14:textId="77777777" w:rsidR="003E0F58" w:rsidRPr="007C705C" w:rsidRDefault="003E0F58" w:rsidP="004D2249">
            <w:pPr>
              <w:jc w:val="left"/>
              <w:rPr>
                <w:rFonts w:eastAsia="Calibri" w:cs="Times New Roman"/>
                <w:sz w:val="20"/>
                <w:szCs w:val="20"/>
              </w:rPr>
            </w:pPr>
          </w:p>
          <w:p w14:paraId="70437D6B"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Nízká produkce statkových hnojiv</w:t>
            </w:r>
          </w:p>
          <w:p w14:paraId="682F5EAA" w14:textId="77777777" w:rsidR="003E0F58" w:rsidRPr="007C705C" w:rsidRDefault="003E0F58" w:rsidP="004D2249">
            <w:pPr>
              <w:jc w:val="left"/>
              <w:rPr>
                <w:rFonts w:eastAsia="Calibri" w:cs="Times New Roman"/>
                <w:sz w:val="20"/>
                <w:szCs w:val="20"/>
              </w:rPr>
            </w:pPr>
          </w:p>
          <w:p w14:paraId="7C4F9611"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Rozorání luk</w:t>
            </w:r>
          </w:p>
          <w:p w14:paraId="143D031D" w14:textId="77777777" w:rsidR="003E0F58" w:rsidRPr="007C705C" w:rsidRDefault="003E0F58" w:rsidP="004D2249">
            <w:pPr>
              <w:jc w:val="left"/>
              <w:rPr>
                <w:rFonts w:eastAsia="Calibri" w:cs="Times New Roman"/>
                <w:sz w:val="20"/>
                <w:szCs w:val="20"/>
              </w:rPr>
            </w:pPr>
          </w:p>
          <w:p w14:paraId="03AD299C"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Odvodnění</w:t>
            </w:r>
          </w:p>
          <w:p w14:paraId="2521F062" w14:textId="77777777" w:rsidR="003E0F58" w:rsidRPr="007C705C" w:rsidRDefault="003E0F58" w:rsidP="004D2249">
            <w:pPr>
              <w:jc w:val="left"/>
              <w:rPr>
                <w:rFonts w:eastAsia="Calibri" w:cs="Times New Roman"/>
                <w:sz w:val="20"/>
                <w:szCs w:val="20"/>
              </w:rPr>
            </w:pPr>
          </w:p>
          <w:p w14:paraId="220FA79C" w14:textId="77777777" w:rsidR="003E0F58" w:rsidRPr="007C705C" w:rsidRDefault="003E0F58" w:rsidP="004D2249">
            <w:pPr>
              <w:jc w:val="left"/>
              <w:rPr>
                <w:rFonts w:eastAsia="Calibri" w:cs="Times New Roman"/>
                <w:sz w:val="20"/>
                <w:szCs w:val="20"/>
              </w:rPr>
            </w:pPr>
            <w:r w:rsidRPr="007C705C">
              <w:rPr>
                <w:rFonts w:eastAsia="Calibri" w:cs="Times New Roman"/>
                <w:color w:val="7030A0"/>
                <w:sz w:val="20"/>
                <w:szCs w:val="20"/>
              </w:rPr>
              <w:t>hospodaření na pronajaté půdě</w:t>
            </w:r>
          </w:p>
        </w:tc>
        <w:tc>
          <w:tcPr>
            <w:tcW w:w="2268" w:type="dxa"/>
          </w:tcPr>
          <w:p w14:paraId="4D9DD480"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Snížili stavy h.z.</w:t>
            </w:r>
          </w:p>
          <w:p w14:paraId="3AEE219F" w14:textId="77777777" w:rsidR="003E0F58" w:rsidRPr="007C705C" w:rsidRDefault="003E0F58" w:rsidP="004D2249">
            <w:pPr>
              <w:jc w:val="left"/>
              <w:rPr>
                <w:rFonts w:eastAsia="Calibri" w:cs="Times New Roman"/>
                <w:sz w:val="20"/>
                <w:szCs w:val="20"/>
              </w:rPr>
            </w:pPr>
          </w:p>
          <w:p w14:paraId="5C8C928C"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Omezili pícniny</w:t>
            </w:r>
          </w:p>
          <w:p w14:paraId="17DEF122" w14:textId="77777777" w:rsidR="003E0F58" w:rsidRPr="007C705C" w:rsidRDefault="003E0F58" w:rsidP="004D2249">
            <w:pPr>
              <w:jc w:val="left"/>
              <w:rPr>
                <w:rFonts w:eastAsia="Calibri" w:cs="Times New Roman"/>
                <w:sz w:val="20"/>
                <w:szCs w:val="20"/>
              </w:rPr>
            </w:pPr>
          </w:p>
          <w:p w14:paraId="5ED56AE2"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Převedli TTP na ornou půdu</w:t>
            </w:r>
          </w:p>
          <w:p w14:paraId="3C724F85" w14:textId="77777777" w:rsidR="003E0F58" w:rsidRPr="007C705C" w:rsidRDefault="003E0F58" w:rsidP="004D2249">
            <w:pPr>
              <w:jc w:val="left"/>
              <w:rPr>
                <w:rFonts w:eastAsia="Calibri" w:cs="Times New Roman"/>
                <w:sz w:val="20"/>
                <w:szCs w:val="20"/>
              </w:rPr>
            </w:pPr>
          </w:p>
          <w:p w14:paraId="08617EFB" w14:textId="77777777" w:rsidR="003E0F58" w:rsidRPr="007C705C" w:rsidRDefault="003E0F58" w:rsidP="004D2249">
            <w:pPr>
              <w:jc w:val="left"/>
              <w:rPr>
                <w:rFonts w:eastAsia="Calibri" w:cs="Times New Roman"/>
                <w:sz w:val="20"/>
                <w:szCs w:val="20"/>
              </w:rPr>
            </w:pPr>
            <w:r w:rsidRPr="007C705C">
              <w:rPr>
                <w:rFonts w:eastAsia="Calibri" w:cs="Times New Roman"/>
                <w:color w:val="000000" w:themeColor="text1"/>
                <w:sz w:val="20"/>
                <w:szCs w:val="20"/>
              </w:rPr>
              <w:t>Snaha o nákup půdy</w:t>
            </w:r>
          </w:p>
        </w:tc>
        <w:tc>
          <w:tcPr>
            <w:tcW w:w="1701" w:type="dxa"/>
          </w:tcPr>
          <w:p w14:paraId="1F51189C"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Více org. hmoty do půdy</w:t>
            </w:r>
          </w:p>
          <w:p w14:paraId="0529DFB5" w14:textId="77777777" w:rsidR="003E0F58" w:rsidRPr="007C705C" w:rsidRDefault="003E0F58" w:rsidP="004D2249">
            <w:pPr>
              <w:jc w:val="left"/>
              <w:rPr>
                <w:rFonts w:eastAsia="Calibri" w:cs="Times New Roman"/>
                <w:sz w:val="20"/>
                <w:szCs w:val="20"/>
              </w:rPr>
            </w:pPr>
          </w:p>
          <w:p w14:paraId="3277DDB9"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Zvýšit stavy h.z.</w:t>
            </w:r>
          </w:p>
          <w:p w14:paraId="3B81DA2C" w14:textId="77777777" w:rsidR="003E0F58" w:rsidRPr="007C705C" w:rsidRDefault="003E0F58" w:rsidP="004D2249">
            <w:pPr>
              <w:jc w:val="left"/>
              <w:rPr>
                <w:rFonts w:eastAsia="Calibri" w:cs="Times New Roman"/>
                <w:sz w:val="20"/>
                <w:szCs w:val="20"/>
              </w:rPr>
            </w:pPr>
          </w:p>
          <w:p w14:paraId="7F9BAD43"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Zvýšit pěstování meziplodin</w:t>
            </w:r>
          </w:p>
          <w:p w14:paraId="1252D708" w14:textId="77777777" w:rsidR="003E0F58" w:rsidRPr="007C705C" w:rsidRDefault="003E0F58" w:rsidP="004D2249">
            <w:pPr>
              <w:jc w:val="left"/>
              <w:rPr>
                <w:rFonts w:eastAsia="Calibri" w:cs="Times New Roman"/>
                <w:sz w:val="20"/>
                <w:szCs w:val="20"/>
              </w:rPr>
            </w:pPr>
          </w:p>
          <w:p w14:paraId="0F1012C5"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Zajistit odbyt pícnin</w:t>
            </w:r>
          </w:p>
          <w:p w14:paraId="76ACC044" w14:textId="77777777" w:rsidR="003E0F58" w:rsidRPr="007C705C" w:rsidRDefault="003E0F58" w:rsidP="004D2249">
            <w:pPr>
              <w:jc w:val="left"/>
              <w:rPr>
                <w:rFonts w:eastAsia="Calibri" w:cs="Times New Roman"/>
                <w:sz w:val="20"/>
                <w:szCs w:val="20"/>
              </w:rPr>
            </w:pPr>
          </w:p>
          <w:p w14:paraId="5C58F374"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Větší podíl půdy ve vlastnictví zemědělců</w:t>
            </w:r>
          </w:p>
          <w:p w14:paraId="5B8081A1" w14:textId="77777777" w:rsidR="003E0F58" w:rsidRPr="007C705C" w:rsidRDefault="003E0F58" w:rsidP="004D2249">
            <w:pPr>
              <w:jc w:val="left"/>
              <w:rPr>
                <w:rFonts w:eastAsia="Calibri" w:cs="Times New Roman"/>
                <w:sz w:val="20"/>
                <w:szCs w:val="20"/>
              </w:rPr>
            </w:pPr>
          </w:p>
        </w:tc>
        <w:tc>
          <w:tcPr>
            <w:tcW w:w="1275" w:type="dxa"/>
          </w:tcPr>
          <w:p w14:paraId="6BF9EB2E"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DZES</w:t>
            </w:r>
          </w:p>
          <w:p w14:paraId="6DC040EA" w14:textId="77777777" w:rsidR="003E0F58" w:rsidRPr="007C705C" w:rsidRDefault="003E0F58" w:rsidP="004D2249">
            <w:pPr>
              <w:jc w:val="left"/>
              <w:rPr>
                <w:rFonts w:eastAsia="Calibri" w:cs="Times New Roman"/>
                <w:sz w:val="20"/>
                <w:szCs w:val="20"/>
              </w:rPr>
            </w:pPr>
          </w:p>
          <w:p w14:paraId="03873EEE"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Posklizňové zbytky na OP</w:t>
            </w:r>
          </w:p>
          <w:p w14:paraId="7685F5EB" w14:textId="77777777" w:rsidR="003E0F58" w:rsidRPr="007C705C" w:rsidRDefault="003E0F58" w:rsidP="004D2249">
            <w:pPr>
              <w:jc w:val="left"/>
              <w:rPr>
                <w:rFonts w:eastAsia="Calibri" w:cs="Times New Roman"/>
                <w:sz w:val="20"/>
                <w:szCs w:val="20"/>
              </w:rPr>
            </w:pPr>
          </w:p>
          <w:p w14:paraId="0C3820D3" w14:textId="77777777" w:rsidR="003E0F58" w:rsidRPr="007C705C" w:rsidRDefault="003E0F58" w:rsidP="004D2249">
            <w:pPr>
              <w:jc w:val="left"/>
              <w:rPr>
                <w:rFonts w:eastAsia="Calibri" w:cs="Times New Roman"/>
                <w:sz w:val="20"/>
                <w:szCs w:val="20"/>
              </w:rPr>
            </w:pPr>
            <w:r w:rsidRPr="007C705C">
              <w:rPr>
                <w:rFonts w:eastAsia="Calibri" w:cs="Times New Roman"/>
                <w:color w:val="7030A0"/>
                <w:sz w:val="20"/>
                <w:szCs w:val="20"/>
              </w:rPr>
              <w:t>podpora aplikace organických hnojiv</w:t>
            </w:r>
            <w:r w:rsidRPr="007C705C" w:rsidDel="00284508">
              <w:rPr>
                <w:rFonts w:eastAsia="Calibri" w:cs="Times New Roman"/>
                <w:color w:val="7030A0"/>
                <w:sz w:val="20"/>
                <w:szCs w:val="20"/>
              </w:rPr>
              <w:t xml:space="preserve"> </w:t>
            </w:r>
          </w:p>
          <w:p w14:paraId="604FFA38" w14:textId="77777777" w:rsidR="003E0F58" w:rsidRPr="007C705C" w:rsidRDefault="003E0F58" w:rsidP="004D2249">
            <w:pPr>
              <w:jc w:val="left"/>
              <w:rPr>
                <w:rFonts w:eastAsia="Calibri" w:cs="Times New Roman"/>
                <w:sz w:val="20"/>
                <w:szCs w:val="20"/>
              </w:rPr>
            </w:pPr>
          </w:p>
          <w:p w14:paraId="773F1FB1"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Meziplodiny</w:t>
            </w:r>
          </w:p>
          <w:p w14:paraId="4BAFB1FA" w14:textId="77777777" w:rsidR="003E0F58" w:rsidRPr="007C705C" w:rsidRDefault="003E0F58" w:rsidP="004D2249">
            <w:pPr>
              <w:jc w:val="left"/>
              <w:rPr>
                <w:rFonts w:eastAsia="Calibri" w:cs="Times New Roman"/>
                <w:sz w:val="20"/>
                <w:szCs w:val="20"/>
              </w:rPr>
            </w:pPr>
          </w:p>
        </w:tc>
        <w:tc>
          <w:tcPr>
            <w:tcW w:w="1134" w:type="dxa"/>
          </w:tcPr>
          <w:p w14:paraId="2E4B9438" w14:textId="77777777" w:rsidR="003E0F58" w:rsidRPr="007C705C" w:rsidRDefault="003E0F58" w:rsidP="004D2249">
            <w:pPr>
              <w:jc w:val="left"/>
              <w:rPr>
                <w:rFonts w:eastAsia="Calibri" w:cs="Times New Roman"/>
                <w:sz w:val="20"/>
                <w:szCs w:val="20"/>
              </w:rPr>
            </w:pPr>
          </w:p>
          <w:p w14:paraId="2481FE5D"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Ekorežimy</w:t>
            </w:r>
          </w:p>
          <w:p w14:paraId="2A07FD58" w14:textId="77777777" w:rsidR="003E0F58" w:rsidRPr="007C705C" w:rsidRDefault="003E0F58" w:rsidP="004D2249">
            <w:pPr>
              <w:jc w:val="left"/>
              <w:rPr>
                <w:rFonts w:eastAsia="Calibri" w:cs="Times New Roman"/>
                <w:sz w:val="20"/>
                <w:szCs w:val="20"/>
              </w:rPr>
            </w:pPr>
          </w:p>
          <w:p w14:paraId="0F8EDE5B"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AEKO</w:t>
            </w:r>
          </w:p>
          <w:p w14:paraId="76F5042D" w14:textId="77777777" w:rsidR="003E0F58" w:rsidRPr="007C705C" w:rsidRDefault="003E0F58" w:rsidP="004D2249">
            <w:pPr>
              <w:jc w:val="left"/>
              <w:rPr>
                <w:rFonts w:eastAsia="Calibri" w:cs="Times New Roman"/>
                <w:sz w:val="20"/>
                <w:szCs w:val="20"/>
              </w:rPr>
            </w:pPr>
          </w:p>
          <w:p w14:paraId="30AE1840" w14:textId="77777777" w:rsidR="003E0F58" w:rsidRPr="007C705C" w:rsidRDefault="003E0F58" w:rsidP="004D2249">
            <w:pPr>
              <w:jc w:val="left"/>
              <w:rPr>
                <w:rFonts w:eastAsia="Calibri" w:cs="Times New Roman"/>
                <w:sz w:val="20"/>
                <w:szCs w:val="20"/>
              </w:rPr>
            </w:pPr>
            <w:r w:rsidRPr="007C705C">
              <w:rPr>
                <w:rFonts w:eastAsia="Calibri" w:cs="Times New Roman"/>
                <w:sz w:val="20"/>
                <w:szCs w:val="20"/>
              </w:rPr>
              <w:t>Investice do majetku</w:t>
            </w:r>
          </w:p>
          <w:p w14:paraId="21E52A4A" w14:textId="77777777" w:rsidR="003E0F58" w:rsidRPr="007C705C" w:rsidRDefault="003E0F58" w:rsidP="004D2249">
            <w:pPr>
              <w:jc w:val="left"/>
              <w:rPr>
                <w:rFonts w:eastAsia="Calibri" w:cs="Times New Roman"/>
                <w:sz w:val="20"/>
                <w:szCs w:val="20"/>
              </w:rPr>
            </w:pPr>
          </w:p>
          <w:p w14:paraId="6F9426F5" w14:textId="77777777" w:rsidR="003E0F58" w:rsidRPr="007C705C" w:rsidRDefault="003E0F58" w:rsidP="004D2249">
            <w:pPr>
              <w:jc w:val="left"/>
              <w:rPr>
                <w:rFonts w:eastAsia="Calibri" w:cs="Times New Roman"/>
                <w:sz w:val="20"/>
                <w:szCs w:val="20"/>
              </w:rPr>
            </w:pPr>
          </w:p>
        </w:tc>
      </w:tr>
    </w:tbl>
    <w:p w14:paraId="2E7B045F" w14:textId="77777777" w:rsidR="003E0F58" w:rsidRPr="007C705C" w:rsidRDefault="003E0F58" w:rsidP="00C2702D">
      <w:pPr>
        <w:pStyle w:val="UZEIZdroj"/>
      </w:pPr>
      <w:r w:rsidRPr="007C705C">
        <w:rPr>
          <w:b/>
          <w:color w:val="FF0000"/>
        </w:rPr>
        <w:t>Červeně/tučně</w:t>
      </w:r>
      <w:r w:rsidRPr="007C705C">
        <w:rPr>
          <w:color w:val="FF0000"/>
        </w:rPr>
        <w:t xml:space="preserve"> </w:t>
      </w:r>
      <w:r w:rsidRPr="007C705C">
        <w:t>= mimo dosah zemědělce – příčinu nemůže změnit, ani SZP nemá nástroje na řešení</w:t>
      </w:r>
    </w:p>
    <w:p w14:paraId="40637140" w14:textId="77777777" w:rsidR="003E0F58" w:rsidRPr="007C705C" w:rsidRDefault="003E0F58" w:rsidP="00C2702D">
      <w:pPr>
        <w:pStyle w:val="UZEIZdroj"/>
      </w:pPr>
      <w:r w:rsidRPr="007C705C">
        <w:rPr>
          <w:b/>
          <w:color w:val="7030A0"/>
        </w:rPr>
        <w:t>Fialově/tučně</w:t>
      </w:r>
      <w:r w:rsidRPr="007C705C">
        <w:rPr>
          <w:color w:val="7030A0"/>
        </w:rPr>
        <w:t xml:space="preserve"> </w:t>
      </w:r>
      <w:r w:rsidRPr="007C705C">
        <w:t>= může ovlivnit jen do jisté míry</w:t>
      </w:r>
    </w:p>
    <w:p w14:paraId="7A08A38F" w14:textId="7DE58812" w:rsidR="003E0F58" w:rsidRPr="00C2702D" w:rsidRDefault="003E0F58" w:rsidP="00C2702D">
      <w:pPr>
        <w:pStyle w:val="UZEIZdroj"/>
        <w:rPr>
          <w:rFonts w:eastAsiaTheme="minorEastAsia"/>
        </w:rPr>
      </w:pPr>
      <w:r w:rsidRPr="007C705C">
        <w:t>Zdroj: Pracovní skupina Klima, 2018</w:t>
      </w:r>
    </w:p>
    <w:p w14:paraId="387794AB" w14:textId="77777777" w:rsidR="003E0F58" w:rsidRPr="007C705C" w:rsidRDefault="003E0F58" w:rsidP="008A1AE3">
      <w:pPr>
        <w:pStyle w:val="Odstavecseseznamem"/>
        <w:numPr>
          <w:ilvl w:val="0"/>
          <w:numId w:val="18"/>
        </w:numPr>
        <w:spacing w:before="60" w:line="360" w:lineRule="atLeast"/>
        <w:rPr>
          <w:rFonts w:eastAsiaTheme="minorEastAsia"/>
          <w:b/>
          <w:bCs/>
        </w:rPr>
      </w:pPr>
      <w:r w:rsidRPr="007C705C">
        <w:rPr>
          <w:rFonts w:eastAsiaTheme="minorEastAsia"/>
          <w:b/>
          <w:bCs/>
        </w:rPr>
        <w:t>Nevyužitý potenciál a neefektivní výroba energií z OZE v zemědělství a lesnictví</w:t>
      </w:r>
    </w:p>
    <w:p w14:paraId="374BE36C" w14:textId="03AD1724" w:rsidR="003E0F58" w:rsidRPr="007C705C" w:rsidRDefault="003E0F58" w:rsidP="0006094E">
      <w:pPr>
        <w:pStyle w:val="UZEINormaln"/>
        <w:rPr>
          <w:rFonts w:eastAsiaTheme="minorEastAsia"/>
        </w:rPr>
      </w:pPr>
      <w:r w:rsidRPr="007C705C">
        <w:rPr>
          <w:rFonts w:eastAsiaTheme="minorEastAsia"/>
        </w:rPr>
        <w:t>V rámci nástrojů SZP je tento problém částečně řešitelný. V následujícím schématu jsou znázorněni potenciální příjemci podpory do opatření zahrnující produkci a/nebo spotřebu obnovitelných energií a jimi realizované projekty.</w:t>
      </w:r>
    </w:p>
    <w:tbl>
      <w:tblPr>
        <w:tblW w:w="9058" w:type="dxa"/>
        <w:tblLayout w:type="fixed"/>
        <w:tblCellMar>
          <w:left w:w="0" w:type="dxa"/>
          <w:right w:w="0" w:type="dxa"/>
        </w:tblCellMar>
        <w:tblLook w:val="0420" w:firstRow="1" w:lastRow="0" w:firstColumn="0" w:lastColumn="0" w:noHBand="0" w:noVBand="1"/>
      </w:tblPr>
      <w:tblGrid>
        <w:gridCol w:w="1863"/>
        <w:gridCol w:w="2481"/>
        <w:gridCol w:w="2233"/>
        <w:gridCol w:w="2481"/>
      </w:tblGrid>
      <w:tr w:rsidR="003E0F58" w:rsidRPr="002178CD" w14:paraId="33D3E7D4" w14:textId="77777777" w:rsidTr="004D2249">
        <w:trPr>
          <w:trHeight w:val="1391"/>
        </w:trPr>
        <w:tc>
          <w:tcPr>
            <w:tcW w:w="1863"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4F81BD"/>
            <w:tcMar>
              <w:top w:w="72" w:type="dxa"/>
              <w:left w:w="144" w:type="dxa"/>
              <w:bottom w:w="72" w:type="dxa"/>
              <w:right w:w="144" w:type="dxa"/>
            </w:tcMar>
            <w:hideMark/>
          </w:tcPr>
          <w:p w14:paraId="75606AA4" w14:textId="77777777" w:rsidR="003E0F58" w:rsidRPr="002178CD" w:rsidRDefault="003E0F58" w:rsidP="004D2249">
            <w:pPr>
              <w:spacing w:after="200" w:line="276" w:lineRule="auto"/>
              <w:rPr>
                <w:rFonts w:eastAsia="Calibri" w:cs="Times New Roman"/>
                <w:sz w:val="20"/>
                <w:szCs w:val="20"/>
                <w:lang w:val="cs-CZ"/>
              </w:rPr>
            </w:pPr>
          </w:p>
        </w:tc>
        <w:tc>
          <w:tcPr>
            <w:tcW w:w="2481"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4F81BD"/>
            <w:tcMar>
              <w:top w:w="72" w:type="dxa"/>
              <w:left w:w="144" w:type="dxa"/>
              <w:bottom w:w="72" w:type="dxa"/>
              <w:right w:w="144" w:type="dxa"/>
            </w:tcMar>
            <w:hideMark/>
          </w:tcPr>
          <w:p w14:paraId="0EE80F91" w14:textId="77777777" w:rsidR="003E0F58" w:rsidRPr="002178CD" w:rsidRDefault="003E0F58" w:rsidP="004D2249">
            <w:pPr>
              <w:spacing w:after="200" w:line="276" w:lineRule="auto"/>
              <w:jc w:val="center"/>
              <w:rPr>
                <w:rFonts w:eastAsiaTheme="minorEastAsia" w:cs="Times New Roman"/>
                <w:sz w:val="20"/>
                <w:szCs w:val="20"/>
                <w:lang w:val="cs-CZ"/>
              </w:rPr>
            </w:pPr>
            <w:r w:rsidRPr="002178CD">
              <w:rPr>
                <w:rFonts w:eastAsiaTheme="minorEastAsia" w:cs="Times New Roman"/>
                <w:b/>
                <w:bCs/>
                <w:sz w:val="20"/>
                <w:szCs w:val="20"/>
                <w:lang w:val="cs-CZ"/>
              </w:rPr>
              <w:t>Zemědělský subjekt</w:t>
            </w:r>
          </w:p>
        </w:tc>
        <w:tc>
          <w:tcPr>
            <w:tcW w:w="2233"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4F81BD"/>
            <w:tcMar>
              <w:top w:w="72" w:type="dxa"/>
              <w:left w:w="144" w:type="dxa"/>
              <w:bottom w:w="72" w:type="dxa"/>
              <w:right w:w="144" w:type="dxa"/>
            </w:tcMar>
            <w:hideMark/>
          </w:tcPr>
          <w:p w14:paraId="77A9D60F" w14:textId="77777777" w:rsidR="003E0F58" w:rsidRPr="002178CD" w:rsidRDefault="003E0F58" w:rsidP="004D2249">
            <w:pPr>
              <w:spacing w:after="200" w:line="276" w:lineRule="auto"/>
              <w:jc w:val="center"/>
              <w:rPr>
                <w:rFonts w:eastAsiaTheme="minorEastAsia" w:cs="Times New Roman"/>
                <w:sz w:val="20"/>
                <w:szCs w:val="20"/>
                <w:lang w:val="cs-CZ"/>
              </w:rPr>
            </w:pPr>
            <w:r w:rsidRPr="002178CD">
              <w:rPr>
                <w:rFonts w:eastAsiaTheme="minorEastAsia" w:cs="Times New Roman"/>
                <w:b/>
                <w:bCs/>
                <w:sz w:val="20"/>
                <w:szCs w:val="20"/>
                <w:lang w:val="cs-CZ"/>
              </w:rPr>
              <w:t>Nezemědělský (mikro a malý) podnik</w:t>
            </w:r>
          </w:p>
        </w:tc>
        <w:tc>
          <w:tcPr>
            <w:tcW w:w="2481"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4F81BD"/>
            <w:tcMar>
              <w:top w:w="72" w:type="dxa"/>
              <w:left w:w="144" w:type="dxa"/>
              <w:bottom w:w="72" w:type="dxa"/>
              <w:right w:w="144" w:type="dxa"/>
            </w:tcMar>
            <w:hideMark/>
          </w:tcPr>
          <w:p w14:paraId="4985F9FB" w14:textId="77777777" w:rsidR="003E0F58" w:rsidRPr="002178CD" w:rsidRDefault="003E0F58" w:rsidP="004D2249">
            <w:pPr>
              <w:spacing w:after="200" w:line="276" w:lineRule="auto"/>
              <w:jc w:val="center"/>
              <w:rPr>
                <w:rFonts w:eastAsiaTheme="minorEastAsia" w:cs="Times New Roman"/>
                <w:sz w:val="20"/>
                <w:szCs w:val="20"/>
                <w:lang w:val="cs-CZ"/>
              </w:rPr>
            </w:pPr>
            <w:r w:rsidRPr="002178CD">
              <w:rPr>
                <w:rFonts w:eastAsiaTheme="minorEastAsia" w:cs="Times New Roman"/>
                <w:b/>
                <w:bCs/>
                <w:sz w:val="20"/>
                <w:szCs w:val="20"/>
                <w:lang w:val="cs-CZ"/>
              </w:rPr>
              <w:t>Obec (definovaná velikostí)</w:t>
            </w:r>
          </w:p>
        </w:tc>
      </w:tr>
      <w:tr w:rsidR="003E0F58" w:rsidRPr="002178CD" w14:paraId="15973BCE" w14:textId="77777777" w:rsidTr="004D2249">
        <w:trPr>
          <w:trHeight w:val="1752"/>
        </w:trPr>
        <w:tc>
          <w:tcPr>
            <w:tcW w:w="1863"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0D8E8"/>
            <w:tcMar>
              <w:top w:w="72" w:type="dxa"/>
              <w:left w:w="144" w:type="dxa"/>
              <w:bottom w:w="72" w:type="dxa"/>
              <w:right w:w="144" w:type="dxa"/>
            </w:tcMar>
            <w:hideMark/>
          </w:tcPr>
          <w:p w14:paraId="63717B18" w14:textId="77777777" w:rsidR="003E0F58" w:rsidRPr="002178CD" w:rsidRDefault="003E0F58" w:rsidP="004D2249">
            <w:pPr>
              <w:spacing w:after="200" w:line="276" w:lineRule="auto"/>
              <w:rPr>
                <w:rFonts w:eastAsiaTheme="minorEastAsia" w:cs="Times New Roman"/>
                <w:b/>
                <w:bCs/>
                <w:sz w:val="20"/>
                <w:szCs w:val="20"/>
                <w:lang w:val="cs-CZ"/>
              </w:rPr>
            </w:pPr>
            <w:r w:rsidRPr="002178CD">
              <w:rPr>
                <w:rFonts w:eastAsiaTheme="minorEastAsia" w:cs="Times New Roman"/>
                <w:b/>
                <w:bCs/>
                <w:sz w:val="20"/>
                <w:szCs w:val="20"/>
                <w:lang w:val="cs-CZ"/>
              </w:rPr>
              <w:t>Produkce energie/energetického zdroje</w:t>
            </w:r>
          </w:p>
        </w:tc>
        <w:tc>
          <w:tcPr>
            <w:tcW w:w="2481"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0D8E8"/>
            <w:tcMar>
              <w:top w:w="72" w:type="dxa"/>
              <w:left w:w="144" w:type="dxa"/>
              <w:bottom w:w="72" w:type="dxa"/>
              <w:right w:w="144" w:type="dxa"/>
            </w:tcMar>
            <w:hideMark/>
          </w:tcPr>
          <w:p w14:paraId="138C21B6" w14:textId="77777777" w:rsidR="003E0F58" w:rsidRPr="002178CD" w:rsidRDefault="003E0F58" w:rsidP="004D2249">
            <w:pPr>
              <w:spacing w:after="200" w:line="276" w:lineRule="auto"/>
              <w:rPr>
                <w:rFonts w:eastAsiaTheme="minorEastAsia" w:cs="Times New Roman"/>
                <w:sz w:val="20"/>
                <w:szCs w:val="20"/>
                <w:lang w:val="cs-CZ"/>
              </w:rPr>
            </w:pPr>
            <w:r w:rsidRPr="002178CD">
              <w:rPr>
                <w:rFonts w:eastAsiaTheme="minorEastAsia" w:cs="Times New Roman"/>
                <w:sz w:val="20"/>
                <w:szCs w:val="20"/>
                <w:lang w:val="cs-CZ"/>
              </w:rPr>
              <w:t>BPS (el. energie, bioplyn do sítě), lokální výtopny na biomasu, produkce energetických dřevin a bylin, diversifikace do zpracování suroviny (peletizace, briketování)</w:t>
            </w:r>
          </w:p>
        </w:tc>
        <w:tc>
          <w:tcPr>
            <w:tcW w:w="2233"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0D8E8"/>
            <w:tcMar>
              <w:top w:w="72" w:type="dxa"/>
              <w:left w:w="144" w:type="dxa"/>
              <w:bottom w:w="72" w:type="dxa"/>
              <w:right w:w="144" w:type="dxa"/>
            </w:tcMar>
            <w:hideMark/>
          </w:tcPr>
          <w:p w14:paraId="01F5FC5E" w14:textId="77777777" w:rsidR="003E0F58" w:rsidRPr="002178CD" w:rsidRDefault="003E0F58" w:rsidP="004D2249">
            <w:pPr>
              <w:spacing w:after="200" w:line="276" w:lineRule="auto"/>
              <w:rPr>
                <w:rFonts w:eastAsiaTheme="minorEastAsia" w:cs="Times New Roman"/>
                <w:sz w:val="20"/>
                <w:szCs w:val="20"/>
                <w:lang w:val="cs-CZ"/>
              </w:rPr>
            </w:pPr>
            <w:r w:rsidRPr="002178CD">
              <w:rPr>
                <w:rFonts w:eastAsiaTheme="minorEastAsia" w:cs="Times New Roman"/>
                <w:sz w:val="20"/>
                <w:szCs w:val="20"/>
                <w:lang w:val="cs-CZ"/>
              </w:rPr>
              <w:t>BPS (el. energie, bioplyn do sítě), lokální výtopny na biomasu, zpracování suroviny pro výrobu energie, zpracování suroviny (peletizace, briketování)</w:t>
            </w:r>
          </w:p>
        </w:tc>
        <w:tc>
          <w:tcPr>
            <w:tcW w:w="2481"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0D8E8"/>
            <w:tcMar>
              <w:top w:w="72" w:type="dxa"/>
              <w:left w:w="144" w:type="dxa"/>
              <w:bottom w:w="72" w:type="dxa"/>
              <w:right w:w="144" w:type="dxa"/>
            </w:tcMar>
            <w:hideMark/>
          </w:tcPr>
          <w:p w14:paraId="54DF4CEE" w14:textId="77777777" w:rsidR="003E0F58" w:rsidRPr="002178CD" w:rsidRDefault="003E0F58" w:rsidP="004D2249">
            <w:pPr>
              <w:spacing w:after="200" w:line="276" w:lineRule="auto"/>
              <w:rPr>
                <w:rFonts w:eastAsiaTheme="minorEastAsia" w:cs="Times New Roman"/>
                <w:sz w:val="20"/>
                <w:szCs w:val="20"/>
                <w:lang w:val="cs-CZ"/>
              </w:rPr>
            </w:pPr>
            <w:r w:rsidRPr="002178CD">
              <w:rPr>
                <w:rFonts w:eastAsiaTheme="minorEastAsia" w:cs="Times New Roman"/>
                <w:sz w:val="20"/>
                <w:szCs w:val="20"/>
                <w:lang w:val="cs-CZ"/>
              </w:rPr>
              <w:t>-</w:t>
            </w:r>
          </w:p>
        </w:tc>
      </w:tr>
      <w:tr w:rsidR="003E0F58" w:rsidRPr="002178CD" w14:paraId="14CF993D" w14:textId="77777777" w:rsidTr="004D2249">
        <w:trPr>
          <w:trHeight w:val="676"/>
        </w:trPr>
        <w:tc>
          <w:tcPr>
            <w:tcW w:w="1863"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0D8E8"/>
            <w:tcMar>
              <w:top w:w="72" w:type="dxa"/>
              <w:left w:w="144" w:type="dxa"/>
              <w:bottom w:w="72" w:type="dxa"/>
              <w:right w:w="144" w:type="dxa"/>
            </w:tcMar>
          </w:tcPr>
          <w:p w14:paraId="65DE032F" w14:textId="77777777" w:rsidR="003E0F58" w:rsidRPr="002178CD" w:rsidRDefault="003E0F58" w:rsidP="004D2249">
            <w:pPr>
              <w:spacing w:after="200" w:line="276" w:lineRule="auto"/>
              <w:rPr>
                <w:rFonts w:eastAsiaTheme="minorEastAsia" w:cs="Times New Roman"/>
                <w:b/>
                <w:bCs/>
                <w:i/>
                <w:iCs/>
                <w:sz w:val="20"/>
                <w:szCs w:val="20"/>
                <w:lang w:val="cs-CZ"/>
              </w:rPr>
            </w:pPr>
            <w:r w:rsidRPr="002178CD">
              <w:rPr>
                <w:rFonts w:eastAsiaTheme="minorEastAsia" w:cs="Times New Roman"/>
                <w:b/>
                <w:bCs/>
                <w:i/>
                <w:iCs/>
                <w:sz w:val="20"/>
                <w:szCs w:val="20"/>
                <w:lang w:val="cs-CZ"/>
              </w:rPr>
              <w:t>Specifické podmínky</w:t>
            </w:r>
          </w:p>
        </w:tc>
        <w:tc>
          <w:tcPr>
            <w:tcW w:w="2481"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0D8E8"/>
            <w:tcMar>
              <w:top w:w="72" w:type="dxa"/>
              <w:left w:w="144" w:type="dxa"/>
              <w:bottom w:w="72" w:type="dxa"/>
              <w:right w:w="144" w:type="dxa"/>
            </w:tcMar>
          </w:tcPr>
          <w:p w14:paraId="112D0881" w14:textId="77777777" w:rsidR="003E0F58" w:rsidRPr="002178CD" w:rsidRDefault="003E0F58" w:rsidP="004D2249">
            <w:pPr>
              <w:spacing w:after="200" w:line="276" w:lineRule="auto"/>
              <w:rPr>
                <w:rFonts w:eastAsiaTheme="minorEastAsia" w:cs="Times New Roman"/>
                <w:i/>
                <w:iCs/>
                <w:sz w:val="20"/>
                <w:szCs w:val="20"/>
                <w:lang w:val="cs-CZ"/>
              </w:rPr>
            </w:pPr>
            <w:r w:rsidRPr="002178CD">
              <w:rPr>
                <w:rFonts w:eastAsiaTheme="minorEastAsia" w:cs="Times New Roman"/>
                <w:i/>
                <w:iCs/>
                <w:sz w:val="20"/>
                <w:szCs w:val="20"/>
                <w:lang w:val="cs-CZ"/>
              </w:rPr>
              <w:t>Velikost, lokalita, využívaná surovina, technologie</w:t>
            </w:r>
          </w:p>
        </w:tc>
        <w:tc>
          <w:tcPr>
            <w:tcW w:w="2233"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0D8E8"/>
            <w:tcMar>
              <w:top w:w="72" w:type="dxa"/>
              <w:left w:w="144" w:type="dxa"/>
              <w:bottom w:w="72" w:type="dxa"/>
              <w:right w:w="144" w:type="dxa"/>
            </w:tcMar>
          </w:tcPr>
          <w:p w14:paraId="07ABFBF5" w14:textId="77777777" w:rsidR="003E0F58" w:rsidRPr="002178CD" w:rsidRDefault="003E0F58" w:rsidP="004D2249">
            <w:pPr>
              <w:spacing w:after="200" w:line="276" w:lineRule="auto"/>
              <w:rPr>
                <w:rFonts w:eastAsiaTheme="minorEastAsia" w:cs="Times New Roman"/>
                <w:i/>
                <w:iCs/>
                <w:sz w:val="20"/>
                <w:szCs w:val="20"/>
                <w:lang w:val="cs-CZ"/>
              </w:rPr>
            </w:pPr>
            <w:r w:rsidRPr="002178CD">
              <w:rPr>
                <w:rFonts w:eastAsiaTheme="minorEastAsia" w:cs="Times New Roman"/>
                <w:i/>
                <w:iCs/>
                <w:sz w:val="20"/>
                <w:szCs w:val="20"/>
                <w:lang w:val="cs-CZ"/>
              </w:rPr>
              <w:t>Velikost, využívaná surovina, technologie</w:t>
            </w:r>
          </w:p>
        </w:tc>
        <w:tc>
          <w:tcPr>
            <w:tcW w:w="2481"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0D8E8"/>
            <w:tcMar>
              <w:top w:w="72" w:type="dxa"/>
              <w:left w:w="144" w:type="dxa"/>
              <w:bottom w:w="72" w:type="dxa"/>
              <w:right w:w="144" w:type="dxa"/>
            </w:tcMar>
          </w:tcPr>
          <w:p w14:paraId="6BED973B" w14:textId="77777777" w:rsidR="003E0F58" w:rsidRPr="002178CD" w:rsidRDefault="003E0F58" w:rsidP="004D2249">
            <w:pPr>
              <w:spacing w:after="200" w:line="276" w:lineRule="auto"/>
              <w:rPr>
                <w:rFonts w:eastAsiaTheme="minorEastAsia" w:cs="Times New Roman"/>
                <w:i/>
                <w:iCs/>
                <w:sz w:val="20"/>
                <w:szCs w:val="20"/>
                <w:lang w:val="cs-CZ"/>
              </w:rPr>
            </w:pPr>
            <w:r w:rsidRPr="002178CD">
              <w:rPr>
                <w:rFonts w:eastAsiaTheme="minorEastAsia" w:cs="Times New Roman"/>
                <w:i/>
                <w:iCs/>
                <w:sz w:val="20"/>
                <w:szCs w:val="20"/>
                <w:lang w:val="cs-CZ"/>
              </w:rPr>
              <w:t>-</w:t>
            </w:r>
          </w:p>
        </w:tc>
      </w:tr>
      <w:tr w:rsidR="003E0F58" w:rsidRPr="002178CD" w14:paraId="3E6623DC" w14:textId="77777777" w:rsidTr="004D2249">
        <w:trPr>
          <w:trHeight w:val="1391"/>
        </w:trPr>
        <w:tc>
          <w:tcPr>
            <w:tcW w:w="186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9EDF4"/>
            <w:tcMar>
              <w:top w:w="72" w:type="dxa"/>
              <w:left w:w="144" w:type="dxa"/>
              <w:bottom w:w="72" w:type="dxa"/>
              <w:right w:w="144" w:type="dxa"/>
            </w:tcMar>
            <w:hideMark/>
          </w:tcPr>
          <w:p w14:paraId="7B3674BA" w14:textId="77777777" w:rsidR="003E0F58" w:rsidRPr="002178CD" w:rsidRDefault="003E0F58" w:rsidP="004D2249">
            <w:pPr>
              <w:spacing w:after="200" w:line="276" w:lineRule="auto"/>
              <w:ind w:hanging="8"/>
              <w:rPr>
                <w:rFonts w:eastAsiaTheme="minorEastAsia" w:cs="Times New Roman"/>
                <w:b/>
                <w:bCs/>
                <w:sz w:val="20"/>
                <w:szCs w:val="20"/>
                <w:lang w:val="cs-CZ"/>
              </w:rPr>
            </w:pPr>
            <w:r w:rsidRPr="002178CD">
              <w:rPr>
                <w:rFonts w:eastAsiaTheme="minorEastAsia" w:cs="Times New Roman"/>
                <w:b/>
                <w:bCs/>
                <w:sz w:val="20"/>
                <w:szCs w:val="20"/>
                <w:lang w:val="cs-CZ"/>
              </w:rPr>
              <w:lastRenderedPageBreak/>
              <w:t>Produkce + (vlastní) spotřeba energie</w:t>
            </w:r>
          </w:p>
        </w:tc>
        <w:tc>
          <w:tcPr>
            <w:tcW w:w="248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9EDF4"/>
            <w:tcMar>
              <w:top w:w="72" w:type="dxa"/>
              <w:left w:w="144" w:type="dxa"/>
              <w:bottom w:w="72" w:type="dxa"/>
              <w:right w:w="144" w:type="dxa"/>
            </w:tcMar>
            <w:hideMark/>
          </w:tcPr>
          <w:p w14:paraId="7328ECEB" w14:textId="77777777" w:rsidR="003E0F58" w:rsidRPr="002178CD" w:rsidRDefault="003E0F58" w:rsidP="004D2249">
            <w:pPr>
              <w:spacing w:after="200" w:line="276" w:lineRule="auto"/>
              <w:rPr>
                <w:rFonts w:eastAsiaTheme="minorEastAsia" w:cs="Times New Roman"/>
                <w:sz w:val="20"/>
                <w:szCs w:val="20"/>
                <w:lang w:val="cs-CZ"/>
              </w:rPr>
            </w:pPr>
            <w:r w:rsidRPr="002178CD">
              <w:rPr>
                <w:rFonts w:eastAsiaTheme="minorEastAsia" w:cs="Times New Roman"/>
                <w:sz w:val="20"/>
                <w:szCs w:val="20"/>
                <w:lang w:val="cs-CZ"/>
              </w:rPr>
              <w:t>Solární systémy – termické</w:t>
            </w:r>
          </w:p>
          <w:p w14:paraId="0415DC33" w14:textId="77777777" w:rsidR="003E0F58" w:rsidRPr="002178CD" w:rsidRDefault="003E0F58" w:rsidP="004D2249">
            <w:pPr>
              <w:spacing w:after="200" w:line="276" w:lineRule="auto"/>
              <w:rPr>
                <w:rFonts w:eastAsiaTheme="minorEastAsia" w:cs="Times New Roman"/>
                <w:sz w:val="20"/>
                <w:szCs w:val="20"/>
                <w:lang w:val="cs-CZ"/>
              </w:rPr>
            </w:pPr>
            <w:r w:rsidRPr="002178CD">
              <w:rPr>
                <w:rFonts w:eastAsiaTheme="minorEastAsia" w:cs="Times New Roman"/>
                <w:sz w:val="20"/>
                <w:szCs w:val="20"/>
                <w:lang w:val="cs-CZ"/>
              </w:rPr>
              <w:t>Kotelny na biomasu (+rozvody)</w:t>
            </w:r>
          </w:p>
        </w:tc>
        <w:tc>
          <w:tcPr>
            <w:tcW w:w="22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9EDF4"/>
            <w:tcMar>
              <w:top w:w="72" w:type="dxa"/>
              <w:left w:w="144" w:type="dxa"/>
              <w:bottom w:w="72" w:type="dxa"/>
              <w:right w:w="144" w:type="dxa"/>
            </w:tcMar>
            <w:hideMark/>
          </w:tcPr>
          <w:p w14:paraId="55AD487F" w14:textId="77777777" w:rsidR="003E0F58" w:rsidRPr="002178CD" w:rsidRDefault="003E0F58" w:rsidP="004D2249">
            <w:pPr>
              <w:spacing w:after="200" w:line="276" w:lineRule="auto"/>
              <w:rPr>
                <w:rFonts w:eastAsiaTheme="minorEastAsia" w:cs="Times New Roman"/>
                <w:sz w:val="20"/>
                <w:szCs w:val="20"/>
                <w:lang w:val="cs-CZ"/>
              </w:rPr>
            </w:pPr>
            <w:r w:rsidRPr="002178CD">
              <w:rPr>
                <w:rFonts w:eastAsiaTheme="minorEastAsia" w:cs="Times New Roman"/>
                <w:sz w:val="20"/>
                <w:szCs w:val="20"/>
                <w:lang w:val="cs-CZ"/>
              </w:rPr>
              <w:t>Solární systémy – termické</w:t>
            </w:r>
          </w:p>
          <w:p w14:paraId="73C32446" w14:textId="77777777" w:rsidR="003E0F58" w:rsidRPr="002178CD" w:rsidRDefault="003E0F58" w:rsidP="004D2249">
            <w:pPr>
              <w:spacing w:after="200" w:line="276" w:lineRule="auto"/>
              <w:rPr>
                <w:rFonts w:eastAsiaTheme="minorEastAsia" w:cs="Times New Roman"/>
                <w:sz w:val="20"/>
                <w:szCs w:val="20"/>
                <w:lang w:val="cs-CZ"/>
              </w:rPr>
            </w:pPr>
            <w:r w:rsidRPr="002178CD">
              <w:rPr>
                <w:rFonts w:eastAsiaTheme="minorEastAsia" w:cs="Times New Roman"/>
                <w:sz w:val="20"/>
                <w:szCs w:val="20"/>
                <w:lang w:val="cs-CZ"/>
              </w:rPr>
              <w:t xml:space="preserve"> Kotelny na biomasu (+rozvody)</w:t>
            </w:r>
          </w:p>
        </w:tc>
        <w:tc>
          <w:tcPr>
            <w:tcW w:w="248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9EDF4"/>
            <w:tcMar>
              <w:top w:w="72" w:type="dxa"/>
              <w:left w:w="144" w:type="dxa"/>
              <w:bottom w:w="72" w:type="dxa"/>
              <w:right w:w="144" w:type="dxa"/>
            </w:tcMar>
            <w:hideMark/>
          </w:tcPr>
          <w:p w14:paraId="2053801A" w14:textId="77777777" w:rsidR="003E0F58" w:rsidRPr="002178CD" w:rsidRDefault="003E0F58" w:rsidP="004D2249">
            <w:pPr>
              <w:spacing w:after="200" w:line="276" w:lineRule="auto"/>
              <w:rPr>
                <w:rFonts w:eastAsiaTheme="minorEastAsia" w:cs="Times New Roman"/>
                <w:sz w:val="20"/>
                <w:szCs w:val="20"/>
                <w:lang w:val="cs-CZ"/>
              </w:rPr>
            </w:pPr>
            <w:r w:rsidRPr="002178CD">
              <w:rPr>
                <w:rFonts w:eastAsiaTheme="minorEastAsia" w:cs="Times New Roman"/>
                <w:sz w:val="20"/>
                <w:szCs w:val="20"/>
                <w:lang w:val="cs-CZ"/>
              </w:rPr>
              <w:t>Solární systémy – termické, fotovoltaické, Kotelny na biomasu, výtopny a teplofikace obcí</w:t>
            </w:r>
          </w:p>
        </w:tc>
      </w:tr>
      <w:tr w:rsidR="003E0F58" w:rsidRPr="002178CD" w14:paraId="312EE9B9" w14:textId="77777777" w:rsidTr="004D2249">
        <w:trPr>
          <w:trHeight w:val="534"/>
        </w:trPr>
        <w:tc>
          <w:tcPr>
            <w:tcW w:w="186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9EDF4"/>
            <w:tcMar>
              <w:top w:w="72" w:type="dxa"/>
              <w:left w:w="144" w:type="dxa"/>
              <w:bottom w:w="72" w:type="dxa"/>
              <w:right w:w="144" w:type="dxa"/>
            </w:tcMar>
          </w:tcPr>
          <w:p w14:paraId="6F7A9486" w14:textId="77777777" w:rsidR="003E0F58" w:rsidRPr="002178CD" w:rsidRDefault="003E0F58" w:rsidP="004D2249">
            <w:pPr>
              <w:spacing w:after="200" w:line="276" w:lineRule="auto"/>
              <w:ind w:hanging="8"/>
              <w:rPr>
                <w:rFonts w:eastAsiaTheme="minorEastAsia" w:cs="Times New Roman"/>
                <w:b/>
                <w:bCs/>
                <w:i/>
                <w:iCs/>
                <w:sz w:val="20"/>
                <w:szCs w:val="20"/>
                <w:lang w:val="cs-CZ"/>
              </w:rPr>
            </w:pPr>
            <w:r w:rsidRPr="002178CD">
              <w:rPr>
                <w:rFonts w:eastAsiaTheme="minorEastAsia" w:cs="Times New Roman"/>
                <w:b/>
                <w:bCs/>
                <w:i/>
                <w:iCs/>
                <w:sz w:val="20"/>
                <w:szCs w:val="20"/>
                <w:lang w:val="cs-CZ"/>
              </w:rPr>
              <w:t>Specifické podmínky</w:t>
            </w:r>
          </w:p>
        </w:tc>
        <w:tc>
          <w:tcPr>
            <w:tcW w:w="248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9EDF4"/>
            <w:tcMar>
              <w:top w:w="72" w:type="dxa"/>
              <w:left w:w="144" w:type="dxa"/>
              <w:bottom w:w="72" w:type="dxa"/>
              <w:right w:w="144" w:type="dxa"/>
            </w:tcMar>
          </w:tcPr>
          <w:p w14:paraId="4CA0BE35" w14:textId="77777777" w:rsidR="003E0F58" w:rsidRPr="002178CD" w:rsidRDefault="003E0F58" w:rsidP="004D2249">
            <w:pPr>
              <w:spacing w:after="200" w:line="276" w:lineRule="auto"/>
              <w:rPr>
                <w:rFonts w:eastAsiaTheme="minorEastAsia" w:cs="Times New Roman"/>
                <w:i/>
                <w:iCs/>
                <w:sz w:val="20"/>
                <w:szCs w:val="20"/>
                <w:lang w:val="cs-CZ"/>
              </w:rPr>
            </w:pPr>
            <w:r w:rsidRPr="002178CD">
              <w:rPr>
                <w:rFonts w:eastAsiaTheme="minorEastAsia" w:cs="Times New Roman"/>
                <w:i/>
                <w:iCs/>
                <w:sz w:val="20"/>
                <w:szCs w:val="20"/>
                <w:lang w:val="cs-CZ"/>
              </w:rPr>
              <w:t>Velikost (výkon)</w:t>
            </w:r>
          </w:p>
        </w:tc>
        <w:tc>
          <w:tcPr>
            <w:tcW w:w="22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9EDF4"/>
            <w:tcMar>
              <w:top w:w="72" w:type="dxa"/>
              <w:left w:w="144" w:type="dxa"/>
              <w:bottom w:w="72" w:type="dxa"/>
              <w:right w:w="144" w:type="dxa"/>
            </w:tcMar>
          </w:tcPr>
          <w:p w14:paraId="4DADD5E3" w14:textId="77777777" w:rsidR="003E0F58" w:rsidRPr="002178CD" w:rsidRDefault="003E0F58" w:rsidP="004D2249">
            <w:pPr>
              <w:spacing w:after="200" w:line="276" w:lineRule="auto"/>
              <w:rPr>
                <w:rFonts w:eastAsiaTheme="minorEastAsia" w:cs="Times New Roman"/>
                <w:i/>
                <w:iCs/>
                <w:sz w:val="20"/>
                <w:szCs w:val="20"/>
                <w:lang w:val="cs-CZ"/>
              </w:rPr>
            </w:pPr>
            <w:r w:rsidRPr="002178CD">
              <w:rPr>
                <w:rFonts w:eastAsiaTheme="minorEastAsia" w:cs="Times New Roman"/>
                <w:i/>
                <w:iCs/>
                <w:sz w:val="20"/>
                <w:szCs w:val="20"/>
                <w:lang w:val="cs-CZ"/>
              </w:rPr>
              <w:t>Velikost (výkon)</w:t>
            </w:r>
          </w:p>
        </w:tc>
        <w:tc>
          <w:tcPr>
            <w:tcW w:w="248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9EDF4"/>
            <w:tcMar>
              <w:top w:w="72" w:type="dxa"/>
              <w:left w:w="144" w:type="dxa"/>
              <w:bottom w:w="72" w:type="dxa"/>
              <w:right w:w="144" w:type="dxa"/>
            </w:tcMar>
          </w:tcPr>
          <w:p w14:paraId="20F34F1E" w14:textId="77777777" w:rsidR="003E0F58" w:rsidRPr="002178CD" w:rsidRDefault="003E0F58" w:rsidP="0006094E">
            <w:pPr>
              <w:keepNext/>
              <w:spacing w:after="200" w:line="276" w:lineRule="auto"/>
              <w:rPr>
                <w:rFonts w:eastAsiaTheme="minorEastAsia" w:cs="Times New Roman"/>
                <w:i/>
                <w:iCs/>
                <w:sz w:val="20"/>
                <w:szCs w:val="20"/>
                <w:lang w:val="cs-CZ"/>
              </w:rPr>
            </w:pPr>
            <w:r w:rsidRPr="002178CD">
              <w:rPr>
                <w:rFonts w:eastAsiaTheme="minorEastAsia" w:cs="Times New Roman"/>
                <w:i/>
                <w:iCs/>
                <w:sz w:val="20"/>
                <w:szCs w:val="20"/>
                <w:lang w:val="cs-CZ"/>
              </w:rPr>
              <w:t>Velikost (výkon)</w:t>
            </w:r>
          </w:p>
        </w:tc>
      </w:tr>
    </w:tbl>
    <w:p w14:paraId="64A15B20" w14:textId="57B808E7" w:rsidR="007C4202" w:rsidRPr="0006094E" w:rsidRDefault="007C4202">
      <w:pPr>
        <w:pStyle w:val="Titulek"/>
        <w:rPr>
          <w:rFonts w:eastAsiaTheme="minorEastAsia" w:cs="Arial"/>
          <w:bCs w:val="0"/>
          <w:noProof/>
          <w:sz w:val="20"/>
          <w:lang w:eastAsia="cs-CZ"/>
        </w:rPr>
      </w:pPr>
      <w:bookmarkStart w:id="389" w:name="_Toc93583792"/>
      <w:r w:rsidRPr="0006094E">
        <w:rPr>
          <w:rFonts w:eastAsiaTheme="minorEastAsia" w:cs="Arial"/>
          <w:bCs w:val="0"/>
          <w:noProof/>
          <w:sz w:val="20"/>
          <w:lang w:eastAsia="cs-CZ"/>
        </w:rPr>
        <w:t xml:space="preserve">Obrázek </w:t>
      </w:r>
      <w:r w:rsidRPr="0006094E">
        <w:rPr>
          <w:rFonts w:eastAsiaTheme="minorEastAsia" w:cs="Arial"/>
          <w:bCs w:val="0"/>
          <w:noProof/>
          <w:sz w:val="20"/>
          <w:lang w:eastAsia="cs-CZ"/>
        </w:rPr>
        <w:fldChar w:fldCharType="begin"/>
      </w:r>
      <w:r w:rsidRPr="00B52450">
        <w:rPr>
          <w:rFonts w:eastAsiaTheme="minorEastAsia" w:cs="Arial"/>
          <w:bCs w:val="0"/>
          <w:noProof/>
          <w:sz w:val="20"/>
          <w:lang w:eastAsia="cs-CZ"/>
        </w:rPr>
        <w:instrText xml:space="preserve"> SEQ Obrázek \* ARABIC </w:instrText>
      </w:r>
      <w:r w:rsidRPr="0006094E">
        <w:rPr>
          <w:rFonts w:eastAsiaTheme="minorEastAsia" w:cs="Arial"/>
          <w:bCs w:val="0"/>
          <w:noProof/>
          <w:sz w:val="20"/>
          <w:lang w:eastAsia="cs-CZ"/>
        </w:rPr>
        <w:fldChar w:fldCharType="separate"/>
      </w:r>
      <w:r w:rsidR="000C4C46">
        <w:rPr>
          <w:rFonts w:eastAsiaTheme="minorEastAsia" w:cs="Arial"/>
          <w:bCs w:val="0"/>
          <w:noProof/>
          <w:sz w:val="20"/>
          <w:lang w:eastAsia="cs-CZ"/>
        </w:rPr>
        <w:t>9</w:t>
      </w:r>
      <w:r w:rsidRPr="0006094E">
        <w:rPr>
          <w:rFonts w:eastAsiaTheme="minorEastAsia" w:cs="Arial"/>
          <w:bCs w:val="0"/>
          <w:noProof/>
          <w:sz w:val="20"/>
          <w:lang w:eastAsia="cs-CZ"/>
        </w:rPr>
        <w:fldChar w:fldCharType="end"/>
      </w:r>
      <w:r w:rsidRPr="0006094E">
        <w:rPr>
          <w:rFonts w:eastAsiaTheme="minorEastAsia" w:cs="Arial"/>
          <w:bCs w:val="0"/>
          <w:noProof/>
          <w:sz w:val="20"/>
          <w:lang w:eastAsia="cs-CZ"/>
        </w:rPr>
        <w:t xml:space="preserve"> Rozdělení aktérů na venkově a jejich „role“ v produkci a spotřebě obnovitelných energií</w:t>
      </w:r>
      <w:bookmarkEnd w:id="389"/>
    </w:p>
    <w:p w14:paraId="6FC91E0B" w14:textId="77777777" w:rsidR="003E0F58" w:rsidRPr="007C705C" w:rsidRDefault="003E0F58" w:rsidP="002178CD">
      <w:pPr>
        <w:pStyle w:val="UZEIZdroj"/>
      </w:pPr>
      <w:r w:rsidRPr="007C705C">
        <w:t>Zdroj: vlastní schéma (ÚZEI)</w:t>
      </w:r>
    </w:p>
    <w:p w14:paraId="119282E9" w14:textId="77777777" w:rsidR="003E0F58" w:rsidRPr="002178CD" w:rsidRDefault="003E0F58" w:rsidP="002178CD">
      <w:pPr>
        <w:pStyle w:val="UZEINormaln"/>
        <w:rPr>
          <w:rFonts w:eastAsiaTheme="minorEastAsia"/>
          <w:b/>
          <w:bCs/>
        </w:rPr>
      </w:pPr>
      <w:r w:rsidRPr="002178CD">
        <w:rPr>
          <w:rFonts w:eastAsiaTheme="minorEastAsia"/>
          <w:b/>
          <w:bCs/>
        </w:rPr>
        <w:t>Návrh nařízení pravidel podpory pro strategické plány nabízí tyto instrumenty:</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9"/>
        <w:gridCol w:w="3086"/>
        <w:gridCol w:w="3976"/>
      </w:tblGrid>
      <w:tr w:rsidR="003E0F58" w:rsidRPr="002178CD" w14:paraId="24A547C9" w14:textId="77777777" w:rsidTr="002178CD">
        <w:trPr>
          <w:trHeight w:val="611"/>
        </w:trPr>
        <w:tc>
          <w:tcPr>
            <w:tcW w:w="2289" w:type="dxa"/>
            <w:shd w:val="clear" w:color="auto" w:fill="auto"/>
          </w:tcPr>
          <w:p w14:paraId="3CB4E250" w14:textId="77777777" w:rsidR="003E0F58" w:rsidRPr="002178CD" w:rsidRDefault="003E0F58" w:rsidP="004D2249">
            <w:pPr>
              <w:spacing w:line="276" w:lineRule="auto"/>
              <w:ind w:firstLine="22"/>
              <w:jc w:val="center"/>
              <w:rPr>
                <w:rFonts w:eastAsiaTheme="minorEastAsia" w:cs="Times New Roman"/>
                <w:b/>
                <w:bCs/>
                <w:sz w:val="20"/>
                <w:szCs w:val="20"/>
                <w:lang w:val="cs-CZ"/>
              </w:rPr>
            </w:pPr>
            <w:r w:rsidRPr="002178CD">
              <w:rPr>
                <w:rFonts w:eastAsiaTheme="minorEastAsia" w:cs="Times New Roman"/>
                <w:b/>
                <w:bCs/>
                <w:sz w:val="20"/>
                <w:szCs w:val="20"/>
                <w:lang w:val="cs-CZ"/>
              </w:rPr>
              <w:t>Odkaz na návrh nařízení</w:t>
            </w:r>
          </w:p>
        </w:tc>
        <w:tc>
          <w:tcPr>
            <w:tcW w:w="3086" w:type="dxa"/>
            <w:shd w:val="clear" w:color="auto" w:fill="auto"/>
          </w:tcPr>
          <w:p w14:paraId="025ADD59" w14:textId="77777777" w:rsidR="003E0F58" w:rsidRPr="002178CD" w:rsidRDefault="003E0F58" w:rsidP="004D2249">
            <w:pPr>
              <w:spacing w:line="276" w:lineRule="auto"/>
              <w:ind w:firstLine="22"/>
              <w:jc w:val="center"/>
              <w:rPr>
                <w:rFonts w:eastAsiaTheme="minorEastAsia" w:cs="Times New Roman"/>
                <w:b/>
                <w:bCs/>
                <w:sz w:val="20"/>
                <w:szCs w:val="20"/>
                <w:lang w:val="cs-CZ"/>
              </w:rPr>
            </w:pPr>
            <w:r w:rsidRPr="002178CD">
              <w:rPr>
                <w:rFonts w:eastAsiaTheme="minorEastAsia" w:cs="Times New Roman"/>
                <w:b/>
                <w:bCs/>
                <w:sz w:val="20"/>
                <w:szCs w:val="20"/>
                <w:lang w:val="cs-CZ"/>
              </w:rPr>
              <w:t>Popis</w:t>
            </w:r>
          </w:p>
        </w:tc>
        <w:tc>
          <w:tcPr>
            <w:tcW w:w="3976" w:type="dxa"/>
            <w:shd w:val="clear" w:color="auto" w:fill="auto"/>
          </w:tcPr>
          <w:p w14:paraId="72EA6157" w14:textId="77777777" w:rsidR="003E0F58" w:rsidRPr="002178CD" w:rsidRDefault="003E0F58" w:rsidP="004D2249">
            <w:pPr>
              <w:spacing w:line="276" w:lineRule="auto"/>
              <w:ind w:firstLine="22"/>
              <w:jc w:val="center"/>
              <w:rPr>
                <w:rFonts w:eastAsiaTheme="minorEastAsia" w:cs="Times New Roman"/>
                <w:b/>
                <w:bCs/>
                <w:sz w:val="20"/>
                <w:szCs w:val="20"/>
                <w:lang w:val="cs-CZ"/>
              </w:rPr>
            </w:pPr>
            <w:r w:rsidRPr="002178CD">
              <w:rPr>
                <w:rFonts w:eastAsiaTheme="minorEastAsia" w:cs="Times New Roman"/>
                <w:b/>
                <w:bCs/>
                <w:sz w:val="20"/>
                <w:szCs w:val="20"/>
                <w:lang w:val="cs-CZ"/>
              </w:rPr>
              <w:t>Příklady možných záměrů a projektů</w:t>
            </w:r>
          </w:p>
        </w:tc>
      </w:tr>
      <w:tr w:rsidR="003E0F58" w:rsidRPr="002178CD" w14:paraId="28B90410" w14:textId="77777777" w:rsidTr="002178CD">
        <w:tc>
          <w:tcPr>
            <w:tcW w:w="2289" w:type="dxa"/>
            <w:shd w:val="clear" w:color="auto" w:fill="auto"/>
          </w:tcPr>
          <w:p w14:paraId="73BFBA44" w14:textId="77777777" w:rsidR="003E0F58" w:rsidRPr="002178CD" w:rsidRDefault="003E0F58" w:rsidP="004D2249">
            <w:pPr>
              <w:spacing w:after="200" w:line="276" w:lineRule="auto"/>
              <w:ind w:firstLine="22"/>
              <w:rPr>
                <w:rFonts w:eastAsiaTheme="minorEastAsia" w:cs="Times New Roman"/>
                <w:sz w:val="20"/>
                <w:szCs w:val="20"/>
                <w:lang w:val="cs-CZ"/>
              </w:rPr>
            </w:pPr>
            <w:r w:rsidRPr="002178CD">
              <w:rPr>
                <w:rFonts w:eastAsiaTheme="minorEastAsia" w:cs="Times New Roman"/>
                <w:sz w:val="20"/>
                <w:szCs w:val="20"/>
                <w:lang w:val="cs-CZ"/>
              </w:rPr>
              <w:t>Článek 68 Investice</w:t>
            </w:r>
          </w:p>
          <w:p w14:paraId="1D59B126" w14:textId="77777777" w:rsidR="003E0F58" w:rsidRPr="002178CD" w:rsidRDefault="003E0F58" w:rsidP="004D2249">
            <w:pPr>
              <w:spacing w:after="200" w:line="276" w:lineRule="auto"/>
              <w:ind w:firstLine="22"/>
              <w:rPr>
                <w:rFonts w:eastAsiaTheme="minorEastAsia" w:cs="Times New Roman"/>
                <w:sz w:val="20"/>
                <w:szCs w:val="20"/>
                <w:lang w:val="cs-CZ"/>
              </w:rPr>
            </w:pPr>
            <w:r w:rsidRPr="002178CD">
              <w:rPr>
                <w:rFonts w:eastAsiaTheme="minorEastAsia" w:cs="Times New Roman"/>
                <w:sz w:val="20"/>
                <w:szCs w:val="20"/>
                <w:lang w:val="cs-CZ"/>
              </w:rPr>
              <w:t>Odst. 2</w:t>
            </w:r>
          </w:p>
        </w:tc>
        <w:tc>
          <w:tcPr>
            <w:tcW w:w="3086" w:type="dxa"/>
            <w:shd w:val="clear" w:color="auto" w:fill="auto"/>
          </w:tcPr>
          <w:p w14:paraId="14EDCEC2" w14:textId="77777777" w:rsidR="003E0F58" w:rsidRPr="002178CD" w:rsidRDefault="003E0F58" w:rsidP="004D2249">
            <w:pPr>
              <w:spacing w:after="200" w:line="276" w:lineRule="auto"/>
              <w:ind w:firstLine="22"/>
              <w:rPr>
                <w:rFonts w:eastAsiaTheme="minorEastAsia" w:cs="Times New Roman"/>
                <w:sz w:val="20"/>
                <w:szCs w:val="20"/>
                <w:lang w:val="cs-CZ"/>
              </w:rPr>
            </w:pPr>
            <w:r w:rsidRPr="002178CD">
              <w:rPr>
                <w:rFonts w:eastAsiaTheme="minorEastAsia" w:cs="Times New Roman"/>
                <w:sz w:val="20"/>
                <w:szCs w:val="20"/>
                <w:lang w:val="cs-CZ"/>
              </w:rPr>
              <w:t>Podpora zahrnuje hmotné nebo nehmotné investice, které přispívají k plnění specifických cílů uvedených v článku 6. Podpora lesnictví se odvíjí od lesního hospodářského plánu nebo rovnocenného nástroje.</w:t>
            </w:r>
          </w:p>
          <w:p w14:paraId="022194B0" w14:textId="77777777" w:rsidR="003E0F58" w:rsidRPr="002178CD" w:rsidRDefault="003E0F58" w:rsidP="004D2249">
            <w:pPr>
              <w:spacing w:after="200" w:line="276" w:lineRule="auto"/>
              <w:ind w:firstLine="22"/>
              <w:rPr>
                <w:rFonts w:eastAsia="Calibri" w:cs="Times New Roman"/>
                <w:sz w:val="20"/>
                <w:szCs w:val="20"/>
                <w:lang w:val="cs-CZ"/>
              </w:rPr>
            </w:pPr>
          </w:p>
        </w:tc>
        <w:tc>
          <w:tcPr>
            <w:tcW w:w="3976" w:type="dxa"/>
            <w:shd w:val="clear" w:color="auto" w:fill="auto"/>
          </w:tcPr>
          <w:p w14:paraId="5D51DDDB" w14:textId="77777777" w:rsidR="003E0F58" w:rsidRPr="002178CD" w:rsidRDefault="003E0F58" w:rsidP="004D2249">
            <w:pPr>
              <w:spacing w:after="200" w:line="276" w:lineRule="auto"/>
              <w:ind w:firstLine="22"/>
              <w:rPr>
                <w:rFonts w:eastAsiaTheme="minorEastAsia" w:cs="Times New Roman"/>
                <w:sz w:val="20"/>
                <w:szCs w:val="20"/>
                <w:lang w:val="cs-CZ"/>
              </w:rPr>
            </w:pPr>
            <w:r w:rsidRPr="002178CD">
              <w:rPr>
                <w:rFonts w:eastAsiaTheme="minorEastAsia" w:cs="Times New Roman"/>
                <w:sz w:val="20"/>
                <w:szCs w:val="20"/>
                <w:lang w:val="cs-CZ"/>
              </w:rPr>
              <w:t xml:space="preserve">Investice jak do nových projektů, tak rekonstrukce a modernizace, mohou být podporovány jak zemědělské tak nezem. podniky – investice do BPS pro kogeneraci, výrobu biometanu. investice do kotelen a výtopen, solární zařízení pro výrobu TUV, podpora zakládání porostů RRD a energetických plodin s prioritou na nevyužívané půdě. </w:t>
            </w:r>
          </w:p>
        </w:tc>
      </w:tr>
      <w:tr w:rsidR="003E0F58" w:rsidRPr="002178CD" w14:paraId="7C06E2E9" w14:textId="77777777" w:rsidTr="002178CD">
        <w:tc>
          <w:tcPr>
            <w:tcW w:w="2289" w:type="dxa"/>
            <w:shd w:val="clear" w:color="auto" w:fill="auto"/>
          </w:tcPr>
          <w:p w14:paraId="5CDD9AB3" w14:textId="77777777" w:rsidR="003E0F58" w:rsidRPr="002178CD" w:rsidRDefault="003E0F58" w:rsidP="004D2249">
            <w:pPr>
              <w:spacing w:after="200" w:line="276" w:lineRule="auto"/>
              <w:ind w:firstLine="22"/>
              <w:rPr>
                <w:rFonts w:eastAsiaTheme="minorEastAsia" w:cs="Times New Roman"/>
                <w:sz w:val="20"/>
                <w:szCs w:val="20"/>
                <w:lang w:val="cs-CZ"/>
              </w:rPr>
            </w:pPr>
            <w:r w:rsidRPr="002178CD">
              <w:rPr>
                <w:rFonts w:eastAsiaTheme="minorEastAsia" w:cs="Times New Roman"/>
                <w:sz w:val="20"/>
                <w:szCs w:val="20"/>
                <w:lang w:val="cs-CZ"/>
              </w:rPr>
              <w:t>Článek 71 Spolupráce</w:t>
            </w:r>
          </w:p>
          <w:p w14:paraId="3C84AA68" w14:textId="77777777" w:rsidR="003E0F58" w:rsidRPr="002178CD" w:rsidRDefault="003E0F58" w:rsidP="004D2249">
            <w:pPr>
              <w:spacing w:after="200" w:line="276" w:lineRule="auto"/>
              <w:ind w:firstLine="22"/>
              <w:rPr>
                <w:rFonts w:eastAsiaTheme="minorEastAsia" w:cs="Times New Roman"/>
                <w:sz w:val="20"/>
                <w:szCs w:val="20"/>
                <w:lang w:val="cs-CZ"/>
              </w:rPr>
            </w:pPr>
            <w:r w:rsidRPr="002178CD">
              <w:rPr>
                <w:rFonts w:eastAsiaTheme="minorEastAsia" w:cs="Times New Roman"/>
                <w:sz w:val="20"/>
                <w:szCs w:val="20"/>
                <w:lang w:val="cs-CZ"/>
              </w:rPr>
              <w:t>Odst. 2 a 4</w:t>
            </w:r>
          </w:p>
        </w:tc>
        <w:tc>
          <w:tcPr>
            <w:tcW w:w="3086" w:type="dxa"/>
            <w:shd w:val="clear" w:color="auto" w:fill="auto"/>
          </w:tcPr>
          <w:p w14:paraId="488A2867" w14:textId="77777777" w:rsidR="003E0F58" w:rsidRPr="002178CD" w:rsidRDefault="003E0F58" w:rsidP="004D2249">
            <w:pPr>
              <w:spacing w:after="200" w:line="276" w:lineRule="auto"/>
              <w:ind w:firstLine="22"/>
              <w:rPr>
                <w:rFonts w:eastAsiaTheme="minorEastAsia" w:cs="Times New Roman"/>
                <w:sz w:val="20"/>
                <w:szCs w:val="20"/>
                <w:lang w:val="cs-CZ"/>
              </w:rPr>
            </w:pPr>
            <w:r w:rsidRPr="002178CD">
              <w:rPr>
                <w:rFonts w:eastAsiaTheme="minorEastAsia" w:cs="Times New Roman"/>
                <w:sz w:val="20"/>
                <w:szCs w:val="20"/>
                <w:lang w:val="cs-CZ"/>
              </w:rPr>
              <w:t>Podpora na takové formy spolupráce, které zahrnují alespoň dva subjekty a přispívají k plnění specifických cílů uvedených v článku 6. Podpora zahrnuje částku pokrývající náklady na spolupráci a náklady na realizované projekty a operace nebo může pokrýt pouze náklady na spolupráci a použít fondy z ostatních typů intervencí nebo vnitrostátních či unijních nástrojů podpory na realizaci projektů.</w:t>
            </w:r>
          </w:p>
        </w:tc>
        <w:tc>
          <w:tcPr>
            <w:tcW w:w="3976" w:type="dxa"/>
            <w:shd w:val="clear" w:color="auto" w:fill="auto"/>
          </w:tcPr>
          <w:p w14:paraId="773CE256" w14:textId="77777777" w:rsidR="003E0F58" w:rsidRPr="002178CD" w:rsidRDefault="003E0F58" w:rsidP="004D2249">
            <w:pPr>
              <w:spacing w:after="200" w:line="276" w:lineRule="auto"/>
              <w:ind w:firstLine="22"/>
              <w:rPr>
                <w:rFonts w:eastAsiaTheme="minorEastAsia" w:cs="Times New Roman"/>
                <w:sz w:val="20"/>
                <w:szCs w:val="20"/>
                <w:lang w:val="cs-CZ"/>
              </w:rPr>
            </w:pPr>
            <w:r w:rsidRPr="002178CD">
              <w:rPr>
                <w:rFonts w:eastAsiaTheme="minorEastAsia" w:cs="Times New Roman"/>
                <w:sz w:val="20"/>
                <w:szCs w:val="20"/>
                <w:lang w:val="cs-CZ"/>
              </w:rPr>
              <w:t>Zahrnuje spolupráci a investice do produkce a zpracování energetických surovin a jejich další distribuce, nebo distribuce energie z nich získané (výroba tvarovaných paliv, štěpka, zpracování surovin pro výrobu pokročilých biopaliv (biometan) pro primární využití v podniku/obci/ i mimo ně…)</w:t>
            </w:r>
          </w:p>
          <w:p w14:paraId="75C40529" w14:textId="77777777" w:rsidR="003E0F58" w:rsidRPr="002178CD" w:rsidRDefault="003E0F58" w:rsidP="004D2249">
            <w:pPr>
              <w:spacing w:after="200" w:line="276" w:lineRule="auto"/>
              <w:ind w:firstLine="22"/>
              <w:rPr>
                <w:rFonts w:eastAsiaTheme="minorEastAsia" w:cs="Times New Roman"/>
                <w:sz w:val="20"/>
                <w:szCs w:val="20"/>
                <w:lang w:val="cs-CZ"/>
              </w:rPr>
            </w:pPr>
            <w:r w:rsidRPr="002178CD">
              <w:rPr>
                <w:rFonts w:eastAsiaTheme="minorEastAsia" w:cs="Times New Roman"/>
                <w:sz w:val="20"/>
                <w:szCs w:val="20"/>
                <w:lang w:val="cs-CZ"/>
              </w:rPr>
              <w:t>např. spolupráce producenta biomasy (zemědělec) s provozovatelem (obec, město, soukromý podnikatel) energetického zdroje (BPS, výtopna,  peletárna) a provozovatelem SZT, plynovodu apod.</w:t>
            </w:r>
          </w:p>
        </w:tc>
      </w:tr>
    </w:tbl>
    <w:p w14:paraId="5727A7F1" w14:textId="0A0470C1" w:rsidR="003E0F58" w:rsidRPr="007C705C" w:rsidRDefault="003E0F58" w:rsidP="002178CD">
      <w:pPr>
        <w:pStyle w:val="UZEIZdroj"/>
      </w:pPr>
      <w:r w:rsidRPr="007C705C">
        <w:t>Zdroj: vlastní schéma (ÚZEI)</w:t>
      </w:r>
    </w:p>
    <w:p w14:paraId="2762A3BE" w14:textId="5B946E7E" w:rsidR="003E0F58" w:rsidRPr="007C705C" w:rsidRDefault="002178CD" w:rsidP="002178CD">
      <w:pPr>
        <w:pStyle w:val="UZEITaB"/>
      </w:pPr>
      <w:bookmarkStart w:id="390" w:name="_Toc77245854"/>
      <w:r>
        <w:t xml:space="preserve"> </w:t>
      </w:r>
      <w:bookmarkStart w:id="391" w:name="_Toc94181618"/>
      <w:r w:rsidR="003E0F58" w:rsidRPr="007C705C">
        <w:t>Možnosti efektivního řešení problému v rámci nástrojů SZP - Nevyužitý potenciál a neefektivní výroba energií z OZE v zemědělství a lesnictví</w:t>
      </w:r>
      <w:bookmarkEnd w:id="390"/>
      <w:bookmarkEnd w:id="391"/>
    </w:p>
    <w:tbl>
      <w:tblPr>
        <w:tblStyle w:val="Mkatabulky"/>
        <w:tblW w:w="9351" w:type="dxa"/>
        <w:tblLayout w:type="fixed"/>
        <w:tblLook w:val="04A0" w:firstRow="1" w:lastRow="0" w:firstColumn="1" w:lastColumn="0" w:noHBand="0" w:noVBand="1"/>
      </w:tblPr>
      <w:tblGrid>
        <w:gridCol w:w="1384"/>
        <w:gridCol w:w="1588"/>
        <w:gridCol w:w="2098"/>
        <w:gridCol w:w="1701"/>
        <w:gridCol w:w="1275"/>
        <w:gridCol w:w="1305"/>
      </w:tblGrid>
      <w:tr w:rsidR="003E0F58" w:rsidRPr="007C705C" w14:paraId="771D8E85" w14:textId="77777777" w:rsidTr="002178CD">
        <w:tc>
          <w:tcPr>
            <w:tcW w:w="1384" w:type="dxa"/>
            <w:shd w:val="clear" w:color="auto" w:fill="E7E6E6" w:themeFill="background2"/>
          </w:tcPr>
          <w:p w14:paraId="0E3065AD" w14:textId="77777777" w:rsidR="003E0F58" w:rsidRPr="007C705C" w:rsidRDefault="003E0F58" w:rsidP="002178CD">
            <w:pPr>
              <w:jc w:val="left"/>
              <w:rPr>
                <w:b/>
                <w:sz w:val="20"/>
                <w:lang w:eastAsia="en-US"/>
              </w:rPr>
            </w:pPr>
            <w:r w:rsidRPr="007C705C">
              <w:rPr>
                <w:b/>
                <w:sz w:val="20"/>
                <w:lang w:eastAsia="en-US"/>
              </w:rPr>
              <w:t>Problém</w:t>
            </w:r>
          </w:p>
        </w:tc>
        <w:tc>
          <w:tcPr>
            <w:tcW w:w="1588" w:type="dxa"/>
            <w:shd w:val="clear" w:color="auto" w:fill="E7E6E6" w:themeFill="background2"/>
          </w:tcPr>
          <w:p w14:paraId="71B9536B" w14:textId="77777777" w:rsidR="003E0F58" w:rsidRPr="007C705C" w:rsidRDefault="003E0F58" w:rsidP="002178CD">
            <w:pPr>
              <w:jc w:val="left"/>
              <w:rPr>
                <w:b/>
                <w:sz w:val="20"/>
                <w:lang w:eastAsia="en-US"/>
              </w:rPr>
            </w:pPr>
            <w:r w:rsidRPr="007C705C">
              <w:rPr>
                <w:b/>
                <w:sz w:val="20"/>
                <w:lang w:eastAsia="en-US"/>
              </w:rPr>
              <w:t>Příčiny</w:t>
            </w:r>
          </w:p>
        </w:tc>
        <w:tc>
          <w:tcPr>
            <w:tcW w:w="2098" w:type="dxa"/>
            <w:shd w:val="clear" w:color="auto" w:fill="E7E6E6" w:themeFill="background2"/>
          </w:tcPr>
          <w:p w14:paraId="6DC22B33" w14:textId="77777777" w:rsidR="003E0F58" w:rsidRPr="007C705C" w:rsidRDefault="003E0F58" w:rsidP="002178CD">
            <w:pPr>
              <w:jc w:val="left"/>
              <w:rPr>
                <w:b/>
                <w:sz w:val="20"/>
                <w:lang w:eastAsia="en-US"/>
              </w:rPr>
            </w:pPr>
            <w:r w:rsidRPr="007C705C">
              <w:rPr>
                <w:b/>
                <w:sz w:val="20"/>
                <w:lang w:eastAsia="en-US"/>
              </w:rPr>
              <w:t>Převládající chování/reakce zemědělců</w:t>
            </w:r>
          </w:p>
        </w:tc>
        <w:tc>
          <w:tcPr>
            <w:tcW w:w="1701" w:type="dxa"/>
            <w:shd w:val="clear" w:color="auto" w:fill="E7E6E6" w:themeFill="background2"/>
          </w:tcPr>
          <w:p w14:paraId="4D004321" w14:textId="77777777" w:rsidR="003E0F58" w:rsidRPr="007C705C" w:rsidRDefault="003E0F58" w:rsidP="002178CD">
            <w:pPr>
              <w:jc w:val="left"/>
              <w:rPr>
                <w:b/>
                <w:sz w:val="20"/>
                <w:lang w:eastAsia="en-US"/>
              </w:rPr>
            </w:pPr>
            <w:r w:rsidRPr="007C705C">
              <w:rPr>
                <w:b/>
                <w:sz w:val="20"/>
                <w:lang w:eastAsia="en-US"/>
              </w:rPr>
              <w:t>Nutná změna</w:t>
            </w:r>
          </w:p>
        </w:tc>
        <w:tc>
          <w:tcPr>
            <w:tcW w:w="1275" w:type="dxa"/>
            <w:shd w:val="clear" w:color="auto" w:fill="E7E6E6" w:themeFill="background2"/>
          </w:tcPr>
          <w:p w14:paraId="1E1C2FB8" w14:textId="77777777" w:rsidR="003E0F58" w:rsidRPr="007C705C" w:rsidRDefault="003E0F58" w:rsidP="002178CD">
            <w:pPr>
              <w:jc w:val="left"/>
              <w:rPr>
                <w:b/>
                <w:sz w:val="20"/>
                <w:lang w:eastAsia="en-US"/>
              </w:rPr>
            </w:pPr>
            <w:r w:rsidRPr="007C705C">
              <w:rPr>
                <w:b/>
                <w:sz w:val="20"/>
                <w:lang w:eastAsia="en-US"/>
              </w:rPr>
              <w:t>Prvek intervence</w:t>
            </w:r>
          </w:p>
        </w:tc>
        <w:tc>
          <w:tcPr>
            <w:tcW w:w="1305" w:type="dxa"/>
            <w:shd w:val="clear" w:color="auto" w:fill="E7E6E6" w:themeFill="background2"/>
          </w:tcPr>
          <w:p w14:paraId="3A5F5A72" w14:textId="77777777" w:rsidR="003E0F58" w:rsidRPr="007C705C" w:rsidRDefault="003E0F58" w:rsidP="002178CD">
            <w:pPr>
              <w:jc w:val="left"/>
              <w:rPr>
                <w:b/>
                <w:sz w:val="20"/>
                <w:lang w:eastAsia="en-US"/>
              </w:rPr>
            </w:pPr>
            <w:r w:rsidRPr="007C705C">
              <w:rPr>
                <w:b/>
                <w:sz w:val="20"/>
                <w:lang w:eastAsia="en-US"/>
              </w:rPr>
              <w:t>Intervence</w:t>
            </w:r>
          </w:p>
        </w:tc>
      </w:tr>
      <w:tr w:rsidR="003E0F58" w:rsidRPr="007C705C" w14:paraId="663A0371" w14:textId="77777777" w:rsidTr="002178CD">
        <w:tc>
          <w:tcPr>
            <w:tcW w:w="1384" w:type="dxa"/>
          </w:tcPr>
          <w:p w14:paraId="43F16C9E" w14:textId="77777777" w:rsidR="003E0F58" w:rsidRPr="007C705C" w:rsidRDefault="003E0F58" w:rsidP="002178CD">
            <w:pPr>
              <w:jc w:val="left"/>
              <w:rPr>
                <w:sz w:val="20"/>
                <w:lang w:eastAsia="en-US"/>
              </w:rPr>
            </w:pPr>
            <w:r w:rsidRPr="007C705C">
              <w:rPr>
                <w:sz w:val="20"/>
                <w:lang w:eastAsia="en-US"/>
              </w:rPr>
              <w:t>Stagnující nárůst podílu biomasy na výrobě energie z OZE</w:t>
            </w:r>
          </w:p>
        </w:tc>
        <w:tc>
          <w:tcPr>
            <w:tcW w:w="1588" w:type="dxa"/>
          </w:tcPr>
          <w:p w14:paraId="1FE0BD3F" w14:textId="77777777" w:rsidR="003E0F58" w:rsidRPr="007C705C" w:rsidRDefault="003E0F58" w:rsidP="002178CD">
            <w:pPr>
              <w:jc w:val="left"/>
              <w:rPr>
                <w:sz w:val="20"/>
                <w:lang w:eastAsia="en-US"/>
              </w:rPr>
            </w:pPr>
            <w:r w:rsidRPr="007C705C">
              <w:rPr>
                <w:sz w:val="20"/>
                <w:lang w:eastAsia="en-US"/>
              </w:rPr>
              <w:t>Investičně nákladné</w:t>
            </w:r>
          </w:p>
          <w:p w14:paraId="0BC8D72E" w14:textId="77777777" w:rsidR="003E0F58" w:rsidRPr="007C705C" w:rsidRDefault="003E0F58" w:rsidP="002178CD">
            <w:pPr>
              <w:jc w:val="left"/>
              <w:rPr>
                <w:sz w:val="20"/>
                <w:lang w:eastAsia="en-US"/>
              </w:rPr>
            </w:pPr>
            <w:r w:rsidRPr="007C705C">
              <w:rPr>
                <w:sz w:val="20"/>
                <w:lang w:eastAsia="en-US"/>
              </w:rPr>
              <w:t>Drahá biomasa (palivo)</w:t>
            </w:r>
          </w:p>
          <w:p w14:paraId="32F3C984" w14:textId="77777777" w:rsidR="003E0F58" w:rsidRPr="007C705C" w:rsidRDefault="003E0F58" w:rsidP="002178CD">
            <w:pPr>
              <w:jc w:val="left"/>
              <w:rPr>
                <w:sz w:val="20"/>
                <w:lang w:eastAsia="en-US"/>
              </w:rPr>
            </w:pPr>
            <w:r w:rsidRPr="007C705C">
              <w:rPr>
                <w:sz w:val="20"/>
                <w:lang w:eastAsia="en-US"/>
              </w:rPr>
              <w:t>Nízká účinnost zařízení</w:t>
            </w:r>
          </w:p>
          <w:p w14:paraId="4D86A392" w14:textId="77777777" w:rsidR="003E0F58" w:rsidRPr="007C705C" w:rsidRDefault="003E0F58" w:rsidP="002178CD">
            <w:pPr>
              <w:jc w:val="left"/>
              <w:rPr>
                <w:sz w:val="20"/>
                <w:lang w:eastAsia="en-US"/>
              </w:rPr>
            </w:pPr>
            <w:r w:rsidRPr="007C705C">
              <w:rPr>
                <w:sz w:val="20"/>
                <w:lang w:eastAsia="en-US"/>
              </w:rPr>
              <w:lastRenderedPageBreak/>
              <w:t>Příliš kritérií u investičních opatření</w:t>
            </w:r>
          </w:p>
          <w:p w14:paraId="413DF0FB" w14:textId="77777777" w:rsidR="003E0F58" w:rsidRPr="007C705C" w:rsidRDefault="003E0F58" w:rsidP="002178CD">
            <w:pPr>
              <w:jc w:val="left"/>
              <w:rPr>
                <w:color w:val="FF0000"/>
                <w:sz w:val="20"/>
                <w:lang w:eastAsia="en-US"/>
              </w:rPr>
            </w:pPr>
            <w:r w:rsidRPr="007C705C">
              <w:rPr>
                <w:color w:val="FF0000"/>
                <w:sz w:val="20"/>
                <w:lang w:eastAsia="en-US"/>
              </w:rPr>
              <w:t>Nejasná strategie ČR</w:t>
            </w:r>
          </w:p>
          <w:p w14:paraId="005297F7" w14:textId="77777777" w:rsidR="003E0F58" w:rsidRPr="007C705C" w:rsidRDefault="003E0F58" w:rsidP="002178CD">
            <w:pPr>
              <w:jc w:val="left"/>
              <w:rPr>
                <w:color w:val="FF0000"/>
                <w:sz w:val="20"/>
                <w:lang w:eastAsia="en-US"/>
              </w:rPr>
            </w:pPr>
            <w:r w:rsidRPr="007C705C">
              <w:rPr>
                <w:color w:val="FF0000"/>
                <w:sz w:val="20"/>
                <w:lang w:eastAsia="en-US"/>
              </w:rPr>
              <w:t>Chybí nový APB 20-30</w:t>
            </w:r>
          </w:p>
          <w:p w14:paraId="7B9C9CD8" w14:textId="77777777" w:rsidR="003E0F58" w:rsidRPr="007C705C" w:rsidRDefault="003E0F58" w:rsidP="002178CD">
            <w:pPr>
              <w:jc w:val="left"/>
              <w:rPr>
                <w:sz w:val="20"/>
                <w:lang w:eastAsia="en-US"/>
              </w:rPr>
            </w:pPr>
            <w:r w:rsidRPr="007C705C">
              <w:rPr>
                <w:color w:val="FF0000"/>
                <w:sz w:val="20"/>
                <w:lang w:eastAsia="en-US"/>
              </w:rPr>
              <w:t>Retroaktivní změny legislativy</w:t>
            </w:r>
          </w:p>
        </w:tc>
        <w:tc>
          <w:tcPr>
            <w:tcW w:w="2098" w:type="dxa"/>
          </w:tcPr>
          <w:p w14:paraId="4239FA90" w14:textId="77777777" w:rsidR="003E0F58" w:rsidRPr="007C705C" w:rsidRDefault="003E0F58" w:rsidP="002178CD">
            <w:pPr>
              <w:jc w:val="left"/>
              <w:rPr>
                <w:sz w:val="20"/>
                <w:lang w:eastAsia="en-US"/>
              </w:rPr>
            </w:pPr>
            <w:r w:rsidRPr="007C705C">
              <w:rPr>
                <w:sz w:val="20"/>
                <w:lang w:eastAsia="en-US"/>
              </w:rPr>
              <w:lastRenderedPageBreak/>
              <w:t>Chybí motivace</w:t>
            </w:r>
          </w:p>
          <w:p w14:paraId="454E4459" w14:textId="77777777" w:rsidR="003E0F58" w:rsidRPr="007C705C" w:rsidRDefault="003E0F58" w:rsidP="002178CD">
            <w:pPr>
              <w:jc w:val="left"/>
              <w:rPr>
                <w:sz w:val="20"/>
                <w:lang w:eastAsia="en-US"/>
              </w:rPr>
            </w:pPr>
            <w:r w:rsidRPr="007C705C">
              <w:rPr>
                <w:sz w:val="20"/>
                <w:lang w:eastAsia="en-US"/>
              </w:rPr>
              <w:t>Nemají zájem</w:t>
            </w:r>
          </w:p>
          <w:p w14:paraId="66A0E298" w14:textId="77777777" w:rsidR="003E0F58" w:rsidRPr="007C705C" w:rsidRDefault="003E0F58" w:rsidP="002178CD">
            <w:pPr>
              <w:jc w:val="left"/>
              <w:rPr>
                <w:sz w:val="20"/>
                <w:lang w:eastAsia="en-US"/>
              </w:rPr>
            </w:pPr>
          </w:p>
        </w:tc>
        <w:tc>
          <w:tcPr>
            <w:tcW w:w="1701" w:type="dxa"/>
          </w:tcPr>
          <w:p w14:paraId="4521E05F" w14:textId="77777777" w:rsidR="003E0F58" w:rsidRPr="007C705C" w:rsidRDefault="003E0F58" w:rsidP="002178CD">
            <w:pPr>
              <w:jc w:val="left"/>
              <w:rPr>
                <w:sz w:val="20"/>
                <w:lang w:eastAsia="en-US"/>
              </w:rPr>
            </w:pPr>
            <w:r w:rsidRPr="007C705C">
              <w:rPr>
                <w:sz w:val="20"/>
                <w:lang w:eastAsia="en-US"/>
              </w:rPr>
              <w:t>Investice do moderních technologií</w:t>
            </w:r>
          </w:p>
          <w:p w14:paraId="3FA97FB8" w14:textId="77777777" w:rsidR="003E0F58" w:rsidRPr="007C705C" w:rsidRDefault="003E0F58" w:rsidP="002178CD">
            <w:pPr>
              <w:jc w:val="left"/>
              <w:rPr>
                <w:sz w:val="20"/>
                <w:lang w:eastAsia="en-US"/>
              </w:rPr>
            </w:pPr>
          </w:p>
          <w:p w14:paraId="64957C33" w14:textId="77777777" w:rsidR="003E0F58" w:rsidRPr="007C705C" w:rsidRDefault="003E0F58" w:rsidP="002178CD">
            <w:pPr>
              <w:jc w:val="left"/>
              <w:rPr>
                <w:sz w:val="20"/>
                <w:lang w:eastAsia="en-US"/>
              </w:rPr>
            </w:pPr>
            <w:r w:rsidRPr="007C705C">
              <w:rPr>
                <w:sz w:val="20"/>
                <w:lang w:eastAsia="en-US"/>
              </w:rPr>
              <w:t>Zvýšit produkci biomasy</w:t>
            </w:r>
          </w:p>
          <w:p w14:paraId="55CA9FDF" w14:textId="77777777" w:rsidR="003E0F58" w:rsidRPr="007C705C" w:rsidRDefault="003E0F58" w:rsidP="002178CD">
            <w:pPr>
              <w:jc w:val="left"/>
              <w:rPr>
                <w:sz w:val="20"/>
                <w:lang w:eastAsia="en-US"/>
              </w:rPr>
            </w:pPr>
          </w:p>
          <w:p w14:paraId="596404B4" w14:textId="77777777" w:rsidR="003E0F58" w:rsidRPr="007C705C" w:rsidRDefault="003E0F58" w:rsidP="002178CD">
            <w:pPr>
              <w:jc w:val="left"/>
              <w:rPr>
                <w:sz w:val="20"/>
                <w:lang w:eastAsia="en-US"/>
              </w:rPr>
            </w:pPr>
            <w:r w:rsidRPr="007C705C">
              <w:rPr>
                <w:sz w:val="20"/>
                <w:lang w:eastAsia="en-US"/>
              </w:rPr>
              <w:lastRenderedPageBreak/>
              <w:t xml:space="preserve">Zvýšit účinnost zařízení </w:t>
            </w:r>
          </w:p>
          <w:p w14:paraId="6D154D4C" w14:textId="77777777" w:rsidR="003E0F58" w:rsidRPr="007C705C" w:rsidRDefault="003E0F58" w:rsidP="002178CD">
            <w:pPr>
              <w:jc w:val="left"/>
              <w:rPr>
                <w:sz w:val="20"/>
                <w:lang w:eastAsia="en-US"/>
              </w:rPr>
            </w:pPr>
          </w:p>
          <w:p w14:paraId="654349A1" w14:textId="77777777" w:rsidR="003E0F58" w:rsidRPr="007C705C" w:rsidRDefault="003E0F58" w:rsidP="002178CD">
            <w:pPr>
              <w:jc w:val="left"/>
              <w:rPr>
                <w:sz w:val="20"/>
                <w:lang w:eastAsia="en-US"/>
              </w:rPr>
            </w:pPr>
            <w:r w:rsidRPr="007C705C">
              <w:rPr>
                <w:sz w:val="20"/>
                <w:lang w:eastAsia="en-US"/>
              </w:rPr>
              <w:t>Zjednodušit dotační pravidla</w:t>
            </w:r>
          </w:p>
          <w:p w14:paraId="616C8A6A" w14:textId="77777777" w:rsidR="003E0F58" w:rsidRPr="007C705C" w:rsidRDefault="003E0F58" w:rsidP="002178CD">
            <w:pPr>
              <w:jc w:val="left"/>
              <w:rPr>
                <w:sz w:val="20"/>
                <w:lang w:eastAsia="en-US"/>
              </w:rPr>
            </w:pPr>
          </w:p>
        </w:tc>
        <w:tc>
          <w:tcPr>
            <w:tcW w:w="1275" w:type="dxa"/>
          </w:tcPr>
          <w:p w14:paraId="1C06F80D" w14:textId="77777777" w:rsidR="003E0F58" w:rsidRPr="007C705C" w:rsidRDefault="003E0F58" w:rsidP="002178CD">
            <w:pPr>
              <w:jc w:val="left"/>
              <w:rPr>
                <w:sz w:val="20"/>
                <w:lang w:eastAsia="en-US"/>
              </w:rPr>
            </w:pPr>
            <w:r w:rsidRPr="007C705C">
              <w:rPr>
                <w:sz w:val="20"/>
                <w:lang w:eastAsia="en-US"/>
              </w:rPr>
              <w:lastRenderedPageBreak/>
              <w:t>Podpora investic vybraných technologií</w:t>
            </w:r>
          </w:p>
          <w:p w14:paraId="5266C1A5" w14:textId="77777777" w:rsidR="003E0F58" w:rsidRPr="007C705C" w:rsidRDefault="003E0F58" w:rsidP="002178CD">
            <w:pPr>
              <w:jc w:val="left"/>
              <w:rPr>
                <w:sz w:val="20"/>
                <w:lang w:eastAsia="en-US"/>
              </w:rPr>
            </w:pPr>
          </w:p>
          <w:p w14:paraId="4B1FB640" w14:textId="77777777" w:rsidR="003E0F58" w:rsidRPr="007C705C" w:rsidRDefault="003E0F58" w:rsidP="002178CD">
            <w:pPr>
              <w:jc w:val="left"/>
              <w:rPr>
                <w:sz w:val="20"/>
                <w:lang w:eastAsia="en-US"/>
              </w:rPr>
            </w:pPr>
            <w:r w:rsidRPr="007C705C">
              <w:rPr>
                <w:sz w:val="20"/>
                <w:lang w:eastAsia="en-US"/>
              </w:rPr>
              <w:lastRenderedPageBreak/>
              <w:t>Podpora produkce biomasy</w:t>
            </w:r>
          </w:p>
          <w:p w14:paraId="1A9F90E4" w14:textId="77777777" w:rsidR="003E0F58" w:rsidRPr="007C705C" w:rsidRDefault="003E0F58" w:rsidP="002178CD">
            <w:pPr>
              <w:jc w:val="left"/>
              <w:rPr>
                <w:sz w:val="20"/>
                <w:lang w:eastAsia="en-US"/>
              </w:rPr>
            </w:pPr>
          </w:p>
          <w:p w14:paraId="768633EC" w14:textId="77777777" w:rsidR="003E0F58" w:rsidRPr="007C705C" w:rsidRDefault="003E0F58" w:rsidP="002178CD">
            <w:pPr>
              <w:jc w:val="left"/>
              <w:rPr>
                <w:sz w:val="20"/>
                <w:lang w:eastAsia="en-US"/>
              </w:rPr>
            </w:pPr>
          </w:p>
        </w:tc>
        <w:tc>
          <w:tcPr>
            <w:tcW w:w="1305" w:type="dxa"/>
          </w:tcPr>
          <w:p w14:paraId="1582CE50" w14:textId="77777777" w:rsidR="003E0F58" w:rsidRPr="007C705C" w:rsidRDefault="003E0F58" w:rsidP="002178CD">
            <w:pPr>
              <w:jc w:val="left"/>
              <w:rPr>
                <w:sz w:val="20"/>
                <w:lang w:eastAsia="en-US"/>
              </w:rPr>
            </w:pPr>
            <w:r w:rsidRPr="007C705C">
              <w:rPr>
                <w:sz w:val="20"/>
                <w:lang w:eastAsia="en-US"/>
              </w:rPr>
              <w:lastRenderedPageBreak/>
              <w:t>Investice do majetku</w:t>
            </w:r>
          </w:p>
          <w:p w14:paraId="563183FD" w14:textId="77777777" w:rsidR="003E0F58" w:rsidRPr="007C705C" w:rsidRDefault="003E0F58" w:rsidP="002178CD">
            <w:pPr>
              <w:jc w:val="left"/>
              <w:rPr>
                <w:sz w:val="20"/>
                <w:lang w:eastAsia="en-US"/>
              </w:rPr>
            </w:pPr>
          </w:p>
          <w:p w14:paraId="44A17234" w14:textId="77777777" w:rsidR="003E0F58" w:rsidRPr="007C705C" w:rsidRDefault="003E0F58" w:rsidP="002178CD">
            <w:pPr>
              <w:jc w:val="left"/>
              <w:rPr>
                <w:sz w:val="20"/>
                <w:lang w:eastAsia="en-US"/>
              </w:rPr>
            </w:pPr>
            <w:r w:rsidRPr="007C705C">
              <w:rPr>
                <w:sz w:val="20"/>
                <w:lang w:eastAsia="en-US"/>
              </w:rPr>
              <w:t>Ekorežimy</w:t>
            </w:r>
          </w:p>
          <w:p w14:paraId="00A700F2" w14:textId="77777777" w:rsidR="003E0F58" w:rsidRPr="007C705C" w:rsidRDefault="003E0F58" w:rsidP="002178CD">
            <w:pPr>
              <w:jc w:val="left"/>
              <w:rPr>
                <w:sz w:val="20"/>
                <w:lang w:eastAsia="en-US"/>
              </w:rPr>
            </w:pPr>
          </w:p>
          <w:p w14:paraId="21DC0567" w14:textId="77777777" w:rsidR="003E0F58" w:rsidRPr="007C705C" w:rsidRDefault="003E0F58" w:rsidP="002178CD">
            <w:pPr>
              <w:jc w:val="left"/>
              <w:rPr>
                <w:sz w:val="20"/>
                <w:lang w:eastAsia="en-US"/>
              </w:rPr>
            </w:pPr>
          </w:p>
          <w:p w14:paraId="10C810D2" w14:textId="77777777" w:rsidR="003E0F58" w:rsidRPr="007C705C" w:rsidRDefault="003E0F58" w:rsidP="002178CD">
            <w:pPr>
              <w:jc w:val="left"/>
              <w:rPr>
                <w:sz w:val="20"/>
                <w:lang w:eastAsia="en-US"/>
              </w:rPr>
            </w:pPr>
          </w:p>
        </w:tc>
      </w:tr>
      <w:tr w:rsidR="003E0F58" w:rsidRPr="007C705C" w14:paraId="50A6036D" w14:textId="77777777" w:rsidTr="002178CD">
        <w:tc>
          <w:tcPr>
            <w:tcW w:w="1384" w:type="dxa"/>
          </w:tcPr>
          <w:p w14:paraId="5AA3029E" w14:textId="77777777" w:rsidR="003E0F58" w:rsidRPr="007C705C" w:rsidRDefault="003E0F58" w:rsidP="002178CD">
            <w:pPr>
              <w:jc w:val="left"/>
              <w:rPr>
                <w:sz w:val="20"/>
                <w:lang w:eastAsia="en-US"/>
              </w:rPr>
            </w:pPr>
            <w:r w:rsidRPr="007C705C">
              <w:rPr>
                <w:sz w:val="20"/>
                <w:lang w:eastAsia="en-US"/>
              </w:rPr>
              <w:t>Nedostatečná produkce cíleně pěstované energetické biomasy s nízkým rizikem půdní eroze (traviny, jeteloviny, luskoviny a případně další druhy plodin nebo jejich směsi využitelné v energetice</w:t>
            </w:r>
            <w:r w:rsidRPr="007C705C" w:rsidDel="00286AF3">
              <w:rPr>
                <w:sz w:val="20"/>
                <w:lang w:eastAsia="en-US"/>
              </w:rPr>
              <w:t xml:space="preserve"> </w:t>
            </w:r>
            <w:r w:rsidRPr="007C705C">
              <w:rPr>
                <w:sz w:val="20"/>
                <w:lang w:eastAsia="en-US"/>
              </w:rPr>
              <w:t>, rychle rostoucí dřeviny – RRD)</w:t>
            </w:r>
          </w:p>
        </w:tc>
        <w:tc>
          <w:tcPr>
            <w:tcW w:w="1588" w:type="dxa"/>
          </w:tcPr>
          <w:p w14:paraId="3AA85398" w14:textId="77777777" w:rsidR="003E0F58" w:rsidRPr="007C705C" w:rsidRDefault="003E0F58" w:rsidP="002178CD">
            <w:pPr>
              <w:jc w:val="left"/>
              <w:rPr>
                <w:color w:val="7030A0"/>
                <w:sz w:val="20"/>
                <w:lang w:eastAsia="en-US"/>
              </w:rPr>
            </w:pPr>
            <w:r w:rsidRPr="007C705C">
              <w:rPr>
                <w:color w:val="7030A0"/>
                <w:sz w:val="20"/>
                <w:lang w:eastAsia="en-US"/>
              </w:rPr>
              <w:t>Vlastnictví půdy</w:t>
            </w:r>
          </w:p>
          <w:p w14:paraId="669BD325" w14:textId="77777777" w:rsidR="003E0F58" w:rsidRPr="007C705C" w:rsidRDefault="003E0F58" w:rsidP="002178CD">
            <w:pPr>
              <w:jc w:val="left"/>
              <w:rPr>
                <w:color w:val="FF0000"/>
                <w:sz w:val="20"/>
                <w:lang w:eastAsia="en-US"/>
              </w:rPr>
            </w:pPr>
            <w:r w:rsidRPr="007C705C">
              <w:rPr>
                <w:color w:val="FF0000"/>
                <w:sz w:val="20"/>
                <w:lang w:eastAsia="en-US"/>
              </w:rPr>
              <w:t>Flexibilita využití půdy</w:t>
            </w:r>
          </w:p>
          <w:p w14:paraId="030025FC" w14:textId="77777777" w:rsidR="003E0F58" w:rsidRPr="007C705C" w:rsidRDefault="003E0F58" w:rsidP="002178CD">
            <w:pPr>
              <w:jc w:val="left"/>
              <w:rPr>
                <w:sz w:val="20"/>
                <w:lang w:eastAsia="en-US"/>
              </w:rPr>
            </w:pPr>
            <w:r w:rsidRPr="007C705C">
              <w:rPr>
                <w:sz w:val="20"/>
                <w:lang w:eastAsia="en-US"/>
              </w:rPr>
              <w:t>Chybí lokální trh (provozovny)</w:t>
            </w:r>
          </w:p>
          <w:p w14:paraId="37BDEB78" w14:textId="77777777" w:rsidR="003E0F58" w:rsidRPr="007C705C" w:rsidRDefault="003E0F58" w:rsidP="002178CD">
            <w:pPr>
              <w:jc w:val="left"/>
              <w:rPr>
                <w:sz w:val="20"/>
                <w:lang w:eastAsia="en-US"/>
              </w:rPr>
            </w:pPr>
            <w:r w:rsidRPr="007C705C">
              <w:rPr>
                <w:sz w:val="20"/>
                <w:lang w:eastAsia="en-US"/>
              </w:rPr>
              <w:t>Nákladná výstavba provozoven</w:t>
            </w:r>
          </w:p>
          <w:p w14:paraId="0BFF39E9" w14:textId="77777777" w:rsidR="003E0F58" w:rsidRPr="007C705C" w:rsidRDefault="003E0F58" w:rsidP="002178CD">
            <w:pPr>
              <w:jc w:val="left"/>
              <w:rPr>
                <w:sz w:val="20"/>
                <w:lang w:eastAsia="en-US"/>
              </w:rPr>
            </w:pPr>
            <w:r w:rsidRPr="007C705C">
              <w:rPr>
                <w:sz w:val="20"/>
                <w:lang w:eastAsia="en-US"/>
              </w:rPr>
              <w:t>Chybí spolupráce</w:t>
            </w:r>
          </w:p>
          <w:p w14:paraId="595D458F" w14:textId="77777777" w:rsidR="003E0F58" w:rsidRPr="007C705C" w:rsidRDefault="003E0F58" w:rsidP="002178CD">
            <w:pPr>
              <w:jc w:val="left"/>
              <w:rPr>
                <w:sz w:val="20"/>
                <w:lang w:eastAsia="en-US"/>
              </w:rPr>
            </w:pPr>
            <w:r w:rsidRPr="007C705C">
              <w:rPr>
                <w:sz w:val="20"/>
                <w:lang w:eastAsia="en-US"/>
              </w:rPr>
              <w:t>Informovanost</w:t>
            </w:r>
          </w:p>
        </w:tc>
        <w:tc>
          <w:tcPr>
            <w:tcW w:w="2098" w:type="dxa"/>
          </w:tcPr>
          <w:p w14:paraId="6A425557" w14:textId="77777777" w:rsidR="003E0F58" w:rsidRPr="007C705C" w:rsidRDefault="003E0F58" w:rsidP="002178CD">
            <w:pPr>
              <w:jc w:val="left"/>
              <w:rPr>
                <w:sz w:val="20"/>
                <w:lang w:eastAsia="en-US"/>
              </w:rPr>
            </w:pPr>
            <w:r w:rsidRPr="007C705C">
              <w:rPr>
                <w:sz w:val="20"/>
                <w:lang w:eastAsia="en-US"/>
              </w:rPr>
              <w:t>Chybí motivace</w:t>
            </w:r>
          </w:p>
          <w:p w14:paraId="0DD0D502" w14:textId="77777777" w:rsidR="003E0F58" w:rsidRPr="007C705C" w:rsidRDefault="003E0F58" w:rsidP="002178CD">
            <w:pPr>
              <w:jc w:val="left"/>
              <w:rPr>
                <w:sz w:val="20"/>
                <w:lang w:eastAsia="en-US"/>
              </w:rPr>
            </w:pPr>
          </w:p>
          <w:p w14:paraId="1F885E82" w14:textId="77777777" w:rsidR="003E0F58" w:rsidRPr="007C705C" w:rsidRDefault="003E0F58" w:rsidP="002178CD">
            <w:pPr>
              <w:jc w:val="left"/>
              <w:rPr>
                <w:sz w:val="20"/>
                <w:lang w:eastAsia="en-US"/>
              </w:rPr>
            </w:pPr>
            <w:r w:rsidRPr="007C705C">
              <w:rPr>
                <w:sz w:val="20"/>
                <w:lang w:eastAsia="en-US"/>
              </w:rPr>
              <w:t>Nemají zájem pěstovat energ. trávy a RRD</w:t>
            </w:r>
          </w:p>
          <w:p w14:paraId="4D9E5E38" w14:textId="77777777" w:rsidR="003E0F58" w:rsidRPr="007C705C" w:rsidRDefault="003E0F58" w:rsidP="002178CD">
            <w:pPr>
              <w:jc w:val="left"/>
              <w:rPr>
                <w:sz w:val="20"/>
                <w:lang w:eastAsia="en-US"/>
              </w:rPr>
            </w:pPr>
          </w:p>
          <w:p w14:paraId="4F915EA3" w14:textId="77777777" w:rsidR="003E0F58" w:rsidRPr="007C705C" w:rsidRDefault="003E0F58" w:rsidP="002178CD">
            <w:pPr>
              <w:jc w:val="left"/>
              <w:rPr>
                <w:sz w:val="20"/>
                <w:lang w:eastAsia="en-US"/>
              </w:rPr>
            </w:pPr>
            <w:r w:rsidRPr="007C705C">
              <w:rPr>
                <w:sz w:val="20"/>
                <w:lang w:eastAsia="en-US"/>
              </w:rPr>
              <w:t>Neochota ke spolupráci</w:t>
            </w:r>
          </w:p>
          <w:p w14:paraId="16E87A52" w14:textId="77777777" w:rsidR="003E0F58" w:rsidRPr="007C705C" w:rsidRDefault="003E0F58" w:rsidP="002178CD">
            <w:pPr>
              <w:jc w:val="left"/>
              <w:rPr>
                <w:sz w:val="20"/>
                <w:lang w:eastAsia="en-US"/>
              </w:rPr>
            </w:pPr>
          </w:p>
        </w:tc>
        <w:tc>
          <w:tcPr>
            <w:tcW w:w="1701" w:type="dxa"/>
          </w:tcPr>
          <w:p w14:paraId="6FA94CDD" w14:textId="77777777" w:rsidR="003E0F58" w:rsidRPr="007C705C" w:rsidRDefault="003E0F58" w:rsidP="002178CD">
            <w:pPr>
              <w:jc w:val="left"/>
              <w:rPr>
                <w:sz w:val="20"/>
                <w:lang w:eastAsia="en-US"/>
              </w:rPr>
            </w:pPr>
            <w:r w:rsidRPr="007C705C">
              <w:rPr>
                <w:sz w:val="20"/>
                <w:lang w:eastAsia="en-US"/>
              </w:rPr>
              <w:t>Zvýšit podíl vlastní vs. pronajaté půdy</w:t>
            </w:r>
          </w:p>
          <w:p w14:paraId="4CF6B983" w14:textId="77777777" w:rsidR="003E0F58" w:rsidRPr="007C705C" w:rsidRDefault="003E0F58" w:rsidP="002178CD">
            <w:pPr>
              <w:jc w:val="left"/>
              <w:rPr>
                <w:sz w:val="20"/>
                <w:lang w:eastAsia="en-US"/>
              </w:rPr>
            </w:pPr>
          </w:p>
          <w:p w14:paraId="3037C0EA" w14:textId="77777777" w:rsidR="003E0F58" w:rsidRPr="007C705C" w:rsidRDefault="003E0F58" w:rsidP="002178CD">
            <w:pPr>
              <w:jc w:val="left"/>
              <w:rPr>
                <w:sz w:val="20"/>
                <w:lang w:eastAsia="en-US"/>
              </w:rPr>
            </w:pPr>
            <w:r w:rsidRPr="007C705C">
              <w:rPr>
                <w:sz w:val="20"/>
                <w:lang w:eastAsia="en-US"/>
              </w:rPr>
              <w:t>Vybudovat odbytiště</w:t>
            </w:r>
          </w:p>
          <w:p w14:paraId="65F0A12E" w14:textId="77777777" w:rsidR="003E0F58" w:rsidRPr="007C705C" w:rsidRDefault="003E0F58" w:rsidP="002178CD">
            <w:pPr>
              <w:jc w:val="left"/>
              <w:rPr>
                <w:sz w:val="20"/>
                <w:lang w:eastAsia="en-US"/>
              </w:rPr>
            </w:pPr>
          </w:p>
          <w:p w14:paraId="5B644930" w14:textId="77777777" w:rsidR="003E0F58" w:rsidRPr="007C705C" w:rsidRDefault="003E0F58" w:rsidP="002178CD">
            <w:pPr>
              <w:jc w:val="left"/>
              <w:rPr>
                <w:sz w:val="20"/>
                <w:lang w:eastAsia="en-US"/>
              </w:rPr>
            </w:pPr>
            <w:r w:rsidRPr="007C705C">
              <w:rPr>
                <w:sz w:val="20"/>
                <w:lang w:eastAsia="en-US"/>
              </w:rPr>
              <w:t>Investovat do moderních technologií</w:t>
            </w:r>
          </w:p>
          <w:p w14:paraId="31588A5C" w14:textId="77777777" w:rsidR="003E0F58" w:rsidRPr="007C705C" w:rsidRDefault="003E0F58" w:rsidP="002178CD">
            <w:pPr>
              <w:jc w:val="left"/>
              <w:rPr>
                <w:sz w:val="20"/>
                <w:lang w:eastAsia="en-US"/>
              </w:rPr>
            </w:pPr>
          </w:p>
          <w:p w14:paraId="2CC0AFAF" w14:textId="77777777" w:rsidR="003E0F58" w:rsidRPr="007C705C" w:rsidRDefault="003E0F58" w:rsidP="002178CD">
            <w:pPr>
              <w:jc w:val="left"/>
              <w:rPr>
                <w:sz w:val="20"/>
                <w:lang w:eastAsia="en-US"/>
              </w:rPr>
            </w:pPr>
            <w:r w:rsidRPr="007C705C">
              <w:rPr>
                <w:sz w:val="20"/>
                <w:lang w:eastAsia="en-US"/>
              </w:rPr>
              <w:t>Spolupráce více aktérů na venkově</w:t>
            </w:r>
          </w:p>
          <w:p w14:paraId="77209241" w14:textId="77777777" w:rsidR="003E0F58" w:rsidRPr="007C705C" w:rsidRDefault="003E0F58" w:rsidP="002178CD">
            <w:pPr>
              <w:jc w:val="left"/>
              <w:rPr>
                <w:sz w:val="20"/>
                <w:lang w:eastAsia="en-US"/>
              </w:rPr>
            </w:pPr>
          </w:p>
          <w:p w14:paraId="3797C4F8" w14:textId="77777777" w:rsidR="003E0F58" w:rsidRPr="007C705C" w:rsidRDefault="003E0F58" w:rsidP="002178CD">
            <w:pPr>
              <w:jc w:val="left"/>
              <w:rPr>
                <w:sz w:val="20"/>
                <w:lang w:eastAsia="en-US"/>
              </w:rPr>
            </w:pPr>
            <w:r w:rsidRPr="007C705C">
              <w:rPr>
                <w:sz w:val="20"/>
                <w:lang w:eastAsia="en-US"/>
              </w:rPr>
              <w:t>Zajistit informovanost</w:t>
            </w:r>
          </w:p>
        </w:tc>
        <w:tc>
          <w:tcPr>
            <w:tcW w:w="1275" w:type="dxa"/>
          </w:tcPr>
          <w:p w14:paraId="546C3396" w14:textId="77777777" w:rsidR="003E0F58" w:rsidRPr="007C705C" w:rsidRDefault="003E0F58" w:rsidP="002178CD">
            <w:pPr>
              <w:jc w:val="left"/>
              <w:rPr>
                <w:sz w:val="20"/>
                <w:lang w:eastAsia="en-US"/>
              </w:rPr>
            </w:pPr>
            <w:r w:rsidRPr="007C705C">
              <w:rPr>
                <w:sz w:val="20"/>
                <w:lang w:eastAsia="en-US"/>
              </w:rPr>
              <w:t>Podpora nákupu půdy</w:t>
            </w:r>
          </w:p>
          <w:p w14:paraId="5603E4FF" w14:textId="77777777" w:rsidR="003E0F58" w:rsidRPr="007C705C" w:rsidRDefault="003E0F58" w:rsidP="002178CD">
            <w:pPr>
              <w:jc w:val="left"/>
              <w:rPr>
                <w:sz w:val="20"/>
                <w:lang w:eastAsia="en-US"/>
              </w:rPr>
            </w:pPr>
          </w:p>
          <w:p w14:paraId="6E74ECDD" w14:textId="77777777" w:rsidR="003E0F58" w:rsidRPr="007C705C" w:rsidRDefault="003E0F58" w:rsidP="002178CD">
            <w:pPr>
              <w:jc w:val="left"/>
              <w:rPr>
                <w:sz w:val="20"/>
                <w:lang w:eastAsia="en-US"/>
              </w:rPr>
            </w:pPr>
          </w:p>
          <w:p w14:paraId="16AFDF83" w14:textId="77777777" w:rsidR="003E0F58" w:rsidRPr="007C705C" w:rsidRDefault="003E0F58" w:rsidP="002178CD">
            <w:pPr>
              <w:jc w:val="left"/>
              <w:rPr>
                <w:sz w:val="20"/>
                <w:lang w:eastAsia="en-US"/>
              </w:rPr>
            </w:pPr>
          </w:p>
          <w:p w14:paraId="741E5690" w14:textId="77777777" w:rsidR="003E0F58" w:rsidRPr="007C705C" w:rsidRDefault="003E0F58" w:rsidP="002178CD">
            <w:pPr>
              <w:jc w:val="left"/>
              <w:rPr>
                <w:sz w:val="20"/>
                <w:lang w:eastAsia="en-US"/>
              </w:rPr>
            </w:pPr>
            <w:r w:rsidRPr="007C705C">
              <w:rPr>
                <w:sz w:val="20"/>
                <w:lang w:eastAsia="en-US"/>
              </w:rPr>
              <w:t>Podpora investic vybraných technologií</w:t>
            </w:r>
          </w:p>
          <w:p w14:paraId="4AEBD86F" w14:textId="77777777" w:rsidR="003E0F58" w:rsidRPr="007C705C" w:rsidRDefault="003E0F58" w:rsidP="002178CD">
            <w:pPr>
              <w:jc w:val="left"/>
              <w:rPr>
                <w:sz w:val="20"/>
                <w:lang w:eastAsia="en-US"/>
              </w:rPr>
            </w:pPr>
          </w:p>
          <w:p w14:paraId="54DAF98F" w14:textId="77777777" w:rsidR="003E0F58" w:rsidRPr="007C705C" w:rsidRDefault="003E0F58" w:rsidP="002178CD">
            <w:pPr>
              <w:jc w:val="left"/>
              <w:rPr>
                <w:sz w:val="20"/>
                <w:lang w:eastAsia="en-US"/>
              </w:rPr>
            </w:pPr>
            <w:r w:rsidRPr="007C705C">
              <w:rPr>
                <w:sz w:val="20"/>
                <w:lang w:eastAsia="en-US"/>
              </w:rPr>
              <w:t>Zajistit podnikatelské plány</w:t>
            </w:r>
          </w:p>
          <w:p w14:paraId="6FA4B79E" w14:textId="77777777" w:rsidR="003E0F58" w:rsidRPr="007C705C" w:rsidRDefault="003E0F58" w:rsidP="002178CD">
            <w:pPr>
              <w:jc w:val="left"/>
              <w:rPr>
                <w:sz w:val="20"/>
                <w:lang w:eastAsia="en-US"/>
              </w:rPr>
            </w:pPr>
          </w:p>
          <w:p w14:paraId="1D250BFB" w14:textId="77777777" w:rsidR="003E0F58" w:rsidRPr="007C705C" w:rsidRDefault="003E0F58" w:rsidP="002178CD">
            <w:pPr>
              <w:jc w:val="left"/>
              <w:rPr>
                <w:sz w:val="20"/>
                <w:lang w:eastAsia="en-US"/>
              </w:rPr>
            </w:pPr>
            <w:r w:rsidRPr="007C705C">
              <w:rPr>
                <w:sz w:val="20"/>
                <w:lang w:eastAsia="en-US"/>
              </w:rPr>
              <w:t>Transfer znalostí</w:t>
            </w:r>
          </w:p>
        </w:tc>
        <w:tc>
          <w:tcPr>
            <w:tcW w:w="1305" w:type="dxa"/>
          </w:tcPr>
          <w:p w14:paraId="31495F19" w14:textId="77777777" w:rsidR="003E0F58" w:rsidRPr="007C705C" w:rsidRDefault="003E0F58" w:rsidP="002178CD">
            <w:pPr>
              <w:jc w:val="left"/>
              <w:rPr>
                <w:sz w:val="20"/>
                <w:lang w:eastAsia="en-US"/>
              </w:rPr>
            </w:pPr>
            <w:r w:rsidRPr="007C705C">
              <w:rPr>
                <w:sz w:val="20"/>
                <w:lang w:eastAsia="en-US"/>
              </w:rPr>
              <w:t>Investice do majetku</w:t>
            </w:r>
          </w:p>
          <w:p w14:paraId="66D1FD6C" w14:textId="77777777" w:rsidR="003E0F58" w:rsidRPr="007C705C" w:rsidRDefault="003E0F58" w:rsidP="002178CD">
            <w:pPr>
              <w:jc w:val="left"/>
              <w:rPr>
                <w:sz w:val="20"/>
                <w:lang w:eastAsia="en-US"/>
              </w:rPr>
            </w:pPr>
          </w:p>
          <w:p w14:paraId="20F4130B" w14:textId="77777777" w:rsidR="003E0F58" w:rsidRPr="007C705C" w:rsidRDefault="003E0F58" w:rsidP="002178CD">
            <w:pPr>
              <w:jc w:val="left"/>
              <w:rPr>
                <w:sz w:val="20"/>
                <w:lang w:eastAsia="en-US"/>
              </w:rPr>
            </w:pPr>
          </w:p>
          <w:p w14:paraId="4E8B5BAC" w14:textId="77777777" w:rsidR="003E0F58" w:rsidRPr="007C705C" w:rsidRDefault="003E0F58" w:rsidP="002178CD">
            <w:pPr>
              <w:jc w:val="left"/>
              <w:rPr>
                <w:sz w:val="20"/>
                <w:lang w:eastAsia="en-US"/>
              </w:rPr>
            </w:pPr>
            <w:bookmarkStart w:id="392" w:name="_Hlk528583169"/>
            <w:r w:rsidRPr="007C705C">
              <w:rPr>
                <w:sz w:val="20"/>
                <w:lang w:eastAsia="en-US"/>
              </w:rPr>
              <w:t>Podpora spolupráce</w:t>
            </w:r>
            <w:bookmarkEnd w:id="392"/>
          </w:p>
          <w:p w14:paraId="5348A4AF" w14:textId="77777777" w:rsidR="003E0F58" w:rsidRPr="007C705C" w:rsidRDefault="003E0F58" w:rsidP="002178CD">
            <w:pPr>
              <w:jc w:val="left"/>
              <w:rPr>
                <w:sz w:val="20"/>
                <w:lang w:eastAsia="en-US"/>
              </w:rPr>
            </w:pPr>
          </w:p>
          <w:p w14:paraId="24E2A731" w14:textId="77777777" w:rsidR="003E0F58" w:rsidRPr="007C705C" w:rsidRDefault="003E0F58" w:rsidP="002178CD">
            <w:pPr>
              <w:jc w:val="left"/>
              <w:rPr>
                <w:sz w:val="20"/>
                <w:lang w:eastAsia="en-US"/>
              </w:rPr>
            </w:pPr>
            <w:r w:rsidRPr="007C705C">
              <w:rPr>
                <w:sz w:val="20"/>
                <w:lang w:eastAsia="en-US"/>
              </w:rPr>
              <w:t>Podpora poradenství a vzdělávání</w:t>
            </w:r>
          </w:p>
          <w:p w14:paraId="2634BF92" w14:textId="77777777" w:rsidR="003E0F58" w:rsidRPr="007C705C" w:rsidRDefault="003E0F58" w:rsidP="002178CD">
            <w:pPr>
              <w:jc w:val="left"/>
              <w:rPr>
                <w:sz w:val="20"/>
                <w:lang w:eastAsia="en-US"/>
              </w:rPr>
            </w:pPr>
          </w:p>
        </w:tc>
      </w:tr>
      <w:tr w:rsidR="003E0F58" w:rsidRPr="007C705C" w14:paraId="029B97BD" w14:textId="77777777" w:rsidTr="002178CD">
        <w:tc>
          <w:tcPr>
            <w:tcW w:w="1384" w:type="dxa"/>
          </w:tcPr>
          <w:p w14:paraId="0BDE6011" w14:textId="77777777" w:rsidR="003E0F58" w:rsidRPr="007C705C" w:rsidRDefault="003E0F58" w:rsidP="002178CD">
            <w:pPr>
              <w:jc w:val="left"/>
              <w:rPr>
                <w:sz w:val="20"/>
                <w:lang w:eastAsia="en-US"/>
              </w:rPr>
            </w:pPr>
            <w:r w:rsidRPr="007C705C">
              <w:rPr>
                <w:sz w:val="20"/>
                <w:lang w:eastAsia="en-US"/>
              </w:rPr>
              <w:t>Vysoký podíl využívání cíleně pěstované energetické biomasy s rizikem půdní eroze vůči biomase odpadní či cílené biomase s nízkým erozním rizikem</w:t>
            </w:r>
          </w:p>
        </w:tc>
        <w:tc>
          <w:tcPr>
            <w:tcW w:w="1588" w:type="dxa"/>
          </w:tcPr>
          <w:p w14:paraId="6D181C21" w14:textId="77777777" w:rsidR="003E0F58" w:rsidRPr="007C705C" w:rsidRDefault="003E0F58" w:rsidP="002178CD">
            <w:pPr>
              <w:jc w:val="left"/>
              <w:rPr>
                <w:sz w:val="20"/>
                <w:lang w:eastAsia="en-US"/>
              </w:rPr>
            </w:pPr>
            <w:r w:rsidRPr="007C705C">
              <w:rPr>
                <w:color w:val="FF0000"/>
                <w:sz w:val="20"/>
                <w:lang w:eastAsia="en-US"/>
              </w:rPr>
              <w:t>Dříve umožněno a nelze zpětně změnit</w:t>
            </w:r>
          </w:p>
          <w:p w14:paraId="50FC016B" w14:textId="77777777" w:rsidR="003E0F58" w:rsidRPr="007C705C" w:rsidRDefault="003E0F58" w:rsidP="002178CD">
            <w:pPr>
              <w:jc w:val="left"/>
              <w:rPr>
                <w:sz w:val="20"/>
                <w:lang w:eastAsia="en-US"/>
              </w:rPr>
            </w:pPr>
            <w:r w:rsidRPr="007C705C">
              <w:rPr>
                <w:sz w:val="20"/>
                <w:lang w:eastAsia="en-US"/>
              </w:rPr>
              <w:t>Větší rentabilita</w:t>
            </w:r>
          </w:p>
        </w:tc>
        <w:tc>
          <w:tcPr>
            <w:tcW w:w="2098" w:type="dxa"/>
          </w:tcPr>
          <w:p w14:paraId="6ECF4135" w14:textId="77777777" w:rsidR="003E0F58" w:rsidRPr="007C705C" w:rsidRDefault="003E0F58" w:rsidP="002178CD">
            <w:pPr>
              <w:jc w:val="left"/>
              <w:rPr>
                <w:sz w:val="20"/>
                <w:lang w:eastAsia="en-US"/>
              </w:rPr>
            </w:pPr>
            <w:r w:rsidRPr="007C705C">
              <w:rPr>
                <w:sz w:val="20"/>
                <w:lang w:eastAsia="en-US"/>
              </w:rPr>
              <w:t>Chybí motivace</w:t>
            </w:r>
          </w:p>
          <w:p w14:paraId="20057834" w14:textId="77777777" w:rsidR="003E0F58" w:rsidRPr="007C705C" w:rsidRDefault="003E0F58" w:rsidP="002178CD">
            <w:pPr>
              <w:jc w:val="left"/>
              <w:rPr>
                <w:sz w:val="20"/>
                <w:lang w:eastAsia="en-US"/>
              </w:rPr>
            </w:pPr>
          </w:p>
          <w:p w14:paraId="0CE136BD" w14:textId="77777777" w:rsidR="003E0F58" w:rsidRPr="007C705C" w:rsidRDefault="003E0F58" w:rsidP="002178CD">
            <w:pPr>
              <w:jc w:val="left"/>
              <w:rPr>
                <w:sz w:val="20"/>
                <w:lang w:eastAsia="en-US"/>
              </w:rPr>
            </w:pPr>
            <w:r w:rsidRPr="007C705C">
              <w:rPr>
                <w:sz w:val="20"/>
                <w:lang w:eastAsia="en-US"/>
              </w:rPr>
              <w:t>Nemají zájem</w:t>
            </w:r>
          </w:p>
          <w:p w14:paraId="36FDADF4" w14:textId="77777777" w:rsidR="003E0F58" w:rsidRPr="007C705C" w:rsidRDefault="003E0F58" w:rsidP="002178CD">
            <w:pPr>
              <w:jc w:val="left"/>
              <w:rPr>
                <w:sz w:val="20"/>
                <w:lang w:eastAsia="en-US"/>
              </w:rPr>
            </w:pPr>
          </w:p>
          <w:p w14:paraId="3D073372" w14:textId="77777777" w:rsidR="003E0F58" w:rsidRPr="007C705C" w:rsidRDefault="003E0F58" w:rsidP="002178CD">
            <w:pPr>
              <w:jc w:val="left"/>
              <w:rPr>
                <w:sz w:val="20"/>
                <w:lang w:eastAsia="en-US"/>
              </w:rPr>
            </w:pPr>
            <w:r w:rsidRPr="007C705C">
              <w:rPr>
                <w:sz w:val="20"/>
                <w:lang w:eastAsia="en-US"/>
              </w:rPr>
              <w:t xml:space="preserve">Nemají zájem pěstovat </w:t>
            </w:r>
          </w:p>
          <w:p w14:paraId="584D7308" w14:textId="77777777" w:rsidR="003E0F58" w:rsidRPr="007C705C" w:rsidRDefault="003E0F58" w:rsidP="002178CD">
            <w:pPr>
              <w:jc w:val="left"/>
              <w:rPr>
                <w:sz w:val="20"/>
                <w:lang w:eastAsia="en-US"/>
              </w:rPr>
            </w:pPr>
            <w:r w:rsidRPr="007C705C">
              <w:rPr>
                <w:sz w:val="20"/>
                <w:lang w:eastAsia="en-US"/>
              </w:rPr>
              <w:t>energ. trávy a RRD</w:t>
            </w:r>
          </w:p>
          <w:p w14:paraId="2E42D2D9" w14:textId="77777777" w:rsidR="003E0F58" w:rsidRPr="007C705C" w:rsidRDefault="003E0F58" w:rsidP="002178CD">
            <w:pPr>
              <w:jc w:val="left"/>
              <w:rPr>
                <w:sz w:val="20"/>
                <w:lang w:eastAsia="en-US"/>
              </w:rPr>
            </w:pPr>
          </w:p>
        </w:tc>
        <w:tc>
          <w:tcPr>
            <w:tcW w:w="1701" w:type="dxa"/>
          </w:tcPr>
          <w:p w14:paraId="549F999C" w14:textId="77777777" w:rsidR="003E0F58" w:rsidRPr="007C705C" w:rsidRDefault="003E0F58" w:rsidP="002178CD">
            <w:pPr>
              <w:jc w:val="left"/>
              <w:rPr>
                <w:sz w:val="20"/>
                <w:lang w:eastAsia="en-US"/>
              </w:rPr>
            </w:pPr>
            <w:r w:rsidRPr="007C705C">
              <w:rPr>
                <w:sz w:val="20"/>
                <w:lang w:eastAsia="en-US"/>
              </w:rPr>
              <w:t>Zvýšit podíl vlastní vs. pronajaté půdy</w:t>
            </w:r>
          </w:p>
          <w:p w14:paraId="09D4DA28" w14:textId="77777777" w:rsidR="003E0F58" w:rsidRPr="007C705C" w:rsidRDefault="003E0F58" w:rsidP="002178CD">
            <w:pPr>
              <w:jc w:val="left"/>
              <w:rPr>
                <w:sz w:val="20"/>
                <w:lang w:eastAsia="en-US"/>
              </w:rPr>
            </w:pPr>
          </w:p>
          <w:p w14:paraId="45C1D3E6" w14:textId="77777777" w:rsidR="003E0F58" w:rsidRPr="007C705C" w:rsidRDefault="003E0F58" w:rsidP="002178CD">
            <w:pPr>
              <w:jc w:val="left"/>
              <w:rPr>
                <w:sz w:val="20"/>
                <w:lang w:eastAsia="en-US"/>
              </w:rPr>
            </w:pPr>
            <w:r w:rsidRPr="007C705C">
              <w:rPr>
                <w:sz w:val="20"/>
                <w:lang w:eastAsia="en-US"/>
              </w:rPr>
              <w:t>Zvýšit produkci „neerozivní“ biomasy</w:t>
            </w:r>
          </w:p>
        </w:tc>
        <w:tc>
          <w:tcPr>
            <w:tcW w:w="1275" w:type="dxa"/>
          </w:tcPr>
          <w:p w14:paraId="37EAEE34" w14:textId="77777777" w:rsidR="003E0F58" w:rsidRPr="007C705C" w:rsidRDefault="003E0F58" w:rsidP="002178CD">
            <w:pPr>
              <w:jc w:val="left"/>
              <w:rPr>
                <w:sz w:val="20"/>
                <w:lang w:eastAsia="en-US"/>
              </w:rPr>
            </w:pPr>
            <w:r w:rsidRPr="007C705C">
              <w:rPr>
                <w:sz w:val="20"/>
                <w:lang w:eastAsia="en-US"/>
              </w:rPr>
              <w:t>Podpora nákupu půdy</w:t>
            </w:r>
          </w:p>
          <w:p w14:paraId="4AC11DF4" w14:textId="77777777" w:rsidR="003E0F58" w:rsidRPr="007C705C" w:rsidRDefault="003E0F58" w:rsidP="002178CD">
            <w:pPr>
              <w:jc w:val="left"/>
              <w:rPr>
                <w:sz w:val="20"/>
                <w:lang w:eastAsia="en-US"/>
              </w:rPr>
            </w:pPr>
          </w:p>
          <w:p w14:paraId="6DA6E40B" w14:textId="77777777" w:rsidR="003E0F58" w:rsidRPr="007C705C" w:rsidRDefault="003E0F58" w:rsidP="002178CD">
            <w:pPr>
              <w:jc w:val="left"/>
              <w:rPr>
                <w:sz w:val="20"/>
                <w:lang w:eastAsia="en-US"/>
              </w:rPr>
            </w:pPr>
            <w:r w:rsidRPr="007C705C">
              <w:rPr>
                <w:sz w:val="20"/>
                <w:lang w:eastAsia="en-US"/>
              </w:rPr>
              <w:t>Podpora energetických trav a RRD</w:t>
            </w:r>
          </w:p>
        </w:tc>
        <w:tc>
          <w:tcPr>
            <w:tcW w:w="1305" w:type="dxa"/>
          </w:tcPr>
          <w:p w14:paraId="368761FF" w14:textId="77777777" w:rsidR="003E0F58" w:rsidRPr="007C705C" w:rsidRDefault="003E0F58" w:rsidP="002178CD">
            <w:pPr>
              <w:jc w:val="left"/>
              <w:rPr>
                <w:sz w:val="20"/>
                <w:lang w:eastAsia="en-US"/>
              </w:rPr>
            </w:pPr>
            <w:r w:rsidRPr="007C705C">
              <w:rPr>
                <w:sz w:val="20"/>
                <w:lang w:eastAsia="en-US"/>
              </w:rPr>
              <w:t>Investice do majetku</w:t>
            </w:r>
          </w:p>
          <w:p w14:paraId="02C751FA" w14:textId="77777777" w:rsidR="003E0F58" w:rsidRPr="007C705C" w:rsidRDefault="003E0F58" w:rsidP="002178CD">
            <w:pPr>
              <w:jc w:val="left"/>
              <w:rPr>
                <w:sz w:val="20"/>
                <w:lang w:eastAsia="en-US"/>
              </w:rPr>
            </w:pPr>
          </w:p>
          <w:p w14:paraId="33A08B3C" w14:textId="77777777" w:rsidR="003E0F58" w:rsidRPr="007C705C" w:rsidRDefault="003E0F58" w:rsidP="002178CD">
            <w:pPr>
              <w:jc w:val="left"/>
              <w:rPr>
                <w:sz w:val="20"/>
                <w:lang w:eastAsia="en-US"/>
              </w:rPr>
            </w:pPr>
            <w:r w:rsidRPr="007C705C">
              <w:rPr>
                <w:sz w:val="20"/>
                <w:lang w:eastAsia="en-US"/>
              </w:rPr>
              <w:t xml:space="preserve">Ekorežimy </w:t>
            </w:r>
          </w:p>
          <w:p w14:paraId="310A451B" w14:textId="77777777" w:rsidR="003E0F58" w:rsidRPr="007C705C" w:rsidRDefault="003E0F58" w:rsidP="002178CD">
            <w:pPr>
              <w:jc w:val="left"/>
              <w:rPr>
                <w:sz w:val="20"/>
                <w:lang w:eastAsia="en-US"/>
              </w:rPr>
            </w:pPr>
          </w:p>
          <w:p w14:paraId="7209F226" w14:textId="77777777" w:rsidR="003E0F58" w:rsidRPr="007C705C" w:rsidRDefault="003E0F58" w:rsidP="002178CD">
            <w:pPr>
              <w:jc w:val="left"/>
              <w:rPr>
                <w:sz w:val="20"/>
                <w:lang w:eastAsia="en-US"/>
              </w:rPr>
            </w:pPr>
            <w:r w:rsidRPr="007C705C">
              <w:rPr>
                <w:sz w:val="20"/>
                <w:lang w:eastAsia="en-US"/>
              </w:rPr>
              <w:t>AEKO</w:t>
            </w:r>
          </w:p>
        </w:tc>
      </w:tr>
      <w:tr w:rsidR="003E0F58" w:rsidRPr="007C705C" w14:paraId="05269D66" w14:textId="77777777" w:rsidTr="002178CD">
        <w:tc>
          <w:tcPr>
            <w:tcW w:w="1384" w:type="dxa"/>
          </w:tcPr>
          <w:p w14:paraId="2618F1EC" w14:textId="77777777" w:rsidR="003E0F58" w:rsidRPr="007C705C" w:rsidRDefault="003E0F58" w:rsidP="002178CD">
            <w:pPr>
              <w:jc w:val="left"/>
              <w:rPr>
                <w:sz w:val="20"/>
                <w:lang w:eastAsia="en-US"/>
              </w:rPr>
            </w:pPr>
            <w:r w:rsidRPr="007C705C">
              <w:rPr>
                <w:sz w:val="20"/>
                <w:lang w:eastAsia="en-US"/>
              </w:rPr>
              <w:t>Nevyužitý potenciál lesní dendromasy, BRKO</w:t>
            </w:r>
          </w:p>
        </w:tc>
        <w:tc>
          <w:tcPr>
            <w:tcW w:w="1588" w:type="dxa"/>
          </w:tcPr>
          <w:p w14:paraId="2605B06C" w14:textId="77777777" w:rsidR="003E0F58" w:rsidRPr="007C705C" w:rsidRDefault="003E0F58" w:rsidP="002178CD">
            <w:pPr>
              <w:jc w:val="left"/>
              <w:rPr>
                <w:sz w:val="20"/>
                <w:lang w:eastAsia="en-US"/>
              </w:rPr>
            </w:pPr>
            <w:r w:rsidRPr="007C705C">
              <w:rPr>
                <w:sz w:val="20"/>
                <w:lang w:eastAsia="en-US"/>
              </w:rPr>
              <w:t>Chybí lokální trh (provozovny)</w:t>
            </w:r>
          </w:p>
          <w:p w14:paraId="434DE6DE" w14:textId="77777777" w:rsidR="003E0F58" w:rsidRPr="007C705C" w:rsidRDefault="003E0F58" w:rsidP="002178CD">
            <w:pPr>
              <w:jc w:val="left"/>
              <w:rPr>
                <w:sz w:val="20"/>
                <w:lang w:eastAsia="en-US"/>
              </w:rPr>
            </w:pPr>
            <w:r w:rsidRPr="007C705C">
              <w:rPr>
                <w:sz w:val="20"/>
                <w:lang w:eastAsia="en-US"/>
              </w:rPr>
              <w:t>Nákladná výstavba provozoven</w:t>
            </w:r>
          </w:p>
          <w:p w14:paraId="1E9E9F01" w14:textId="77777777" w:rsidR="003E0F58" w:rsidRPr="007C705C" w:rsidRDefault="003E0F58" w:rsidP="002178CD">
            <w:pPr>
              <w:jc w:val="left"/>
              <w:rPr>
                <w:sz w:val="20"/>
                <w:lang w:eastAsia="en-US"/>
              </w:rPr>
            </w:pPr>
            <w:r w:rsidRPr="007C705C">
              <w:rPr>
                <w:sz w:val="20"/>
                <w:lang w:eastAsia="en-US"/>
              </w:rPr>
              <w:t>Chybí spolupráce</w:t>
            </w:r>
          </w:p>
          <w:p w14:paraId="4646A05C" w14:textId="77777777" w:rsidR="003E0F58" w:rsidRPr="007C705C" w:rsidRDefault="003E0F58" w:rsidP="002178CD">
            <w:pPr>
              <w:jc w:val="left"/>
              <w:rPr>
                <w:sz w:val="20"/>
                <w:lang w:eastAsia="en-US"/>
              </w:rPr>
            </w:pPr>
            <w:r w:rsidRPr="007C705C">
              <w:rPr>
                <w:sz w:val="20"/>
                <w:lang w:eastAsia="en-US"/>
              </w:rPr>
              <w:t>Nízké a složité dotace na spolupráci</w:t>
            </w:r>
          </w:p>
          <w:p w14:paraId="1E82CFB4" w14:textId="77777777" w:rsidR="003E0F58" w:rsidRPr="007C705C" w:rsidRDefault="003E0F58" w:rsidP="002178CD">
            <w:pPr>
              <w:jc w:val="left"/>
              <w:rPr>
                <w:sz w:val="20"/>
                <w:lang w:eastAsia="en-US"/>
              </w:rPr>
            </w:pPr>
            <w:r w:rsidRPr="007C705C">
              <w:rPr>
                <w:sz w:val="20"/>
                <w:lang w:eastAsia="en-US"/>
              </w:rPr>
              <w:t>Informovanost</w:t>
            </w:r>
          </w:p>
        </w:tc>
        <w:tc>
          <w:tcPr>
            <w:tcW w:w="2098" w:type="dxa"/>
          </w:tcPr>
          <w:p w14:paraId="1B66DD8C" w14:textId="77777777" w:rsidR="003E0F58" w:rsidRPr="007C705C" w:rsidRDefault="003E0F58" w:rsidP="002178CD">
            <w:pPr>
              <w:jc w:val="left"/>
              <w:rPr>
                <w:sz w:val="20"/>
                <w:lang w:eastAsia="en-US"/>
              </w:rPr>
            </w:pPr>
            <w:r w:rsidRPr="007C705C">
              <w:rPr>
                <w:sz w:val="20"/>
                <w:lang w:eastAsia="en-US"/>
              </w:rPr>
              <w:t>Chybí motivace</w:t>
            </w:r>
          </w:p>
          <w:p w14:paraId="544DFD54" w14:textId="77777777" w:rsidR="003E0F58" w:rsidRPr="007C705C" w:rsidRDefault="003E0F58" w:rsidP="002178CD">
            <w:pPr>
              <w:jc w:val="left"/>
              <w:rPr>
                <w:sz w:val="20"/>
                <w:lang w:eastAsia="en-US"/>
              </w:rPr>
            </w:pPr>
          </w:p>
          <w:p w14:paraId="4EFC6591" w14:textId="77777777" w:rsidR="003E0F58" w:rsidRPr="007C705C" w:rsidRDefault="003E0F58" w:rsidP="002178CD">
            <w:pPr>
              <w:jc w:val="left"/>
              <w:rPr>
                <w:sz w:val="20"/>
                <w:lang w:eastAsia="en-US"/>
              </w:rPr>
            </w:pPr>
            <w:r w:rsidRPr="007C705C">
              <w:rPr>
                <w:sz w:val="20"/>
                <w:lang w:eastAsia="en-US"/>
              </w:rPr>
              <w:t>Nemají zájem</w:t>
            </w:r>
          </w:p>
          <w:p w14:paraId="43D154A7" w14:textId="77777777" w:rsidR="003E0F58" w:rsidRPr="007C705C" w:rsidRDefault="003E0F58" w:rsidP="002178CD">
            <w:pPr>
              <w:jc w:val="left"/>
              <w:rPr>
                <w:sz w:val="20"/>
                <w:lang w:eastAsia="en-US"/>
              </w:rPr>
            </w:pPr>
          </w:p>
          <w:p w14:paraId="50A95080" w14:textId="77777777" w:rsidR="003E0F58" w:rsidRPr="007C705C" w:rsidRDefault="003E0F58" w:rsidP="002178CD">
            <w:pPr>
              <w:jc w:val="left"/>
              <w:rPr>
                <w:sz w:val="20"/>
                <w:lang w:eastAsia="en-US"/>
              </w:rPr>
            </w:pPr>
            <w:r w:rsidRPr="007C705C">
              <w:rPr>
                <w:sz w:val="20"/>
                <w:lang w:eastAsia="en-US"/>
              </w:rPr>
              <w:t>Neochota ke spolupráci</w:t>
            </w:r>
          </w:p>
        </w:tc>
        <w:tc>
          <w:tcPr>
            <w:tcW w:w="1701" w:type="dxa"/>
          </w:tcPr>
          <w:p w14:paraId="0A82236F" w14:textId="77777777" w:rsidR="003E0F58" w:rsidRPr="007C705C" w:rsidRDefault="003E0F58" w:rsidP="002178CD">
            <w:pPr>
              <w:jc w:val="left"/>
              <w:rPr>
                <w:sz w:val="20"/>
                <w:lang w:eastAsia="en-US"/>
              </w:rPr>
            </w:pPr>
            <w:r w:rsidRPr="007C705C">
              <w:rPr>
                <w:sz w:val="20"/>
                <w:lang w:eastAsia="en-US"/>
              </w:rPr>
              <w:t>Vybudovat odbytiště</w:t>
            </w:r>
          </w:p>
          <w:p w14:paraId="3D960023" w14:textId="77777777" w:rsidR="003E0F58" w:rsidRPr="007C705C" w:rsidRDefault="003E0F58" w:rsidP="002178CD">
            <w:pPr>
              <w:jc w:val="left"/>
              <w:rPr>
                <w:sz w:val="20"/>
                <w:lang w:eastAsia="en-US"/>
              </w:rPr>
            </w:pPr>
          </w:p>
          <w:p w14:paraId="3E901C00" w14:textId="77777777" w:rsidR="003E0F58" w:rsidRPr="007C705C" w:rsidRDefault="003E0F58" w:rsidP="002178CD">
            <w:pPr>
              <w:jc w:val="left"/>
              <w:rPr>
                <w:sz w:val="20"/>
                <w:lang w:eastAsia="en-US"/>
              </w:rPr>
            </w:pPr>
            <w:r w:rsidRPr="007C705C">
              <w:rPr>
                <w:sz w:val="20"/>
                <w:lang w:eastAsia="en-US"/>
              </w:rPr>
              <w:t>Investovat do moderních technologií</w:t>
            </w:r>
          </w:p>
          <w:p w14:paraId="398F0B4F" w14:textId="77777777" w:rsidR="003E0F58" w:rsidRPr="007C705C" w:rsidRDefault="003E0F58" w:rsidP="002178CD">
            <w:pPr>
              <w:jc w:val="left"/>
              <w:rPr>
                <w:sz w:val="20"/>
                <w:lang w:eastAsia="en-US"/>
              </w:rPr>
            </w:pPr>
          </w:p>
          <w:p w14:paraId="3FB1B156" w14:textId="77777777" w:rsidR="003E0F58" w:rsidRPr="007C705C" w:rsidRDefault="003E0F58" w:rsidP="002178CD">
            <w:pPr>
              <w:jc w:val="left"/>
              <w:rPr>
                <w:sz w:val="20"/>
                <w:lang w:eastAsia="en-US"/>
              </w:rPr>
            </w:pPr>
            <w:r w:rsidRPr="007C705C">
              <w:rPr>
                <w:sz w:val="20"/>
                <w:lang w:eastAsia="en-US"/>
              </w:rPr>
              <w:t>Spolupráce více aktérů na venkově</w:t>
            </w:r>
          </w:p>
          <w:p w14:paraId="1EED0FB4" w14:textId="77777777" w:rsidR="003E0F58" w:rsidRPr="007C705C" w:rsidRDefault="003E0F58" w:rsidP="002178CD">
            <w:pPr>
              <w:jc w:val="left"/>
              <w:rPr>
                <w:sz w:val="20"/>
                <w:lang w:eastAsia="en-US"/>
              </w:rPr>
            </w:pPr>
          </w:p>
          <w:p w14:paraId="07802F9B" w14:textId="77777777" w:rsidR="003E0F58" w:rsidRPr="007C705C" w:rsidRDefault="003E0F58" w:rsidP="002178CD">
            <w:pPr>
              <w:jc w:val="left"/>
              <w:rPr>
                <w:sz w:val="20"/>
                <w:lang w:eastAsia="en-US"/>
              </w:rPr>
            </w:pPr>
            <w:r w:rsidRPr="007C705C">
              <w:rPr>
                <w:sz w:val="20"/>
                <w:lang w:eastAsia="en-US"/>
              </w:rPr>
              <w:t>Jednodušší pravidla a vyšší míra podpory spolupráce</w:t>
            </w:r>
          </w:p>
          <w:p w14:paraId="5BAEFE29" w14:textId="77777777" w:rsidR="003E0F58" w:rsidRPr="007C705C" w:rsidRDefault="003E0F58" w:rsidP="002178CD">
            <w:pPr>
              <w:jc w:val="left"/>
              <w:rPr>
                <w:sz w:val="20"/>
                <w:lang w:eastAsia="en-US"/>
              </w:rPr>
            </w:pPr>
          </w:p>
          <w:p w14:paraId="63595537" w14:textId="77777777" w:rsidR="003E0F58" w:rsidRPr="007C705C" w:rsidRDefault="003E0F58" w:rsidP="002178CD">
            <w:pPr>
              <w:jc w:val="left"/>
              <w:rPr>
                <w:sz w:val="20"/>
                <w:lang w:eastAsia="en-US"/>
              </w:rPr>
            </w:pPr>
            <w:r w:rsidRPr="007C705C">
              <w:rPr>
                <w:sz w:val="20"/>
                <w:lang w:eastAsia="en-US"/>
              </w:rPr>
              <w:t>Zajistit informovanost</w:t>
            </w:r>
          </w:p>
        </w:tc>
        <w:tc>
          <w:tcPr>
            <w:tcW w:w="1275" w:type="dxa"/>
          </w:tcPr>
          <w:p w14:paraId="75271584" w14:textId="77777777" w:rsidR="003E0F58" w:rsidRPr="007C705C" w:rsidRDefault="003E0F58" w:rsidP="002178CD">
            <w:pPr>
              <w:jc w:val="left"/>
              <w:rPr>
                <w:sz w:val="20"/>
                <w:lang w:eastAsia="en-US"/>
              </w:rPr>
            </w:pPr>
            <w:r w:rsidRPr="007C705C">
              <w:rPr>
                <w:sz w:val="20"/>
                <w:lang w:eastAsia="en-US"/>
              </w:rPr>
              <w:lastRenderedPageBreak/>
              <w:t>Podpora investic vybraných technologií</w:t>
            </w:r>
          </w:p>
          <w:p w14:paraId="7771506D" w14:textId="77777777" w:rsidR="003E0F58" w:rsidRPr="007C705C" w:rsidRDefault="003E0F58" w:rsidP="002178CD">
            <w:pPr>
              <w:jc w:val="left"/>
              <w:rPr>
                <w:sz w:val="20"/>
                <w:lang w:eastAsia="en-US"/>
              </w:rPr>
            </w:pPr>
          </w:p>
          <w:p w14:paraId="51275FF4" w14:textId="77777777" w:rsidR="003E0F58" w:rsidRPr="007C705C" w:rsidRDefault="003E0F58" w:rsidP="002178CD">
            <w:pPr>
              <w:jc w:val="left"/>
              <w:rPr>
                <w:sz w:val="20"/>
                <w:lang w:eastAsia="en-US"/>
              </w:rPr>
            </w:pPr>
            <w:r w:rsidRPr="007C705C">
              <w:rPr>
                <w:sz w:val="20"/>
                <w:lang w:eastAsia="en-US"/>
              </w:rPr>
              <w:t>Zajistit podnikatelské plány</w:t>
            </w:r>
          </w:p>
          <w:p w14:paraId="6E99054E" w14:textId="77777777" w:rsidR="003E0F58" w:rsidRPr="007C705C" w:rsidRDefault="003E0F58" w:rsidP="002178CD">
            <w:pPr>
              <w:jc w:val="left"/>
              <w:rPr>
                <w:sz w:val="20"/>
                <w:lang w:eastAsia="en-US"/>
              </w:rPr>
            </w:pPr>
          </w:p>
          <w:p w14:paraId="7F6D703A" w14:textId="77777777" w:rsidR="003E0F58" w:rsidRPr="007C705C" w:rsidRDefault="003E0F58" w:rsidP="002178CD">
            <w:pPr>
              <w:jc w:val="left"/>
              <w:rPr>
                <w:sz w:val="20"/>
                <w:lang w:eastAsia="en-US"/>
              </w:rPr>
            </w:pPr>
            <w:r w:rsidRPr="007C705C">
              <w:rPr>
                <w:sz w:val="20"/>
                <w:lang w:eastAsia="en-US"/>
              </w:rPr>
              <w:t>Transfer znalostí</w:t>
            </w:r>
          </w:p>
        </w:tc>
        <w:tc>
          <w:tcPr>
            <w:tcW w:w="1305" w:type="dxa"/>
          </w:tcPr>
          <w:p w14:paraId="24775AAE" w14:textId="77777777" w:rsidR="003E0F58" w:rsidRPr="007C705C" w:rsidRDefault="003E0F58" w:rsidP="002178CD">
            <w:pPr>
              <w:jc w:val="left"/>
              <w:rPr>
                <w:sz w:val="20"/>
                <w:lang w:eastAsia="en-US"/>
              </w:rPr>
            </w:pPr>
            <w:r w:rsidRPr="007C705C">
              <w:rPr>
                <w:sz w:val="20"/>
                <w:lang w:eastAsia="en-US"/>
              </w:rPr>
              <w:t>Investice do majetku</w:t>
            </w:r>
          </w:p>
          <w:p w14:paraId="11DE978F" w14:textId="77777777" w:rsidR="003E0F58" w:rsidRPr="007C705C" w:rsidRDefault="003E0F58" w:rsidP="002178CD">
            <w:pPr>
              <w:jc w:val="left"/>
              <w:rPr>
                <w:sz w:val="20"/>
                <w:lang w:eastAsia="en-US"/>
              </w:rPr>
            </w:pPr>
          </w:p>
          <w:p w14:paraId="23691454" w14:textId="77777777" w:rsidR="003E0F58" w:rsidRPr="007C705C" w:rsidRDefault="003E0F58" w:rsidP="002178CD">
            <w:pPr>
              <w:jc w:val="left"/>
              <w:rPr>
                <w:sz w:val="20"/>
                <w:lang w:eastAsia="en-US"/>
              </w:rPr>
            </w:pPr>
            <w:r w:rsidRPr="007C705C">
              <w:rPr>
                <w:sz w:val="20"/>
                <w:lang w:eastAsia="en-US"/>
              </w:rPr>
              <w:t>Podpora spolupráce</w:t>
            </w:r>
          </w:p>
          <w:p w14:paraId="113DAA05" w14:textId="77777777" w:rsidR="003E0F58" w:rsidRPr="007C705C" w:rsidRDefault="003E0F58" w:rsidP="002178CD">
            <w:pPr>
              <w:jc w:val="left"/>
              <w:rPr>
                <w:sz w:val="20"/>
                <w:lang w:eastAsia="en-US"/>
              </w:rPr>
            </w:pPr>
          </w:p>
          <w:p w14:paraId="05B02A95" w14:textId="77777777" w:rsidR="003E0F58" w:rsidRPr="007C705C" w:rsidRDefault="003E0F58" w:rsidP="002178CD">
            <w:pPr>
              <w:jc w:val="left"/>
              <w:rPr>
                <w:sz w:val="20"/>
                <w:lang w:eastAsia="en-US"/>
              </w:rPr>
            </w:pPr>
            <w:r w:rsidRPr="007C705C">
              <w:rPr>
                <w:sz w:val="20"/>
                <w:lang w:eastAsia="en-US"/>
              </w:rPr>
              <w:t>Podpora poradenství a vzdělávání</w:t>
            </w:r>
          </w:p>
          <w:p w14:paraId="525E4269" w14:textId="77777777" w:rsidR="003E0F58" w:rsidRPr="007C705C" w:rsidRDefault="003E0F58" w:rsidP="002178CD">
            <w:pPr>
              <w:jc w:val="left"/>
              <w:rPr>
                <w:sz w:val="20"/>
                <w:lang w:eastAsia="en-US"/>
              </w:rPr>
            </w:pPr>
          </w:p>
        </w:tc>
      </w:tr>
      <w:tr w:rsidR="003E0F58" w:rsidRPr="007C705C" w14:paraId="3163F6CD" w14:textId="77777777" w:rsidTr="002178CD">
        <w:tc>
          <w:tcPr>
            <w:tcW w:w="1384" w:type="dxa"/>
          </w:tcPr>
          <w:p w14:paraId="35711112" w14:textId="77777777" w:rsidR="003E0F58" w:rsidRPr="007C705C" w:rsidRDefault="003E0F58" w:rsidP="002178CD">
            <w:pPr>
              <w:jc w:val="left"/>
              <w:rPr>
                <w:sz w:val="20"/>
                <w:lang w:eastAsia="en-US"/>
              </w:rPr>
            </w:pPr>
            <w:r w:rsidRPr="007C705C">
              <w:rPr>
                <w:sz w:val="20"/>
                <w:lang w:eastAsia="en-US"/>
              </w:rPr>
              <w:t>Nízká účinnost stávajících provozoven/výroben energií z biomasy</w:t>
            </w:r>
          </w:p>
        </w:tc>
        <w:tc>
          <w:tcPr>
            <w:tcW w:w="1588" w:type="dxa"/>
          </w:tcPr>
          <w:p w14:paraId="4DA8B029" w14:textId="77777777" w:rsidR="003E0F58" w:rsidRPr="007C705C" w:rsidRDefault="003E0F58" w:rsidP="002178CD">
            <w:pPr>
              <w:jc w:val="left"/>
              <w:rPr>
                <w:sz w:val="20"/>
                <w:lang w:eastAsia="en-US"/>
              </w:rPr>
            </w:pPr>
            <w:r w:rsidRPr="007C705C">
              <w:rPr>
                <w:sz w:val="20"/>
                <w:lang w:eastAsia="en-US"/>
              </w:rPr>
              <w:t>Nízké roční využití</w:t>
            </w:r>
          </w:p>
          <w:p w14:paraId="5B7AFFD1" w14:textId="77777777" w:rsidR="003E0F58" w:rsidRPr="007C705C" w:rsidRDefault="003E0F58" w:rsidP="002178CD">
            <w:pPr>
              <w:jc w:val="left"/>
              <w:rPr>
                <w:sz w:val="20"/>
                <w:lang w:eastAsia="en-US"/>
              </w:rPr>
            </w:pPr>
            <w:r w:rsidRPr="007C705C">
              <w:rPr>
                <w:sz w:val="20"/>
                <w:lang w:eastAsia="en-US"/>
              </w:rPr>
              <w:t>Zastaralost</w:t>
            </w:r>
          </w:p>
          <w:p w14:paraId="18B4D67C" w14:textId="77777777" w:rsidR="003E0F58" w:rsidRPr="007C705C" w:rsidRDefault="003E0F58" w:rsidP="002178CD">
            <w:pPr>
              <w:jc w:val="left"/>
              <w:rPr>
                <w:sz w:val="20"/>
                <w:lang w:eastAsia="en-US"/>
              </w:rPr>
            </w:pPr>
            <w:r w:rsidRPr="007C705C">
              <w:rPr>
                <w:sz w:val="20"/>
                <w:lang w:eastAsia="en-US"/>
              </w:rPr>
              <w:t>Provoz mimo KVET</w:t>
            </w:r>
            <w:r w:rsidRPr="007C705C">
              <w:rPr>
                <w:sz w:val="20"/>
                <w:vertAlign w:val="superscript"/>
                <w:lang w:eastAsia="en-US"/>
              </w:rPr>
              <w:footnoteReference w:id="10"/>
            </w:r>
          </w:p>
          <w:p w14:paraId="6C95198D" w14:textId="77777777" w:rsidR="003E0F58" w:rsidRPr="007C705C" w:rsidRDefault="003E0F58" w:rsidP="002178CD">
            <w:pPr>
              <w:jc w:val="left"/>
              <w:rPr>
                <w:color w:val="FF0000"/>
                <w:sz w:val="20"/>
                <w:lang w:eastAsia="en-US"/>
              </w:rPr>
            </w:pPr>
            <w:r w:rsidRPr="007C705C">
              <w:rPr>
                <w:color w:val="FF0000"/>
                <w:sz w:val="20"/>
                <w:lang w:eastAsia="en-US"/>
              </w:rPr>
              <w:t>Vysoká provozní podpora</w:t>
            </w:r>
          </w:p>
          <w:p w14:paraId="2F023381" w14:textId="77777777" w:rsidR="003E0F58" w:rsidRPr="007C705C" w:rsidRDefault="003E0F58" w:rsidP="002178CD">
            <w:pPr>
              <w:jc w:val="left"/>
              <w:rPr>
                <w:sz w:val="20"/>
                <w:lang w:eastAsia="en-US"/>
              </w:rPr>
            </w:pPr>
            <w:r w:rsidRPr="007C705C">
              <w:rPr>
                <w:sz w:val="20"/>
                <w:lang w:eastAsia="en-US"/>
              </w:rPr>
              <w:t>Není využití pro teplo</w:t>
            </w:r>
          </w:p>
          <w:p w14:paraId="027EAA51" w14:textId="77777777" w:rsidR="003E0F58" w:rsidRPr="007C705C" w:rsidRDefault="003E0F58" w:rsidP="002178CD">
            <w:pPr>
              <w:jc w:val="left"/>
              <w:rPr>
                <w:sz w:val="20"/>
                <w:lang w:eastAsia="en-US"/>
              </w:rPr>
            </w:pPr>
            <w:r w:rsidRPr="007C705C">
              <w:rPr>
                <w:sz w:val="20"/>
                <w:lang w:eastAsia="en-US"/>
              </w:rPr>
              <w:t>Chybí SZT</w:t>
            </w:r>
            <w:r w:rsidRPr="007C705C">
              <w:rPr>
                <w:sz w:val="20"/>
                <w:vertAlign w:val="superscript"/>
                <w:lang w:eastAsia="en-US"/>
              </w:rPr>
              <w:footnoteReference w:id="11"/>
            </w:r>
            <w:r w:rsidRPr="007C705C">
              <w:rPr>
                <w:sz w:val="20"/>
                <w:lang w:eastAsia="en-US"/>
              </w:rPr>
              <w:t>(nákladné)</w:t>
            </w:r>
          </w:p>
          <w:p w14:paraId="50589FB8" w14:textId="77777777" w:rsidR="003E0F58" w:rsidRPr="007C705C" w:rsidRDefault="003E0F58" w:rsidP="002178CD">
            <w:pPr>
              <w:jc w:val="left"/>
              <w:rPr>
                <w:sz w:val="20"/>
                <w:lang w:eastAsia="en-US"/>
              </w:rPr>
            </w:pPr>
            <w:r w:rsidRPr="007C705C">
              <w:rPr>
                <w:sz w:val="20"/>
                <w:lang w:eastAsia="en-US"/>
              </w:rPr>
              <w:t>Chybí spolupráce</w:t>
            </w:r>
          </w:p>
          <w:p w14:paraId="72F43BD2" w14:textId="77777777" w:rsidR="003E0F58" w:rsidRPr="007C705C" w:rsidRDefault="003E0F58" w:rsidP="002178CD">
            <w:pPr>
              <w:jc w:val="left"/>
              <w:rPr>
                <w:sz w:val="20"/>
                <w:lang w:eastAsia="en-US"/>
              </w:rPr>
            </w:pPr>
            <w:r w:rsidRPr="007C705C">
              <w:rPr>
                <w:sz w:val="20"/>
                <w:lang w:eastAsia="en-US"/>
              </w:rPr>
              <w:t>Informovanost</w:t>
            </w:r>
          </w:p>
        </w:tc>
        <w:tc>
          <w:tcPr>
            <w:tcW w:w="2098" w:type="dxa"/>
          </w:tcPr>
          <w:p w14:paraId="1EA7E04D" w14:textId="77777777" w:rsidR="003E0F58" w:rsidRPr="007C705C" w:rsidRDefault="003E0F58" w:rsidP="002178CD">
            <w:pPr>
              <w:jc w:val="left"/>
              <w:rPr>
                <w:sz w:val="20"/>
                <w:lang w:eastAsia="en-US"/>
              </w:rPr>
            </w:pPr>
            <w:r w:rsidRPr="007C705C">
              <w:rPr>
                <w:sz w:val="20"/>
                <w:lang w:eastAsia="en-US"/>
              </w:rPr>
              <w:t>Nevyužívají odpadní teplo</w:t>
            </w:r>
          </w:p>
          <w:p w14:paraId="2954AAF0" w14:textId="77777777" w:rsidR="003E0F58" w:rsidRPr="007C705C" w:rsidRDefault="003E0F58" w:rsidP="002178CD">
            <w:pPr>
              <w:jc w:val="left"/>
              <w:rPr>
                <w:sz w:val="20"/>
                <w:lang w:eastAsia="en-US"/>
              </w:rPr>
            </w:pPr>
          </w:p>
          <w:p w14:paraId="302E7F2C" w14:textId="77777777" w:rsidR="003E0F58" w:rsidRPr="007C705C" w:rsidRDefault="003E0F58" w:rsidP="002178CD">
            <w:pPr>
              <w:jc w:val="left"/>
              <w:rPr>
                <w:sz w:val="20"/>
                <w:lang w:eastAsia="en-US"/>
              </w:rPr>
            </w:pPr>
            <w:r w:rsidRPr="007C705C">
              <w:rPr>
                <w:sz w:val="20"/>
                <w:lang w:eastAsia="en-US"/>
              </w:rPr>
              <w:t>Neinvestují do modernizace</w:t>
            </w:r>
          </w:p>
          <w:p w14:paraId="02D1877D" w14:textId="77777777" w:rsidR="003E0F58" w:rsidRPr="007C705C" w:rsidRDefault="003E0F58" w:rsidP="002178CD">
            <w:pPr>
              <w:jc w:val="left"/>
              <w:rPr>
                <w:sz w:val="20"/>
                <w:lang w:eastAsia="en-US"/>
              </w:rPr>
            </w:pPr>
          </w:p>
          <w:p w14:paraId="3B478B58" w14:textId="77777777" w:rsidR="003E0F58" w:rsidRPr="007C705C" w:rsidRDefault="003E0F58" w:rsidP="002178CD">
            <w:pPr>
              <w:jc w:val="left"/>
              <w:rPr>
                <w:sz w:val="20"/>
                <w:lang w:eastAsia="en-US"/>
              </w:rPr>
            </w:pPr>
            <w:r w:rsidRPr="007C705C">
              <w:rPr>
                <w:sz w:val="20"/>
                <w:lang w:eastAsia="en-US"/>
              </w:rPr>
              <w:t>Neinvestují do využití tepla</w:t>
            </w:r>
          </w:p>
          <w:p w14:paraId="42B98D02" w14:textId="77777777" w:rsidR="003E0F58" w:rsidRPr="007C705C" w:rsidRDefault="003E0F58" w:rsidP="002178CD">
            <w:pPr>
              <w:jc w:val="left"/>
              <w:rPr>
                <w:sz w:val="20"/>
                <w:lang w:eastAsia="en-US"/>
              </w:rPr>
            </w:pPr>
          </w:p>
          <w:p w14:paraId="63634EA1" w14:textId="77777777" w:rsidR="003E0F58" w:rsidRPr="007C705C" w:rsidRDefault="003E0F58" w:rsidP="002178CD">
            <w:pPr>
              <w:jc w:val="left"/>
              <w:rPr>
                <w:sz w:val="20"/>
                <w:lang w:eastAsia="en-US"/>
              </w:rPr>
            </w:pPr>
            <w:r w:rsidRPr="007C705C">
              <w:rPr>
                <w:sz w:val="20"/>
                <w:lang w:eastAsia="en-US"/>
              </w:rPr>
              <w:t>Neochota ke spolupráci</w:t>
            </w:r>
          </w:p>
        </w:tc>
        <w:tc>
          <w:tcPr>
            <w:tcW w:w="1701" w:type="dxa"/>
          </w:tcPr>
          <w:p w14:paraId="73CC6C93" w14:textId="77777777" w:rsidR="003E0F58" w:rsidRPr="007C705C" w:rsidRDefault="003E0F58" w:rsidP="002178CD">
            <w:pPr>
              <w:jc w:val="left"/>
              <w:rPr>
                <w:sz w:val="20"/>
                <w:lang w:eastAsia="en-US"/>
              </w:rPr>
            </w:pPr>
            <w:r w:rsidRPr="007C705C">
              <w:rPr>
                <w:sz w:val="20"/>
                <w:lang w:eastAsia="en-US"/>
              </w:rPr>
              <w:t>Zvýšit využití odpadního tepla</w:t>
            </w:r>
          </w:p>
          <w:p w14:paraId="046E2770" w14:textId="77777777" w:rsidR="003E0F58" w:rsidRPr="007C705C" w:rsidRDefault="003E0F58" w:rsidP="002178CD">
            <w:pPr>
              <w:jc w:val="left"/>
              <w:rPr>
                <w:sz w:val="20"/>
                <w:lang w:eastAsia="en-US"/>
              </w:rPr>
            </w:pPr>
          </w:p>
          <w:p w14:paraId="10EB93AF" w14:textId="77777777" w:rsidR="003E0F58" w:rsidRPr="007C705C" w:rsidRDefault="003E0F58" w:rsidP="002178CD">
            <w:pPr>
              <w:jc w:val="left"/>
              <w:rPr>
                <w:sz w:val="20"/>
                <w:lang w:eastAsia="en-US"/>
              </w:rPr>
            </w:pPr>
            <w:r w:rsidRPr="007C705C">
              <w:rPr>
                <w:sz w:val="20"/>
                <w:lang w:eastAsia="en-US"/>
              </w:rPr>
              <w:t>Investovat do moderních technologií (SZT, biometan)</w:t>
            </w:r>
          </w:p>
          <w:p w14:paraId="388D698E" w14:textId="77777777" w:rsidR="003E0F58" w:rsidRPr="007C705C" w:rsidRDefault="003E0F58" w:rsidP="002178CD">
            <w:pPr>
              <w:jc w:val="left"/>
              <w:rPr>
                <w:sz w:val="20"/>
                <w:lang w:eastAsia="en-US"/>
              </w:rPr>
            </w:pPr>
          </w:p>
          <w:p w14:paraId="24174348" w14:textId="77777777" w:rsidR="003E0F58" w:rsidRPr="007C705C" w:rsidRDefault="003E0F58" w:rsidP="002178CD">
            <w:pPr>
              <w:jc w:val="left"/>
              <w:rPr>
                <w:sz w:val="20"/>
                <w:lang w:eastAsia="en-US"/>
              </w:rPr>
            </w:pPr>
            <w:r w:rsidRPr="007C705C">
              <w:rPr>
                <w:sz w:val="20"/>
                <w:lang w:eastAsia="en-US"/>
              </w:rPr>
              <w:t>Spolupráce více aktérů na venkově</w:t>
            </w:r>
          </w:p>
          <w:p w14:paraId="2B7CDAB4" w14:textId="77777777" w:rsidR="003E0F58" w:rsidRPr="007C705C" w:rsidRDefault="003E0F58" w:rsidP="002178CD">
            <w:pPr>
              <w:jc w:val="left"/>
              <w:rPr>
                <w:sz w:val="20"/>
                <w:lang w:eastAsia="en-US"/>
              </w:rPr>
            </w:pPr>
          </w:p>
          <w:p w14:paraId="6FDEF20C" w14:textId="77777777" w:rsidR="003E0F58" w:rsidRPr="007C705C" w:rsidRDefault="003E0F58" w:rsidP="002178CD">
            <w:pPr>
              <w:jc w:val="left"/>
              <w:rPr>
                <w:sz w:val="20"/>
                <w:lang w:eastAsia="en-US"/>
              </w:rPr>
            </w:pPr>
            <w:r w:rsidRPr="007C705C">
              <w:rPr>
                <w:sz w:val="20"/>
                <w:lang w:eastAsia="en-US"/>
              </w:rPr>
              <w:t>Zajistit informovanost</w:t>
            </w:r>
          </w:p>
        </w:tc>
        <w:tc>
          <w:tcPr>
            <w:tcW w:w="1275" w:type="dxa"/>
          </w:tcPr>
          <w:p w14:paraId="56F89B36" w14:textId="77777777" w:rsidR="003E0F58" w:rsidRPr="007C705C" w:rsidRDefault="003E0F58" w:rsidP="002178CD">
            <w:pPr>
              <w:jc w:val="left"/>
              <w:rPr>
                <w:sz w:val="20"/>
                <w:lang w:eastAsia="en-US"/>
              </w:rPr>
            </w:pPr>
            <w:r w:rsidRPr="007C705C">
              <w:rPr>
                <w:sz w:val="20"/>
                <w:lang w:eastAsia="en-US"/>
              </w:rPr>
              <w:t>Podpora investic vybraných technologií</w:t>
            </w:r>
          </w:p>
          <w:p w14:paraId="1A675357" w14:textId="77777777" w:rsidR="003E0F58" w:rsidRPr="007C705C" w:rsidRDefault="003E0F58" w:rsidP="002178CD">
            <w:pPr>
              <w:jc w:val="left"/>
              <w:rPr>
                <w:sz w:val="20"/>
                <w:lang w:eastAsia="en-US"/>
              </w:rPr>
            </w:pPr>
          </w:p>
          <w:p w14:paraId="08F4F997" w14:textId="77777777" w:rsidR="003E0F58" w:rsidRPr="007C705C" w:rsidRDefault="003E0F58" w:rsidP="002178CD">
            <w:pPr>
              <w:jc w:val="left"/>
              <w:rPr>
                <w:sz w:val="20"/>
                <w:lang w:eastAsia="en-US"/>
              </w:rPr>
            </w:pPr>
            <w:r w:rsidRPr="007C705C">
              <w:rPr>
                <w:sz w:val="20"/>
                <w:lang w:eastAsia="en-US"/>
              </w:rPr>
              <w:t>Zajistit podnikatelské plány</w:t>
            </w:r>
          </w:p>
          <w:p w14:paraId="3917C62F" w14:textId="77777777" w:rsidR="003E0F58" w:rsidRPr="007C705C" w:rsidRDefault="003E0F58" w:rsidP="002178CD">
            <w:pPr>
              <w:jc w:val="left"/>
              <w:rPr>
                <w:sz w:val="20"/>
                <w:lang w:eastAsia="en-US"/>
              </w:rPr>
            </w:pPr>
          </w:p>
          <w:p w14:paraId="601AD8FB" w14:textId="77777777" w:rsidR="003E0F58" w:rsidRPr="007C705C" w:rsidRDefault="003E0F58" w:rsidP="002178CD">
            <w:pPr>
              <w:jc w:val="left"/>
              <w:rPr>
                <w:sz w:val="20"/>
                <w:lang w:eastAsia="en-US"/>
              </w:rPr>
            </w:pPr>
            <w:r w:rsidRPr="007C705C">
              <w:rPr>
                <w:sz w:val="20"/>
                <w:lang w:eastAsia="en-US"/>
              </w:rPr>
              <w:t>Transfer znalostí</w:t>
            </w:r>
          </w:p>
        </w:tc>
        <w:tc>
          <w:tcPr>
            <w:tcW w:w="1305" w:type="dxa"/>
          </w:tcPr>
          <w:p w14:paraId="01030235" w14:textId="77777777" w:rsidR="003E0F58" w:rsidRPr="007C705C" w:rsidRDefault="003E0F58" w:rsidP="002178CD">
            <w:pPr>
              <w:jc w:val="left"/>
              <w:rPr>
                <w:sz w:val="20"/>
                <w:lang w:eastAsia="en-US"/>
              </w:rPr>
            </w:pPr>
            <w:r w:rsidRPr="007C705C">
              <w:rPr>
                <w:sz w:val="20"/>
                <w:lang w:eastAsia="en-US"/>
              </w:rPr>
              <w:t>Investice do majetku</w:t>
            </w:r>
          </w:p>
          <w:p w14:paraId="6B7869BE" w14:textId="77777777" w:rsidR="003E0F58" w:rsidRPr="007C705C" w:rsidRDefault="003E0F58" w:rsidP="002178CD">
            <w:pPr>
              <w:jc w:val="left"/>
              <w:rPr>
                <w:sz w:val="20"/>
                <w:lang w:eastAsia="en-US"/>
              </w:rPr>
            </w:pPr>
          </w:p>
          <w:p w14:paraId="057D8A9A" w14:textId="77777777" w:rsidR="003E0F58" w:rsidRPr="007C705C" w:rsidRDefault="003E0F58" w:rsidP="002178CD">
            <w:pPr>
              <w:jc w:val="left"/>
              <w:rPr>
                <w:sz w:val="20"/>
                <w:lang w:eastAsia="en-US"/>
              </w:rPr>
            </w:pPr>
            <w:r w:rsidRPr="007C705C">
              <w:rPr>
                <w:sz w:val="20"/>
                <w:lang w:eastAsia="en-US"/>
              </w:rPr>
              <w:t>Podpora spolupráce</w:t>
            </w:r>
          </w:p>
          <w:p w14:paraId="3C3AD63D" w14:textId="77777777" w:rsidR="003E0F58" w:rsidRPr="007C705C" w:rsidRDefault="003E0F58" w:rsidP="002178CD">
            <w:pPr>
              <w:jc w:val="left"/>
              <w:rPr>
                <w:sz w:val="20"/>
                <w:lang w:eastAsia="en-US"/>
              </w:rPr>
            </w:pPr>
          </w:p>
          <w:p w14:paraId="3839C704" w14:textId="77777777" w:rsidR="003E0F58" w:rsidRPr="007C705C" w:rsidRDefault="003E0F58" w:rsidP="002178CD">
            <w:pPr>
              <w:jc w:val="left"/>
              <w:rPr>
                <w:sz w:val="20"/>
                <w:lang w:eastAsia="en-US"/>
              </w:rPr>
            </w:pPr>
            <w:r w:rsidRPr="007C705C">
              <w:rPr>
                <w:sz w:val="20"/>
                <w:lang w:eastAsia="en-US"/>
              </w:rPr>
              <w:t>Podpora poradenství a vzdělávání</w:t>
            </w:r>
          </w:p>
          <w:p w14:paraId="1B94AAAA" w14:textId="77777777" w:rsidR="003E0F58" w:rsidRPr="007C705C" w:rsidRDefault="003E0F58" w:rsidP="002178CD">
            <w:pPr>
              <w:jc w:val="left"/>
              <w:rPr>
                <w:sz w:val="20"/>
                <w:lang w:eastAsia="en-US"/>
              </w:rPr>
            </w:pPr>
          </w:p>
        </w:tc>
      </w:tr>
    </w:tbl>
    <w:p w14:paraId="62FFF568" w14:textId="77777777" w:rsidR="003E0F58" w:rsidRPr="007C705C" w:rsidRDefault="003E0F58" w:rsidP="002178CD">
      <w:pPr>
        <w:pStyle w:val="UZEIZdroj"/>
        <w:spacing w:after="0"/>
      </w:pPr>
      <w:r w:rsidRPr="007C705C">
        <w:rPr>
          <w:b/>
          <w:color w:val="FF0000"/>
        </w:rPr>
        <w:t>Červeně/tučně</w:t>
      </w:r>
      <w:r w:rsidRPr="007C705C">
        <w:rPr>
          <w:color w:val="FF0000"/>
        </w:rPr>
        <w:t xml:space="preserve"> </w:t>
      </w:r>
      <w:r w:rsidRPr="007C705C">
        <w:t>= mimo dosah zemědělce – příčinu nemůže změnit, ani SZP nemá nástroje na řešení</w:t>
      </w:r>
    </w:p>
    <w:p w14:paraId="107675F2" w14:textId="77777777" w:rsidR="003E0F58" w:rsidRPr="007C705C" w:rsidRDefault="003E0F58" w:rsidP="002178CD">
      <w:pPr>
        <w:pStyle w:val="UZEIZdroj"/>
        <w:spacing w:after="0"/>
      </w:pPr>
      <w:r w:rsidRPr="007C705C">
        <w:rPr>
          <w:b/>
          <w:color w:val="7030A0"/>
        </w:rPr>
        <w:t>Fialově/tučně</w:t>
      </w:r>
      <w:r w:rsidRPr="007C705C">
        <w:rPr>
          <w:color w:val="7030A0"/>
        </w:rPr>
        <w:t xml:space="preserve"> </w:t>
      </w:r>
      <w:r w:rsidRPr="007C705C">
        <w:t>= může ovlivnit jen do jisté míry</w:t>
      </w:r>
    </w:p>
    <w:p w14:paraId="2B976C41" w14:textId="77777777" w:rsidR="003E0F58" w:rsidRPr="007C705C" w:rsidRDefault="003E0F58" w:rsidP="002178CD">
      <w:pPr>
        <w:pStyle w:val="UZEIZdroj"/>
        <w:spacing w:after="0"/>
      </w:pPr>
      <w:r w:rsidRPr="007C705C">
        <w:t>Zdroj: Pracovní skupina Klima, 2018</w:t>
      </w:r>
    </w:p>
    <w:p w14:paraId="6B20BAF3" w14:textId="77777777" w:rsidR="003E0F58" w:rsidRDefault="003E0F58" w:rsidP="003E0F58">
      <w:pPr>
        <w:spacing w:after="160" w:line="259" w:lineRule="auto"/>
        <w:jc w:val="left"/>
        <w:rPr>
          <w:rFonts w:eastAsiaTheme="minorEastAsia" w:cs="Times New Roman"/>
          <w:lang w:val="cs-CZ"/>
        </w:rPr>
      </w:pPr>
    </w:p>
    <w:p w14:paraId="0F2EB694" w14:textId="77777777" w:rsidR="001C5FDC" w:rsidRDefault="001C5FDC" w:rsidP="003E0F58">
      <w:pPr>
        <w:rPr>
          <w:rFonts w:eastAsiaTheme="minorEastAsia" w:cs="Times New Roman"/>
          <w:lang w:val="cs-CZ"/>
        </w:rPr>
      </w:pPr>
    </w:p>
    <w:p w14:paraId="61B0E51A" w14:textId="131E5EFC" w:rsidR="003E0F58" w:rsidRPr="007C705C" w:rsidRDefault="003E0F58" w:rsidP="003E0F58">
      <w:pPr>
        <w:rPr>
          <w:rFonts w:cs="Times New Roman"/>
          <w:b/>
          <w:lang w:val="cs-CZ"/>
        </w:rPr>
      </w:pPr>
      <w:r w:rsidRPr="007C705C">
        <w:rPr>
          <w:rFonts w:cs="Times New Roman"/>
          <w:b/>
          <w:lang w:val="cs-CZ"/>
        </w:rPr>
        <w:t>LESY:</w:t>
      </w:r>
    </w:p>
    <w:p w14:paraId="5A51F4C7" w14:textId="77777777" w:rsidR="003E0F58" w:rsidRPr="007C705C" w:rsidRDefault="003E0F58" w:rsidP="008A1AE3">
      <w:pPr>
        <w:pStyle w:val="Odstavecseseznamem"/>
        <w:numPr>
          <w:ilvl w:val="0"/>
          <w:numId w:val="18"/>
        </w:numPr>
        <w:spacing w:before="60" w:line="360" w:lineRule="atLeast"/>
        <w:rPr>
          <w:rFonts w:eastAsiaTheme="minorEastAsia"/>
          <w:b/>
          <w:bCs/>
        </w:rPr>
      </w:pPr>
      <w:r w:rsidRPr="007C705C">
        <w:rPr>
          <w:rFonts w:eastAsiaTheme="minorEastAsia"/>
          <w:b/>
          <w:bCs/>
        </w:rPr>
        <w:t>Zdravotní stav lesů</w:t>
      </w:r>
    </w:p>
    <w:p w14:paraId="15286A6F" w14:textId="61D4D090" w:rsidR="003E0F58" w:rsidRPr="007C705C" w:rsidRDefault="003E0F58" w:rsidP="002178CD">
      <w:pPr>
        <w:pStyle w:val="UZEINormaln"/>
        <w:rPr>
          <w:rFonts w:eastAsia="Calibri"/>
        </w:rPr>
      </w:pPr>
      <w:r w:rsidRPr="007C705C">
        <w:rPr>
          <w:rFonts w:eastAsia="Calibri"/>
        </w:rPr>
        <w:t>Meteorologické faktory, které zásadně ovlivňují zdravotní stav lesů (extrémní výkyvy počasí, sucho) v podstatě ovlivnit nelze.  Jako hlavní příčinu špatného zdravotního stavu lesů lze považovat vysoké zastoupení smrku v nižších a středních polohách a nedostatečně efektivní způsoby asanace kůrovcového dříví (asanace dříví na skládkách nebyla dosud řešena, nedostatek asanačních kapacit)</w:t>
      </w:r>
      <w:r w:rsidRPr="007C705C">
        <w:t>, resp. realizace souboru obranných a ochranných opatření před podkorním hmyzem na smrku a borovici.</w:t>
      </w:r>
      <w:r w:rsidRPr="007C705C">
        <w:rPr>
          <w:rFonts w:eastAsia="Calibri"/>
        </w:rPr>
        <w:t xml:space="preserve"> Z tohoto pohledu je vhodné nastavit takové nástroje společné zemědělské politiky, které budou co nejrychleji odstraňovat přírodní pohromy, tak působit preventivně např. omezením výsadeb smrku na lokalitách, kde by mělo být přirozenější zastoupení dřevin. Vzhledem k faktu, že se jedná o extrémní situaci, kdy jsou vlivem mnoha faktorů poškozeny velké rozlohy lesních porostů, je vhodné použít nástroje SZP formou podpory obnovy lesního potenciálu z PRV. Prostřednictvím opatření je možno relativně rychle sanovat velké plochy poškozených porostů tak, aby byl splněn lesní zákon požadující zalesnění do dvou let, a zároveň nastavit požadavky na obnovu, aby k podobným situacím v budoucnu nedocházelo v tak velkém rozsahu. Vysoká míra pozdního zpracování nově vzniklých polomů a kůrovcové hmoty je právě největším problémem v ochraně lesa před podkorním hmyzem. Lesnický provoz by mohl prostřednictvím PRV včas adekvátně reagovat na vzniklou situaci. Jako možnost se jeví podpořit obnovu lesních porostů po abiotických, především po větrných, kalamitách i obnovu lesů poškozených biotickými činiteli, a to i s využitím přípravných dřevin v souladu s vyhláškou č. 289/2018 Sb. I přesto zůstane jako rizikový faktor klimatická změna, nadbytek dřevní hmoty, nedostatek pracovních sil, nedostatek sadebního materiálu a vysoká početnost spárkaté zvěře. </w:t>
      </w:r>
    </w:p>
    <w:p w14:paraId="4A87ECA1" w14:textId="77777777" w:rsidR="003E0F58" w:rsidRPr="007C705C" w:rsidRDefault="003E0F58" w:rsidP="008A1AE3">
      <w:pPr>
        <w:pStyle w:val="Odstavecseseznamem"/>
        <w:numPr>
          <w:ilvl w:val="0"/>
          <w:numId w:val="18"/>
        </w:numPr>
        <w:spacing w:before="60" w:line="360" w:lineRule="atLeast"/>
        <w:rPr>
          <w:rFonts w:eastAsiaTheme="minorEastAsia"/>
          <w:b/>
          <w:bCs/>
        </w:rPr>
      </w:pPr>
      <w:r w:rsidRPr="007C705C">
        <w:rPr>
          <w:rFonts w:eastAsiaTheme="minorEastAsia"/>
          <w:b/>
          <w:bCs/>
        </w:rPr>
        <w:t>Druhové, věkové a prostorové složení lesních porostů</w:t>
      </w:r>
    </w:p>
    <w:p w14:paraId="5B8DC131" w14:textId="77777777" w:rsidR="003E0F58" w:rsidRPr="007C705C" w:rsidRDefault="003E0F58" w:rsidP="002178CD">
      <w:pPr>
        <w:pStyle w:val="UZEINormaln"/>
        <w:rPr>
          <w:rFonts w:eastAsia="Calibri"/>
        </w:rPr>
      </w:pPr>
      <w:r w:rsidRPr="007C705C">
        <w:rPr>
          <w:rFonts w:eastAsia="Calibri"/>
        </w:rPr>
        <w:t xml:space="preserve">Druhové, věkové a prostorové složení lesních porostů lze ovlivnit zejména při obnově nebo výchově lesních porostů. Problematické je především zastoupení smrku v nižších a středních </w:t>
      </w:r>
      <w:r w:rsidRPr="007C705C">
        <w:rPr>
          <w:rFonts w:eastAsia="Calibri"/>
        </w:rPr>
        <w:lastRenderedPageBreak/>
        <w:t xml:space="preserve">polohách. Ve spojení nevhodného druhového složení s meteorologickými faktory dochází k rozsáhlým kalamitním situacím. Z tohoto pohledu je vhodné nastavit takové nástroje společné zemědělské politiky, které budou co nejrychleji odstraňovat následky přírodních pohrom, tak především působit preventivně např. omezením výsadeb smrku a vyšší výsadbu stanovištně vhodných druhů dřevin. Vzhledem k faktu, že se jedná o extrémní situaci, kdy jsou vlivem mnoha faktorů poškozeny velké rozlohy lesních porostů, je vhodné použít nástroje SZP formou podpory obnovy lesního potenciálu z PRV. Prostřednictvím opatření je možno relativně rychle sanovat velké plochy poškozených porostů tak, aby byl splněn lesní zákon požadující zalesnění do dvou let, a to i s využitím přípravných dřevin v souladu s vyhláškou č. 298/2018 Sb. a zároveň nastavit požadavky na obnovu, aby k podobným situacím v budoucnu nedocházelo v tak velkém rozsahu. Jako možnost se jeví podpořit obnovu lesních porostů po abiotických, především po větrných, kalamitách i obnovu lesů poškozených biotickými činiteli při plnění aktualizované lesnické legislativy, která stanoví vhodnost obnovy na daných lokalitách vhodnými dřevinami, a dále pak podsadby a přeměny dosud zachovaných smrkových porostů ohrožených dopady klimatické změny. Konkrétně podporovat výsadbu či síji melioračních a zpevňujících dřevin včetně oplocení, podsadby či podsíje melioračních a zpevňujících dřevin včetně oplocení I přesto zůstane jako rizikový faktor klimatická změna, nedostatek sadebního materiálu a početnost spárkaté zvěře. </w:t>
      </w:r>
    </w:p>
    <w:p w14:paraId="6839536F" w14:textId="77777777" w:rsidR="003E0F58" w:rsidRPr="007C705C" w:rsidRDefault="003E0F58" w:rsidP="008A1AE3">
      <w:pPr>
        <w:pStyle w:val="Odstavecseseznamem"/>
        <w:numPr>
          <w:ilvl w:val="0"/>
          <w:numId w:val="18"/>
        </w:numPr>
        <w:spacing w:before="60" w:line="360" w:lineRule="atLeast"/>
        <w:rPr>
          <w:rFonts w:eastAsiaTheme="minorEastAsia"/>
          <w:b/>
          <w:bCs/>
        </w:rPr>
      </w:pPr>
      <w:r w:rsidRPr="007C705C">
        <w:rPr>
          <w:rFonts w:eastAsiaTheme="minorEastAsia"/>
          <w:b/>
          <w:bCs/>
        </w:rPr>
        <w:t>Protierozní, protipovodňová a retenční opatření v lesích</w:t>
      </w:r>
    </w:p>
    <w:p w14:paraId="7A42B2F8" w14:textId="77777777" w:rsidR="003E0F58" w:rsidRPr="007C705C" w:rsidRDefault="003E0F58" w:rsidP="002178CD">
      <w:pPr>
        <w:pStyle w:val="UZEINormaln"/>
        <w:rPr>
          <w:rFonts w:eastAsia="Calibri"/>
        </w:rPr>
      </w:pPr>
      <w:r w:rsidRPr="007C705C">
        <w:rPr>
          <w:rFonts w:eastAsia="Calibri"/>
        </w:rPr>
        <w:t>Protierozní, protipovodňová a retenční opatření v lesích mají podobu projektů komplexně řešících projevy eroze a negativní hydrologické jevy v lesích a navazujících územích. Často se jedná o aktivitu s podobným územním rozsahem, jaký mají pozemkové úpravy prováděné mimo les (v lese jsou pozemkové úpravy v současnosti realizovány jen výjimečně). Velmi často existuje veřejný zájem na provedení těchto projektů spočívající v ochraně ohrožené infrastruktury nebo majetku osob v ohrožené části povodí. Finanční rozsah opatření převyšuje užitek investora z provedení akce a musí proto být předmětem veřejné podpory. Současná i budoucí SZP je pro tuto podporu velmi vhodným nástrojem.</w:t>
      </w:r>
    </w:p>
    <w:p w14:paraId="6BD8D8A4" w14:textId="77777777" w:rsidR="003E0F58" w:rsidRPr="007C705C" w:rsidRDefault="003E0F58" w:rsidP="002178CD">
      <w:pPr>
        <w:pStyle w:val="UZEINormaln"/>
        <w:rPr>
          <w:rFonts w:eastAsiaTheme="minorEastAsia"/>
        </w:rPr>
      </w:pPr>
      <w:r w:rsidRPr="007C705C">
        <w:rPr>
          <w:rFonts w:eastAsia="Calibri"/>
        </w:rPr>
        <w:t>Obnova a doplnění lesních ochranných pásů jako biologicko-technické opatření pak má projektovou povahu obdobně jako stávající operace podporující preventivní (zejm. vodohospodářské) investice v lesích.</w:t>
      </w:r>
    </w:p>
    <w:p w14:paraId="78FBF1DA" w14:textId="77777777" w:rsidR="003E0F58" w:rsidRPr="007C705C" w:rsidRDefault="003E0F58" w:rsidP="008A1AE3">
      <w:pPr>
        <w:pStyle w:val="Odstavecseseznamem"/>
        <w:numPr>
          <w:ilvl w:val="0"/>
          <w:numId w:val="18"/>
        </w:numPr>
        <w:spacing w:before="60" w:line="360" w:lineRule="atLeast"/>
        <w:rPr>
          <w:rFonts w:eastAsiaTheme="minorEastAsia"/>
          <w:b/>
          <w:bCs/>
        </w:rPr>
      </w:pPr>
      <w:r w:rsidRPr="007C705C">
        <w:rPr>
          <w:rFonts w:eastAsiaTheme="minorEastAsia"/>
          <w:b/>
          <w:bCs/>
        </w:rPr>
        <w:t>Nedostatečné využití potenciálu lesních ekosystémů při možné minimalizaci dopadu očekávané globální klimatické změny a extrémních meteorologických jevů</w:t>
      </w:r>
    </w:p>
    <w:p w14:paraId="747A3626" w14:textId="6727D3F8" w:rsidR="003E0F58" w:rsidRPr="007C705C" w:rsidRDefault="003E0F58" w:rsidP="002178CD">
      <w:pPr>
        <w:pStyle w:val="UZEIOdrky"/>
        <w:rPr>
          <w:rFonts w:eastAsiaTheme="minorEastAsia"/>
        </w:rPr>
      </w:pPr>
      <w:r w:rsidRPr="007C705C">
        <w:rPr>
          <w:rFonts w:eastAsiaTheme="minorEastAsia"/>
        </w:rPr>
        <w:t>Zalesňování zemědělské půdy</w:t>
      </w:r>
    </w:p>
    <w:p w14:paraId="0F7C36AF" w14:textId="77777777" w:rsidR="003E0F58" w:rsidRPr="007C705C" w:rsidRDefault="003E0F58" w:rsidP="002178CD">
      <w:pPr>
        <w:pStyle w:val="UZEINormaln"/>
        <w:rPr>
          <w:rFonts w:eastAsiaTheme="minorEastAsia"/>
        </w:rPr>
      </w:pPr>
      <w:r w:rsidRPr="007C705C">
        <w:rPr>
          <w:rFonts w:eastAsiaTheme="minorEastAsia"/>
        </w:rPr>
        <w:t>Opatření Zalesňování zemědělské půdy může umožnit zemědělcům, popřípadě vlastníkům zemědělské půdy získat podporu na zalesnění jejich pozemků. Tato podpora vytváří nejen prostor pro diverzifikaci výroby, ale i snižuje podíl zornění půdy, a to bez rizika zvýšení podílu neobhospodařované zemědělské půdy. Synergickým efektem zalesnění lze řešit mnoho problémů spojených se správnou funkcí krajiny. Jedná se o sekvestraci uhlíku, snížení eroze, zvýšení kvality půdy, zlepšení kvality vody, zvýšení retenční schopnosti a vyrovnání vodního režimu krajiny včetně dopadu na malý vodní cyklus, zvýšení biodiverzity, zlepšení ekologických funkcí krajiny (zvýšení funkcí zdravotních, sociálních, kulturních a rekreačních).</w:t>
      </w:r>
    </w:p>
    <w:p w14:paraId="2B4A9A30" w14:textId="1ADC76C1" w:rsidR="002178CD" w:rsidRDefault="003E0F58" w:rsidP="002178CD">
      <w:pPr>
        <w:pStyle w:val="UZEINormaln"/>
        <w:rPr>
          <w:rFonts w:eastAsiaTheme="minorEastAsia"/>
        </w:rPr>
      </w:pPr>
      <w:r w:rsidRPr="007C705C">
        <w:rPr>
          <w:rFonts w:eastAsiaTheme="minorEastAsia"/>
        </w:rPr>
        <w:t>Vzhledem k rozsahu, finanční náročnosti a potřebě zajistit celospolečensky významné funkce krajiny je vhodné zajistit zalesnění orné zemědělské půdy prostřednictvím veřejných zdrojů a to přednostně v oblastech ohrožených erozí, v nivách vodních toků a v oblastech s nízkou lesnatostí.</w:t>
      </w:r>
    </w:p>
    <w:p w14:paraId="3ED8B675" w14:textId="6C90CF4F" w:rsidR="003E0F58" w:rsidRPr="002178CD" w:rsidRDefault="002178CD" w:rsidP="002178CD">
      <w:pPr>
        <w:spacing w:after="160" w:line="259" w:lineRule="auto"/>
        <w:jc w:val="left"/>
        <w:rPr>
          <w:rFonts w:eastAsiaTheme="minorEastAsia" w:cstheme="minorHAnsi"/>
          <w:szCs w:val="24"/>
          <w:lang w:val="cs-CZ" w:eastAsia="cs-CZ"/>
        </w:rPr>
      </w:pPr>
      <w:r>
        <w:rPr>
          <w:rFonts w:eastAsiaTheme="minorEastAsia"/>
        </w:rPr>
        <w:br w:type="page"/>
      </w:r>
    </w:p>
    <w:p w14:paraId="5F46E0FE" w14:textId="600D195C" w:rsidR="003E0F58" w:rsidRPr="006C0488" w:rsidRDefault="003E0F58" w:rsidP="003E0F58">
      <w:pPr>
        <w:pStyle w:val="Nadpis1"/>
      </w:pPr>
      <w:bookmarkStart w:id="393" w:name="_Toc521315963"/>
      <w:bookmarkStart w:id="394" w:name="_Toc522523040"/>
      <w:bookmarkStart w:id="395" w:name="_Toc523143777"/>
      <w:bookmarkStart w:id="396" w:name="_Toc523146694"/>
      <w:bookmarkStart w:id="397" w:name="_Toc7429648"/>
      <w:bookmarkStart w:id="398" w:name="_Toc7429850"/>
      <w:bookmarkStart w:id="399" w:name="_Toc7430781"/>
      <w:bookmarkStart w:id="400" w:name="_Toc7432033"/>
      <w:bookmarkStart w:id="401" w:name="_Toc9611302"/>
      <w:bookmarkStart w:id="402" w:name="_Toc23326656"/>
      <w:bookmarkStart w:id="403" w:name="_Toc23327263"/>
      <w:bookmarkStart w:id="404" w:name="_Toc77245896"/>
      <w:bookmarkStart w:id="405" w:name="_Toc81343102"/>
      <w:bookmarkStart w:id="406" w:name="_Toc81343165"/>
      <w:bookmarkStart w:id="407" w:name="_Toc81343234"/>
      <w:bookmarkStart w:id="408" w:name="_Toc94181683"/>
      <w:bookmarkStart w:id="409" w:name="_GoBack"/>
      <w:bookmarkEnd w:id="409"/>
      <w:r w:rsidRPr="002178CD">
        <w:lastRenderedPageBreak/>
        <w:t>Míra stávajícího řešení problému</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3D3263D0" w14:textId="7C76A49A" w:rsidR="003E0F58" w:rsidRPr="006C0488" w:rsidRDefault="003E0F58" w:rsidP="006C0488">
      <w:pPr>
        <w:pStyle w:val="Nadpis2"/>
      </w:pPr>
      <w:bookmarkStart w:id="410" w:name="_Toc521315964"/>
      <w:bookmarkStart w:id="411" w:name="_Toc522523041"/>
      <w:bookmarkStart w:id="412" w:name="_Toc523143778"/>
      <w:bookmarkStart w:id="413" w:name="_Toc523146695"/>
      <w:bookmarkStart w:id="414" w:name="_Toc7429649"/>
      <w:bookmarkStart w:id="415" w:name="_Toc7429851"/>
      <w:bookmarkStart w:id="416" w:name="_Toc7430782"/>
      <w:bookmarkStart w:id="417" w:name="_Toc7432034"/>
      <w:bookmarkStart w:id="418" w:name="_Toc9611303"/>
      <w:bookmarkStart w:id="419" w:name="_Toc23326657"/>
      <w:bookmarkStart w:id="420" w:name="_Toc23327264"/>
      <w:bookmarkStart w:id="421" w:name="_Toc77245897"/>
      <w:bookmarkStart w:id="422" w:name="_Toc81343103"/>
      <w:bookmarkStart w:id="423" w:name="_Toc81343166"/>
      <w:bookmarkStart w:id="424" w:name="_Toc81343235"/>
      <w:bookmarkStart w:id="425" w:name="_Toc94181684"/>
      <w:r w:rsidRPr="006C0488">
        <w:t>Míra řešení ve stávající SZP (úspěšnost/neúspěšnost).</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14:paraId="512BFFD9" w14:textId="77777777" w:rsidR="003E0F58" w:rsidRPr="007C705C" w:rsidRDefault="003E0F58" w:rsidP="006C0488">
      <w:pPr>
        <w:pStyle w:val="UZEINormaln"/>
        <w:rPr>
          <w:rFonts w:eastAsiaTheme="minorEastAsia"/>
        </w:rPr>
      </w:pPr>
      <w:r w:rsidRPr="007C705C">
        <w:rPr>
          <w:rFonts w:eastAsiaTheme="minorEastAsia"/>
        </w:rPr>
        <w:t>Je tento problém efektivně řešitelný v rámci nástrojů SZP?</w:t>
      </w:r>
      <w:r w:rsidRPr="007C705C">
        <w:tab/>
      </w:r>
      <w:r w:rsidRPr="007C705C">
        <w:rPr>
          <w:rFonts w:eastAsiaTheme="minorEastAsia"/>
        </w:rPr>
        <w:t xml:space="preserve">Proč úspěšně/proč neúspěšně? </w:t>
      </w:r>
    </w:p>
    <w:p w14:paraId="20030725" w14:textId="77777777" w:rsidR="003E0F58" w:rsidRPr="007C705C" w:rsidRDefault="003E0F58" w:rsidP="003E0F58">
      <w:pPr>
        <w:rPr>
          <w:rFonts w:cs="Times New Roman"/>
          <w:lang w:val="cs-CZ"/>
        </w:rPr>
      </w:pPr>
      <w:r w:rsidRPr="007C705C">
        <w:rPr>
          <w:rFonts w:cs="Times New Roman"/>
          <w:b/>
          <w:lang w:val="cs-CZ"/>
        </w:rPr>
        <w:t>KLIMA:</w:t>
      </w:r>
    </w:p>
    <w:p w14:paraId="2F35CBB7" w14:textId="77777777" w:rsidR="003E0F58" w:rsidRPr="007C705C" w:rsidRDefault="003E0F58" w:rsidP="008A1AE3">
      <w:pPr>
        <w:pStyle w:val="Odstavecseseznamem"/>
        <w:numPr>
          <w:ilvl w:val="0"/>
          <w:numId w:val="19"/>
        </w:numPr>
        <w:spacing w:before="60" w:line="360" w:lineRule="atLeast"/>
        <w:rPr>
          <w:rFonts w:eastAsiaTheme="minorEastAsia"/>
          <w:b/>
          <w:bCs/>
        </w:rPr>
      </w:pPr>
      <w:r w:rsidRPr="007C705C">
        <w:rPr>
          <w:rFonts w:eastAsiaTheme="minorEastAsia"/>
          <w:b/>
          <w:bCs/>
        </w:rPr>
        <w:t>Nízká odolnost zemědělských podniků vůči klimatickým změnám</w:t>
      </w:r>
    </w:p>
    <w:p w14:paraId="3DD50AF1" w14:textId="77777777" w:rsidR="003E0F58" w:rsidRPr="007C705C" w:rsidRDefault="003E0F58" w:rsidP="006C0488">
      <w:pPr>
        <w:pStyle w:val="UZEINormaln"/>
        <w:rPr>
          <w:rFonts w:eastAsiaTheme="minorEastAsia"/>
        </w:rPr>
      </w:pPr>
      <w:r w:rsidRPr="007C705C">
        <w:rPr>
          <w:rFonts w:eastAsiaTheme="minorEastAsia"/>
        </w:rPr>
        <w:t>V současném PRV 14+ cílí na jmenované problémy PO 2A Zlepšení hospodářské výkonnosti všech zemědělských podniků a usnadnění jejich restrukturalizace a modernizace opatřením M04 Investice do hmotného majetku s operacemi 4.1.1, 4.3.1 a opatřením M16 Spolupráce s operacemi 16.1.1, 16.2.1, 16.3.1. Mezi opatření a operace s vedlejšími účinky na oblast patří M01 Předávání znalostí a informační akce (operace 1.1.1 a 1.2.1) a M16 Spolupráce (operace 16.4.1).</w:t>
      </w:r>
    </w:p>
    <w:p w14:paraId="311182C3" w14:textId="77777777" w:rsidR="003E0F58" w:rsidRPr="007C705C" w:rsidRDefault="003E0F58" w:rsidP="006C0488">
      <w:pPr>
        <w:pStyle w:val="UZEINormaln"/>
        <w:rPr>
          <w:rFonts w:eastAsiaTheme="minorEastAsia"/>
        </w:rPr>
      </w:pPr>
      <w:r w:rsidRPr="007C705C">
        <w:rPr>
          <w:rFonts w:eastAsiaTheme="minorEastAsia"/>
        </w:rPr>
        <w:t>PO 2C Zlepšení ekonomické výkonnosti lesního hospodářství opatřením M04 Investice do hmotného majetku s operací 4.3.2 a opatřením M08 Investice do rozvoje lesních oblastí a zlepšování životaschopnosti lesů s operacemi 8.6.1, 8.6.2. Mezi opatření a operace s vedlejšími účinky na oblast patří M01 Předávání znalostí a informační akce (operace 1.1.1, 1.2.1) a M16 Spolupráce (operace 16.3.1).</w:t>
      </w:r>
    </w:p>
    <w:p w14:paraId="07D24A0F" w14:textId="77777777" w:rsidR="003E0F58" w:rsidRPr="007C705C" w:rsidRDefault="003E0F58" w:rsidP="006C0488">
      <w:pPr>
        <w:pStyle w:val="UZEINormaln"/>
        <w:rPr>
          <w:rFonts w:eastAsiaTheme="minorEastAsia"/>
        </w:rPr>
      </w:pPr>
      <w:r w:rsidRPr="007C705C">
        <w:rPr>
          <w:rFonts w:eastAsiaTheme="minorEastAsia"/>
        </w:rPr>
        <w:t>K řešení problémů přispívá také PO 4B Lepší hospodaření s vodou, včetně nakládání s hnojivy a pesticidy opatřením M08 INVESTICE DO ROZVOJE LESNÍCH OBLASTÍ A ZLEPŠOVÁNÍ ŽIVOTASCHOPNOSTI LESŮ a to operací 8.4.2 a dále opatřením M11 - Ekologické zemědělství (operace 11.1.1, 11.2.1). Mezi opatření a operace s vedlejšími účinky na oblast patří M01 Předávání znalostí a informační akce (operace 1.1.1, 1.2.1), M02 Poradenské, řídicí a pomocné služby pro zemědělství (operace 2.1.1), M08 Investice do rozvoje lesních oblastí a zlepšování životaschopnosti lesů (operace 8.1.1, 8.3.1, 8.4.1, 8.5.1, 8.5.3), M10 AEKO Agroenvironmentálně-klimatické opatření (operace 10.1.1, 10.1.2, 10.1.3, 10.1.4, 10.1.5, 10.1.8) a M15 Lesnicko-environmentální platby (operace 15.1.1).</w:t>
      </w:r>
    </w:p>
    <w:p w14:paraId="296FE569" w14:textId="77777777" w:rsidR="003E0F58" w:rsidRPr="007C705C" w:rsidRDefault="003E0F58" w:rsidP="006C0488">
      <w:pPr>
        <w:pStyle w:val="UZEINormaln"/>
        <w:rPr>
          <w:rFonts w:eastAsiaTheme="minorEastAsia"/>
        </w:rPr>
      </w:pPr>
      <w:r w:rsidRPr="007C705C">
        <w:rPr>
          <w:rFonts w:eastAsiaTheme="minorEastAsia"/>
        </w:rPr>
        <w:t>Dále se jedná o PO 4C Předcházení erozi půdy a lepší hospodaření s půdou s opatřeními M08 Investice do rozvoje lesních oblastí a zlepšování životaschopnosti lesů (operace 8.3.1, 8.4.1, 8.4.2, 8.5.1, 8.5.2, 8.5.3), M10 Agroenvironmentálně-klimatické opatření (operace 10.1.5, 10.1.8) a M11 Ekologické zemědělství (operace 11.1.1, 11.2.1). Mezi opatření a operace s vedlejšími účinky na oblast patří M01 Předávání znalostí a informační akce (operace 1.1.1 a 1.2.1), M02 Poradenské, řídicí a pomocné služby pro zemědělství (operace 2.1.1), M08 Investice do rozvoje lesních oblastí a zlepšování životaschopnosti lesů (operace 8.1.1), M10 Agroenvironmentálně-klimatické opatření (všechny operace kromě 10.1.5, 10.1.8) a M15 Lesnicko-environmentální platby (operace 15.1.1).</w:t>
      </w:r>
    </w:p>
    <w:p w14:paraId="44C0BD51" w14:textId="77777777" w:rsidR="003E0F58" w:rsidRPr="007C705C" w:rsidRDefault="003E0F58" w:rsidP="006C0488">
      <w:pPr>
        <w:pStyle w:val="UZEINormaln"/>
        <w:rPr>
          <w:rFonts w:eastAsiaTheme="minorEastAsia"/>
        </w:rPr>
      </w:pPr>
      <w:r w:rsidRPr="007C705C">
        <w:rPr>
          <w:rFonts w:eastAsiaTheme="minorEastAsia"/>
        </w:rPr>
        <w:t xml:space="preserve">Jako poslední se v PRV 14+ zabývá problémy PO 5A Efektivnější využívání vody v zemědělství a to opatřením M04 Investice do hmotného majetku (operace 4.1.1, 4.2.1) a opatřením M16 Spolupráce (operace 16.2.1, 16.2.2). </w:t>
      </w:r>
    </w:p>
    <w:p w14:paraId="312BB3E7" w14:textId="3753E39E" w:rsidR="003E0F58" w:rsidRPr="007C705C" w:rsidRDefault="003E0F58" w:rsidP="003E0F58">
      <w:pPr>
        <w:ind w:firstLine="360"/>
        <w:jc w:val="right"/>
        <w:rPr>
          <w:rFonts w:eastAsiaTheme="minorEastAsia" w:cs="Times New Roman"/>
          <w:lang w:val="cs-CZ"/>
        </w:rPr>
      </w:pPr>
      <w:r w:rsidRPr="007C705C">
        <w:rPr>
          <w:rFonts w:eastAsiaTheme="minorEastAsia" w:cs="Times New Roman"/>
          <w:lang w:val="cs-CZ"/>
        </w:rPr>
        <w:t>(Vše výše Průběžná hodnotící zpráva Naviga4, 31</w:t>
      </w:r>
      <w:r w:rsidR="00F075AF">
        <w:rPr>
          <w:rFonts w:eastAsiaTheme="minorEastAsia" w:cs="Times New Roman"/>
          <w:lang w:val="cs-CZ"/>
        </w:rPr>
        <w:t xml:space="preserve">. </w:t>
      </w:r>
      <w:r w:rsidRPr="007C705C">
        <w:rPr>
          <w:rFonts w:eastAsiaTheme="minorEastAsia" w:cs="Times New Roman"/>
          <w:lang w:val="cs-CZ"/>
        </w:rPr>
        <w:t>12.</w:t>
      </w:r>
      <w:r w:rsidR="00F075AF">
        <w:rPr>
          <w:rFonts w:eastAsiaTheme="minorEastAsia" w:cs="Times New Roman"/>
          <w:lang w:val="cs-CZ"/>
        </w:rPr>
        <w:t xml:space="preserve"> </w:t>
      </w:r>
      <w:r w:rsidRPr="007C705C">
        <w:rPr>
          <w:rFonts w:eastAsiaTheme="minorEastAsia" w:cs="Times New Roman"/>
          <w:lang w:val="cs-CZ"/>
        </w:rPr>
        <w:t>2017).</w:t>
      </w:r>
    </w:p>
    <w:p w14:paraId="74A178D6" w14:textId="77777777" w:rsidR="003E0F58" w:rsidRPr="007C705C" w:rsidRDefault="003E0F58" w:rsidP="006C0488">
      <w:pPr>
        <w:pStyle w:val="UZEINormaln"/>
        <w:rPr>
          <w:rFonts w:eastAsiaTheme="minorEastAsia"/>
        </w:rPr>
      </w:pPr>
      <w:r w:rsidRPr="007C705C">
        <w:rPr>
          <w:rFonts w:eastAsiaTheme="minorEastAsia"/>
        </w:rPr>
        <w:t>Přehled kódů a názvů operací uvedených v textu výše:</w:t>
      </w:r>
    </w:p>
    <w:p w14:paraId="71A5945D" w14:textId="77777777" w:rsidR="003E0F58" w:rsidRPr="007C705C" w:rsidRDefault="003E0F58" w:rsidP="003E0F58">
      <w:pPr>
        <w:pStyle w:val="Odstavecseseznamem"/>
        <w:rPr>
          <w:rFonts w:eastAsiaTheme="minorEastAsia"/>
        </w:rPr>
      </w:pPr>
      <w:r w:rsidRPr="007C705C">
        <w:rPr>
          <w:rFonts w:eastAsiaTheme="minorEastAsia"/>
        </w:rPr>
        <w:t xml:space="preserve">1.1.1 Vzdělávací akce </w:t>
      </w:r>
    </w:p>
    <w:p w14:paraId="78399FE7" w14:textId="77777777" w:rsidR="003E0F58" w:rsidRPr="007C705C" w:rsidRDefault="003E0F58" w:rsidP="003E0F58">
      <w:pPr>
        <w:pStyle w:val="Odstavecseseznamem"/>
        <w:rPr>
          <w:rFonts w:eastAsiaTheme="minorEastAsia"/>
        </w:rPr>
      </w:pPr>
      <w:r w:rsidRPr="007C705C">
        <w:rPr>
          <w:rFonts w:eastAsiaTheme="minorEastAsia"/>
        </w:rPr>
        <w:t>1.2.1 Informační akce</w:t>
      </w:r>
    </w:p>
    <w:p w14:paraId="55B86551" w14:textId="77777777" w:rsidR="003E0F58" w:rsidRPr="007C705C" w:rsidRDefault="003E0F58" w:rsidP="003E0F58">
      <w:pPr>
        <w:pStyle w:val="Odstavecseseznamem"/>
        <w:rPr>
          <w:rFonts w:eastAsiaTheme="minorEastAsia"/>
        </w:rPr>
      </w:pPr>
      <w:r w:rsidRPr="007C705C">
        <w:rPr>
          <w:rFonts w:eastAsiaTheme="minorEastAsia"/>
        </w:rPr>
        <w:t>2.1.1 PORADENSTVÍ</w:t>
      </w:r>
    </w:p>
    <w:p w14:paraId="1E13ACC5" w14:textId="77777777" w:rsidR="003E0F58" w:rsidRPr="007C705C" w:rsidRDefault="003E0F58" w:rsidP="003E0F58">
      <w:pPr>
        <w:pStyle w:val="Odstavecseseznamem"/>
        <w:rPr>
          <w:rFonts w:eastAsiaTheme="minorEastAsia"/>
        </w:rPr>
      </w:pPr>
      <w:r w:rsidRPr="007C705C">
        <w:rPr>
          <w:rFonts w:eastAsiaTheme="minorEastAsia"/>
        </w:rPr>
        <w:t xml:space="preserve">4.1.1 Investice do zemědělských podniků </w:t>
      </w:r>
    </w:p>
    <w:p w14:paraId="73D7BAF5" w14:textId="77777777" w:rsidR="003E0F58" w:rsidRPr="007C705C" w:rsidRDefault="003E0F58" w:rsidP="003E0F58">
      <w:pPr>
        <w:pStyle w:val="Odstavecseseznamem"/>
        <w:rPr>
          <w:rFonts w:eastAsiaTheme="minorEastAsia"/>
        </w:rPr>
      </w:pPr>
      <w:r w:rsidRPr="007C705C">
        <w:rPr>
          <w:rFonts w:eastAsiaTheme="minorEastAsia"/>
        </w:rPr>
        <w:t>4.2.1 Zpracování a uvádění na trh zemědělských produktů</w:t>
      </w:r>
    </w:p>
    <w:p w14:paraId="362C4E74" w14:textId="77777777" w:rsidR="003E0F58" w:rsidRPr="007C705C" w:rsidRDefault="003E0F58" w:rsidP="003E0F58">
      <w:pPr>
        <w:pStyle w:val="Odstavecseseznamem"/>
        <w:rPr>
          <w:rFonts w:eastAsiaTheme="minorEastAsia"/>
        </w:rPr>
      </w:pPr>
      <w:r w:rsidRPr="007C705C">
        <w:rPr>
          <w:rFonts w:eastAsiaTheme="minorEastAsia"/>
        </w:rPr>
        <w:lastRenderedPageBreak/>
        <w:t>4.3.1 Pozemkové úpravy</w:t>
      </w:r>
    </w:p>
    <w:p w14:paraId="5CCA7EF2" w14:textId="77777777" w:rsidR="003E0F58" w:rsidRPr="007C705C" w:rsidRDefault="003E0F58" w:rsidP="003E0F58">
      <w:pPr>
        <w:pStyle w:val="Odstavecseseznamem"/>
        <w:rPr>
          <w:rFonts w:eastAsiaTheme="minorEastAsia"/>
        </w:rPr>
      </w:pPr>
      <w:r w:rsidRPr="007C705C">
        <w:rPr>
          <w:rFonts w:eastAsiaTheme="minorEastAsia"/>
        </w:rPr>
        <w:t>4.3.2 LESNICKÁ INFRASTRUKTURA</w:t>
      </w:r>
    </w:p>
    <w:p w14:paraId="5F74FCB4" w14:textId="77777777" w:rsidR="003E0F58" w:rsidRPr="007C705C" w:rsidRDefault="003E0F58" w:rsidP="003E0F58">
      <w:pPr>
        <w:pStyle w:val="Odstavecseseznamem"/>
        <w:rPr>
          <w:rFonts w:eastAsiaTheme="minorEastAsia"/>
        </w:rPr>
      </w:pPr>
      <w:r w:rsidRPr="007C705C">
        <w:rPr>
          <w:rFonts w:eastAsiaTheme="minorEastAsia"/>
        </w:rPr>
        <w:t>8.1.1 Zalesňování a zakládání lesů</w:t>
      </w:r>
    </w:p>
    <w:p w14:paraId="260F69B9" w14:textId="77777777" w:rsidR="003E0F58" w:rsidRPr="007C705C" w:rsidRDefault="003E0F58" w:rsidP="003E0F58">
      <w:pPr>
        <w:pStyle w:val="Odstavecseseznamem"/>
        <w:rPr>
          <w:rFonts w:eastAsiaTheme="minorEastAsia"/>
        </w:rPr>
      </w:pPr>
      <w:r w:rsidRPr="007C705C">
        <w:rPr>
          <w:rFonts w:eastAsiaTheme="minorEastAsia"/>
        </w:rPr>
        <w:t>8.3.1 ZAVÁDĚNÍ PREVENTIVNÍCH OPATŘENÍ V LESÍCH</w:t>
      </w:r>
    </w:p>
    <w:p w14:paraId="38579A00" w14:textId="77777777" w:rsidR="003E0F58" w:rsidRPr="007C705C" w:rsidRDefault="003E0F58" w:rsidP="003E0F58">
      <w:pPr>
        <w:pStyle w:val="Odstavecseseznamem"/>
        <w:rPr>
          <w:rFonts w:eastAsiaTheme="minorEastAsia"/>
        </w:rPr>
      </w:pPr>
      <w:r w:rsidRPr="007C705C">
        <w:rPr>
          <w:rFonts w:eastAsiaTheme="minorEastAsia"/>
        </w:rPr>
        <w:t xml:space="preserve">8.4.1 OBNOVA LESNÍCH POROSTŮ PO KALAMITÁCH </w:t>
      </w:r>
    </w:p>
    <w:p w14:paraId="13BBC9E5" w14:textId="77777777" w:rsidR="003E0F58" w:rsidRPr="007C705C" w:rsidRDefault="003E0F58" w:rsidP="003E0F58">
      <w:pPr>
        <w:pStyle w:val="Odstavecseseznamem"/>
        <w:rPr>
          <w:rFonts w:eastAsiaTheme="minorEastAsia"/>
        </w:rPr>
      </w:pPr>
      <w:r w:rsidRPr="007C705C">
        <w:rPr>
          <w:rFonts w:eastAsiaTheme="minorEastAsia"/>
        </w:rPr>
        <w:t>8.4.2 Odstraňování škod způsobených povodněmi</w:t>
      </w:r>
    </w:p>
    <w:p w14:paraId="263D0C24" w14:textId="77777777" w:rsidR="003E0F58" w:rsidRPr="007C705C" w:rsidRDefault="003E0F58" w:rsidP="003E0F58">
      <w:pPr>
        <w:pStyle w:val="Odstavecseseznamem"/>
        <w:rPr>
          <w:rFonts w:eastAsiaTheme="minorEastAsia"/>
        </w:rPr>
      </w:pPr>
      <w:r w:rsidRPr="007C705C">
        <w:rPr>
          <w:rFonts w:eastAsiaTheme="minorEastAsia"/>
        </w:rPr>
        <w:t>8.5.1</w:t>
      </w:r>
      <w:r w:rsidRPr="007C705C">
        <w:t xml:space="preserve"> </w:t>
      </w:r>
      <w:r w:rsidRPr="007C705C">
        <w:rPr>
          <w:rFonts w:eastAsiaTheme="minorEastAsia"/>
        </w:rPr>
        <w:t>Investice do ochrany melioračních a zpevňujících dřevin</w:t>
      </w:r>
    </w:p>
    <w:p w14:paraId="0F079287" w14:textId="77777777" w:rsidR="003E0F58" w:rsidRPr="007C705C" w:rsidRDefault="003E0F58" w:rsidP="003E0F58">
      <w:pPr>
        <w:pStyle w:val="Odstavecseseznamem"/>
        <w:rPr>
          <w:rFonts w:eastAsiaTheme="minorEastAsia"/>
        </w:rPr>
      </w:pPr>
      <w:r w:rsidRPr="007C705C">
        <w:rPr>
          <w:rFonts w:eastAsiaTheme="minorEastAsia"/>
        </w:rPr>
        <w:t>8.5.2 Neproduktivní investice v lesích</w:t>
      </w:r>
    </w:p>
    <w:p w14:paraId="308D0987" w14:textId="77777777" w:rsidR="003E0F58" w:rsidRPr="007C705C" w:rsidRDefault="003E0F58" w:rsidP="003E0F58">
      <w:pPr>
        <w:pStyle w:val="Odstavecseseznamem"/>
        <w:rPr>
          <w:rFonts w:eastAsiaTheme="minorEastAsia"/>
        </w:rPr>
      </w:pPr>
      <w:r w:rsidRPr="007C705C">
        <w:rPr>
          <w:rFonts w:eastAsiaTheme="minorEastAsia"/>
        </w:rPr>
        <w:t>8.5.3 Přeměna porostů náhradních dřevin</w:t>
      </w:r>
    </w:p>
    <w:p w14:paraId="2DB35AA2" w14:textId="77777777" w:rsidR="003E0F58" w:rsidRPr="007C705C" w:rsidRDefault="003E0F58" w:rsidP="003E0F58">
      <w:pPr>
        <w:pStyle w:val="Odstavecseseznamem"/>
        <w:rPr>
          <w:rFonts w:eastAsiaTheme="minorEastAsia"/>
        </w:rPr>
      </w:pPr>
      <w:r w:rsidRPr="007C705C">
        <w:rPr>
          <w:rFonts w:eastAsiaTheme="minorEastAsia"/>
        </w:rPr>
        <w:t>8.6.1 Technika a technologie pro lesní hospodářství</w:t>
      </w:r>
    </w:p>
    <w:p w14:paraId="54A8C37B" w14:textId="77777777" w:rsidR="003E0F58" w:rsidRPr="007C705C" w:rsidRDefault="003E0F58" w:rsidP="003E0F58">
      <w:pPr>
        <w:pStyle w:val="Odstavecseseznamem"/>
        <w:rPr>
          <w:rFonts w:eastAsiaTheme="minorEastAsia"/>
        </w:rPr>
      </w:pPr>
      <w:r w:rsidRPr="007C705C">
        <w:rPr>
          <w:rFonts w:eastAsiaTheme="minorEastAsia"/>
        </w:rPr>
        <w:t>8.6.2 Technické vybavení dřevozpracujících provozoven</w:t>
      </w:r>
    </w:p>
    <w:p w14:paraId="69601C39" w14:textId="77777777" w:rsidR="003E0F58" w:rsidRPr="007C705C" w:rsidRDefault="003E0F58" w:rsidP="003E0F58">
      <w:pPr>
        <w:pStyle w:val="Odstavecseseznamem"/>
        <w:rPr>
          <w:rFonts w:eastAsiaTheme="minorEastAsia"/>
        </w:rPr>
      </w:pPr>
      <w:r w:rsidRPr="007C705C">
        <w:rPr>
          <w:rFonts w:eastAsiaTheme="minorEastAsia"/>
        </w:rPr>
        <w:t>10.1.1 Integrovaná produkce ovoce</w:t>
      </w:r>
    </w:p>
    <w:p w14:paraId="2727AF0B" w14:textId="77777777" w:rsidR="003E0F58" w:rsidRPr="007C705C" w:rsidRDefault="003E0F58" w:rsidP="003E0F58">
      <w:pPr>
        <w:pStyle w:val="Odstavecseseznamem"/>
        <w:rPr>
          <w:rFonts w:eastAsiaTheme="minorEastAsia"/>
        </w:rPr>
      </w:pPr>
      <w:r w:rsidRPr="007C705C">
        <w:rPr>
          <w:rFonts w:eastAsiaTheme="minorEastAsia"/>
        </w:rPr>
        <w:t>10.1.2 Integrovaná produkce révy vinné</w:t>
      </w:r>
    </w:p>
    <w:p w14:paraId="387307E5" w14:textId="77777777" w:rsidR="003E0F58" w:rsidRPr="007C705C" w:rsidRDefault="003E0F58" w:rsidP="003E0F58">
      <w:pPr>
        <w:pStyle w:val="Odstavecseseznamem"/>
        <w:rPr>
          <w:rFonts w:eastAsiaTheme="minorEastAsia"/>
        </w:rPr>
      </w:pPr>
      <w:r w:rsidRPr="007C705C">
        <w:rPr>
          <w:rFonts w:eastAsiaTheme="minorEastAsia"/>
        </w:rPr>
        <w:t>10.1.3 Integrovaná produkce zeleniny</w:t>
      </w:r>
    </w:p>
    <w:p w14:paraId="3002C04C" w14:textId="77777777" w:rsidR="003E0F58" w:rsidRPr="007C705C" w:rsidRDefault="003E0F58" w:rsidP="003E0F58">
      <w:pPr>
        <w:pStyle w:val="Odstavecseseznamem"/>
        <w:rPr>
          <w:rFonts w:eastAsiaTheme="minorEastAsia"/>
        </w:rPr>
      </w:pPr>
      <w:r w:rsidRPr="007C705C">
        <w:rPr>
          <w:rFonts w:eastAsiaTheme="minorEastAsia"/>
        </w:rPr>
        <w:t>10.1.4 Ošetřování travních porostů</w:t>
      </w:r>
    </w:p>
    <w:p w14:paraId="7497F0DC" w14:textId="77777777" w:rsidR="003E0F58" w:rsidRPr="007C705C" w:rsidRDefault="003E0F58" w:rsidP="003E0F58">
      <w:pPr>
        <w:pStyle w:val="Odstavecseseznamem"/>
        <w:rPr>
          <w:rFonts w:eastAsiaTheme="minorEastAsia"/>
        </w:rPr>
      </w:pPr>
      <w:r w:rsidRPr="007C705C">
        <w:rPr>
          <w:rFonts w:eastAsiaTheme="minorEastAsia"/>
        </w:rPr>
        <w:t>10.1.5 Zatravňování orné půdy</w:t>
      </w:r>
    </w:p>
    <w:p w14:paraId="04000C2E" w14:textId="77777777" w:rsidR="003E0F58" w:rsidRPr="007C705C" w:rsidRDefault="003E0F58" w:rsidP="003E0F58">
      <w:pPr>
        <w:pStyle w:val="Odstavecseseznamem"/>
        <w:rPr>
          <w:rFonts w:eastAsiaTheme="minorEastAsia"/>
        </w:rPr>
      </w:pPr>
      <w:r w:rsidRPr="007C705C">
        <w:rPr>
          <w:rFonts w:eastAsiaTheme="minorEastAsia"/>
        </w:rPr>
        <w:t>10.1.8 Zatravňování drah soustředěného odtoku</w:t>
      </w:r>
    </w:p>
    <w:p w14:paraId="10DFF5B0" w14:textId="77777777" w:rsidR="003E0F58" w:rsidRPr="007C705C" w:rsidRDefault="003E0F58" w:rsidP="003E0F58">
      <w:pPr>
        <w:pStyle w:val="Odstavecseseznamem"/>
        <w:rPr>
          <w:rFonts w:eastAsiaTheme="minorEastAsia"/>
        </w:rPr>
      </w:pPr>
      <w:r w:rsidRPr="007C705C">
        <w:rPr>
          <w:rFonts w:eastAsiaTheme="minorEastAsia"/>
        </w:rPr>
        <w:t>11.1.1 Ekologické zemědělství</w:t>
      </w:r>
    </w:p>
    <w:p w14:paraId="7AE12485" w14:textId="77777777" w:rsidR="003E0F58" w:rsidRPr="007C705C" w:rsidRDefault="003E0F58" w:rsidP="003E0F58">
      <w:pPr>
        <w:pStyle w:val="Odstavecseseznamem"/>
        <w:rPr>
          <w:rFonts w:eastAsiaTheme="minorEastAsia"/>
        </w:rPr>
      </w:pPr>
      <w:r w:rsidRPr="007C705C">
        <w:rPr>
          <w:rFonts w:eastAsiaTheme="minorEastAsia"/>
        </w:rPr>
        <w:t xml:space="preserve">11.2.1 Ekologické zemědělství </w:t>
      </w:r>
    </w:p>
    <w:p w14:paraId="2A42FC60" w14:textId="77777777" w:rsidR="003E0F58" w:rsidRPr="007C705C" w:rsidRDefault="003E0F58" w:rsidP="003E0F58">
      <w:pPr>
        <w:pStyle w:val="Odstavecseseznamem"/>
        <w:rPr>
          <w:rFonts w:eastAsiaTheme="minorEastAsia"/>
        </w:rPr>
      </w:pPr>
      <w:r w:rsidRPr="007C705C">
        <w:rPr>
          <w:rFonts w:eastAsiaTheme="minorEastAsia"/>
        </w:rPr>
        <w:t>15.1.1 Zachování porostního typu hospodářského souboru</w:t>
      </w:r>
    </w:p>
    <w:p w14:paraId="66D8C4AA" w14:textId="77777777" w:rsidR="003E0F58" w:rsidRPr="007C705C" w:rsidRDefault="003E0F58" w:rsidP="003E0F58">
      <w:pPr>
        <w:pStyle w:val="Odstavecseseznamem"/>
        <w:rPr>
          <w:rFonts w:eastAsiaTheme="minorEastAsia"/>
        </w:rPr>
      </w:pPr>
      <w:r w:rsidRPr="007C705C">
        <w:rPr>
          <w:rFonts w:eastAsiaTheme="minorEastAsia"/>
        </w:rPr>
        <w:t>16.1.1 Podpora operačních skupin a projektů EIP</w:t>
      </w:r>
    </w:p>
    <w:p w14:paraId="24FDAD23" w14:textId="77777777" w:rsidR="003E0F58" w:rsidRPr="007C705C" w:rsidRDefault="003E0F58" w:rsidP="003E0F58">
      <w:pPr>
        <w:pStyle w:val="Odstavecseseznamem"/>
        <w:rPr>
          <w:rFonts w:eastAsiaTheme="minorEastAsia"/>
        </w:rPr>
      </w:pPr>
      <w:r w:rsidRPr="007C705C">
        <w:rPr>
          <w:rFonts w:eastAsiaTheme="minorEastAsia"/>
        </w:rPr>
        <w:t>16.2.1 Podpora vývoje nových produktů, postupů a technologií v zemědělské prvovýrobě</w:t>
      </w:r>
    </w:p>
    <w:p w14:paraId="32E7E976" w14:textId="77777777" w:rsidR="003E0F58" w:rsidRPr="007C705C" w:rsidRDefault="003E0F58" w:rsidP="003E0F58">
      <w:pPr>
        <w:pStyle w:val="Odstavecseseznamem"/>
        <w:rPr>
          <w:rFonts w:eastAsiaTheme="minorEastAsia"/>
        </w:rPr>
      </w:pPr>
      <w:r w:rsidRPr="007C705C">
        <w:rPr>
          <w:rFonts w:eastAsiaTheme="minorEastAsia"/>
        </w:rPr>
        <w:t>16.2.2 Podpora vývoje nových produktů, postupů a technologií při zpracování zemědělských produktů a jejich uvádění na trh</w:t>
      </w:r>
    </w:p>
    <w:p w14:paraId="05F4343B" w14:textId="77777777" w:rsidR="003E0F58" w:rsidRPr="007C705C" w:rsidRDefault="003E0F58" w:rsidP="003E0F58">
      <w:pPr>
        <w:pStyle w:val="Odstavecseseznamem"/>
        <w:rPr>
          <w:rFonts w:eastAsiaTheme="minorEastAsia"/>
        </w:rPr>
      </w:pPr>
      <w:r w:rsidRPr="007C705C">
        <w:rPr>
          <w:rFonts w:eastAsiaTheme="minorEastAsia"/>
        </w:rPr>
        <w:t>16.3.1 Sdílení zařízení a strojů</w:t>
      </w:r>
    </w:p>
    <w:p w14:paraId="65440D79" w14:textId="74DC099E" w:rsidR="003E0F58" w:rsidRPr="006C0488" w:rsidRDefault="003E0F58" w:rsidP="006C0488">
      <w:pPr>
        <w:pStyle w:val="Odstavecseseznamem"/>
        <w:rPr>
          <w:rFonts w:eastAsiaTheme="minorEastAsia"/>
        </w:rPr>
      </w:pPr>
      <w:r w:rsidRPr="007C705C">
        <w:rPr>
          <w:rFonts w:eastAsiaTheme="minorEastAsia"/>
        </w:rPr>
        <w:t>16.4.1 Horizontální a vertikální spolupráce mezi účastníky krátkých dodavatelských řetězců a místních trhů</w:t>
      </w:r>
    </w:p>
    <w:p w14:paraId="04DAA393" w14:textId="6511CD61" w:rsidR="003E0F58" w:rsidRPr="006C0488" w:rsidRDefault="003E0F58" w:rsidP="006C0488">
      <w:pPr>
        <w:pStyle w:val="UZEINormaln"/>
        <w:rPr>
          <w:rFonts w:eastAsiaTheme="minorEastAsia"/>
        </w:rPr>
      </w:pPr>
      <w:r w:rsidRPr="007C705C">
        <w:rPr>
          <w:rFonts w:eastAsiaTheme="minorEastAsia"/>
        </w:rPr>
        <w:t>V následujících tabulkách je znázorněna struktura čerpání prostředků u vybraných opatření.</w:t>
      </w:r>
    </w:p>
    <w:p w14:paraId="52C1EE95" w14:textId="24F68FBB" w:rsidR="003E0F58" w:rsidRPr="007C705C" w:rsidRDefault="006C0488" w:rsidP="006C0488">
      <w:pPr>
        <w:pStyle w:val="UZEITaB"/>
      </w:pPr>
      <w:bookmarkStart w:id="426" w:name="_Toc77245855"/>
      <w:r>
        <w:t xml:space="preserve"> </w:t>
      </w:r>
      <w:bookmarkStart w:id="427" w:name="_Toc94181619"/>
      <w:r>
        <w:t>P</w:t>
      </w:r>
      <w:r w:rsidR="003E0F58" w:rsidRPr="007C705C">
        <w:t>řehled o čerpání podpor přispívajícím k odolnosti zemědělských podniků vůči klimatickým změnám v rámci opatření 4, a 8 PRV (2014-2020)</w:t>
      </w:r>
      <w:bookmarkEnd w:id="426"/>
      <w:bookmarkEnd w:id="427"/>
    </w:p>
    <w:tbl>
      <w:tblPr>
        <w:tblW w:w="9214" w:type="dxa"/>
        <w:tblBorders>
          <w:top w:val="single" w:sz="8" w:space="0" w:color="4F81BD"/>
          <w:bottom w:val="single" w:sz="8" w:space="0" w:color="4F81BD"/>
        </w:tblBorders>
        <w:tblLayout w:type="fixed"/>
        <w:tblLook w:val="0000" w:firstRow="0" w:lastRow="0" w:firstColumn="0" w:lastColumn="0" w:noHBand="0" w:noVBand="0"/>
      </w:tblPr>
      <w:tblGrid>
        <w:gridCol w:w="2266"/>
        <w:gridCol w:w="1243"/>
        <w:gridCol w:w="1311"/>
        <w:gridCol w:w="283"/>
        <w:gridCol w:w="1418"/>
        <w:gridCol w:w="1134"/>
        <w:gridCol w:w="142"/>
        <w:gridCol w:w="1417"/>
      </w:tblGrid>
      <w:tr w:rsidR="003E0F58" w:rsidRPr="006C0488" w14:paraId="3F540672" w14:textId="77777777" w:rsidTr="005D7EA7">
        <w:trPr>
          <w:trHeight w:val="614"/>
        </w:trPr>
        <w:tc>
          <w:tcPr>
            <w:tcW w:w="2266" w:type="dxa"/>
            <w:tcBorders>
              <w:left w:val="nil"/>
              <w:bottom w:val="nil"/>
              <w:right w:val="nil"/>
            </w:tcBorders>
            <w:shd w:val="clear" w:color="auto" w:fill="D3DFEE"/>
          </w:tcPr>
          <w:p w14:paraId="74EA9C19" w14:textId="77777777" w:rsidR="003E0F58" w:rsidRPr="006C0488" w:rsidRDefault="003E0F58" w:rsidP="004D2249">
            <w:pPr>
              <w:spacing w:before="100" w:beforeAutospacing="1" w:after="100" w:afterAutospacing="1"/>
              <w:jc w:val="center"/>
              <w:rPr>
                <w:rFonts w:cs="Times New Roman"/>
                <w:b/>
                <w:bCs/>
                <w:color w:val="365F91"/>
                <w:sz w:val="20"/>
                <w:szCs w:val="20"/>
                <w:lang w:val="cs-CZ"/>
              </w:rPr>
            </w:pPr>
          </w:p>
        </w:tc>
        <w:tc>
          <w:tcPr>
            <w:tcW w:w="1243" w:type="dxa"/>
            <w:tcBorders>
              <w:left w:val="nil"/>
              <w:right w:val="nil"/>
            </w:tcBorders>
            <w:shd w:val="clear" w:color="auto" w:fill="D3DFEE"/>
          </w:tcPr>
          <w:p w14:paraId="67736058" w14:textId="77777777" w:rsidR="003E0F58" w:rsidRPr="006C0488" w:rsidRDefault="003E0F58" w:rsidP="004D2249">
            <w:pPr>
              <w:spacing w:before="100" w:beforeAutospacing="1" w:after="100" w:afterAutospacing="1"/>
              <w:ind w:firstLine="40"/>
              <w:jc w:val="center"/>
              <w:rPr>
                <w:rFonts w:eastAsiaTheme="minorEastAsia" w:cs="Times New Roman"/>
                <w:b/>
                <w:bCs/>
                <w:color w:val="365F91"/>
                <w:sz w:val="20"/>
                <w:szCs w:val="20"/>
                <w:lang w:val="cs-CZ"/>
              </w:rPr>
            </w:pPr>
            <w:r w:rsidRPr="006C0488">
              <w:rPr>
                <w:rFonts w:eastAsiaTheme="minorEastAsia" w:cs="Times New Roman"/>
                <w:b/>
                <w:bCs/>
                <w:color w:val="365F91"/>
                <w:sz w:val="20"/>
                <w:szCs w:val="20"/>
                <w:lang w:val="cs-CZ"/>
              </w:rPr>
              <w:t>4.3.1</w:t>
            </w:r>
          </w:p>
          <w:p w14:paraId="5043F426" w14:textId="77777777" w:rsidR="003E0F58" w:rsidRPr="006C0488" w:rsidRDefault="003E0F58" w:rsidP="004D2249">
            <w:pPr>
              <w:spacing w:before="100" w:beforeAutospacing="1" w:after="100" w:afterAutospacing="1"/>
              <w:ind w:firstLine="40"/>
              <w:jc w:val="center"/>
              <w:rPr>
                <w:rFonts w:eastAsiaTheme="minorEastAsia" w:cs="Times New Roman"/>
                <w:b/>
                <w:bCs/>
                <w:color w:val="365F91"/>
                <w:sz w:val="20"/>
                <w:szCs w:val="20"/>
                <w:lang w:val="cs-CZ"/>
              </w:rPr>
            </w:pPr>
            <w:r w:rsidRPr="006C0488">
              <w:rPr>
                <w:rFonts w:eastAsiaTheme="minorEastAsia" w:cs="Times New Roman"/>
                <w:b/>
                <w:bCs/>
                <w:color w:val="365F91"/>
                <w:sz w:val="20"/>
                <w:szCs w:val="20"/>
                <w:lang w:val="cs-CZ"/>
              </w:rPr>
              <w:t>Pozemkové úpravy</w:t>
            </w:r>
          </w:p>
        </w:tc>
        <w:tc>
          <w:tcPr>
            <w:tcW w:w="1594" w:type="dxa"/>
            <w:gridSpan w:val="2"/>
            <w:tcBorders>
              <w:left w:val="nil"/>
              <w:bottom w:val="nil"/>
              <w:right w:val="nil"/>
            </w:tcBorders>
            <w:shd w:val="clear" w:color="auto" w:fill="D3DFEE"/>
            <w:vAlign w:val="center"/>
          </w:tcPr>
          <w:p w14:paraId="59FA2A06" w14:textId="77777777" w:rsidR="003E0F58" w:rsidRPr="006C0488" w:rsidRDefault="003E0F58" w:rsidP="004D2249">
            <w:pPr>
              <w:spacing w:before="100" w:beforeAutospacing="1" w:after="100" w:afterAutospacing="1"/>
              <w:ind w:firstLine="40"/>
              <w:jc w:val="center"/>
              <w:rPr>
                <w:rFonts w:eastAsiaTheme="minorEastAsia" w:cs="Times New Roman"/>
                <w:b/>
                <w:bCs/>
                <w:color w:val="365F91"/>
                <w:sz w:val="20"/>
                <w:szCs w:val="20"/>
                <w:lang w:val="cs-CZ"/>
              </w:rPr>
            </w:pPr>
            <w:r w:rsidRPr="006C0488">
              <w:rPr>
                <w:rFonts w:eastAsiaTheme="minorEastAsia" w:cs="Times New Roman"/>
                <w:b/>
                <w:bCs/>
                <w:color w:val="365F91"/>
                <w:sz w:val="20"/>
                <w:szCs w:val="20"/>
                <w:lang w:val="cs-CZ"/>
              </w:rPr>
              <w:t>4.3.2</w:t>
            </w:r>
          </w:p>
          <w:p w14:paraId="6D2B084F" w14:textId="77777777" w:rsidR="003E0F58" w:rsidRPr="006C0488" w:rsidRDefault="003E0F58" w:rsidP="004D2249">
            <w:pPr>
              <w:spacing w:before="100" w:beforeAutospacing="1" w:after="100" w:afterAutospacing="1"/>
              <w:ind w:firstLine="40"/>
              <w:jc w:val="center"/>
              <w:rPr>
                <w:rFonts w:eastAsiaTheme="minorEastAsia" w:cs="Times New Roman"/>
                <w:b/>
                <w:bCs/>
                <w:color w:val="365F91"/>
                <w:sz w:val="20"/>
                <w:szCs w:val="20"/>
                <w:lang w:val="cs-CZ"/>
              </w:rPr>
            </w:pPr>
            <w:r w:rsidRPr="006C0488">
              <w:rPr>
                <w:rFonts w:eastAsiaTheme="minorEastAsia" w:cs="Times New Roman"/>
                <w:b/>
                <w:bCs/>
                <w:color w:val="365F91"/>
                <w:sz w:val="20"/>
                <w:szCs w:val="20"/>
                <w:lang w:val="cs-CZ"/>
              </w:rPr>
              <w:t>Lesnická infrastruktura</w:t>
            </w:r>
          </w:p>
        </w:tc>
        <w:tc>
          <w:tcPr>
            <w:tcW w:w="1418" w:type="dxa"/>
            <w:tcBorders>
              <w:left w:val="nil"/>
              <w:right w:val="nil"/>
            </w:tcBorders>
            <w:shd w:val="clear" w:color="auto" w:fill="D3DFEE"/>
            <w:vAlign w:val="center"/>
          </w:tcPr>
          <w:p w14:paraId="26EAC0A0" w14:textId="77777777" w:rsidR="003E0F58" w:rsidRPr="006C0488" w:rsidRDefault="003E0F58" w:rsidP="004D2249">
            <w:pPr>
              <w:spacing w:before="100" w:beforeAutospacing="1" w:after="100" w:afterAutospacing="1"/>
              <w:ind w:firstLine="40"/>
              <w:jc w:val="center"/>
              <w:rPr>
                <w:rFonts w:eastAsiaTheme="minorEastAsia" w:cs="Times New Roman"/>
                <w:b/>
                <w:bCs/>
                <w:color w:val="365F91"/>
                <w:sz w:val="20"/>
                <w:szCs w:val="20"/>
                <w:lang w:val="cs-CZ"/>
              </w:rPr>
            </w:pPr>
            <w:r w:rsidRPr="006C0488">
              <w:rPr>
                <w:rFonts w:eastAsiaTheme="minorEastAsia" w:cs="Times New Roman"/>
                <w:b/>
                <w:bCs/>
                <w:color w:val="365F91"/>
                <w:sz w:val="20"/>
                <w:szCs w:val="20"/>
                <w:lang w:val="cs-CZ"/>
              </w:rPr>
              <w:t>8.3.1</w:t>
            </w:r>
          </w:p>
          <w:p w14:paraId="16EC92C5" w14:textId="77777777" w:rsidR="003E0F58" w:rsidRPr="006C0488" w:rsidRDefault="003E0F58" w:rsidP="004D2249">
            <w:pPr>
              <w:spacing w:before="100" w:beforeAutospacing="1" w:after="100" w:afterAutospacing="1"/>
              <w:ind w:firstLine="40"/>
              <w:jc w:val="center"/>
              <w:rPr>
                <w:rFonts w:eastAsiaTheme="minorEastAsia" w:cs="Times New Roman"/>
                <w:b/>
                <w:bCs/>
                <w:color w:val="365F91"/>
                <w:sz w:val="20"/>
                <w:szCs w:val="20"/>
                <w:lang w:val="cs-CZ"/>
              </w:rPr>
            </w:pPr>
            <w:r w:rsidRPr="006C0488">
              <w:rPr>
                <w:rFonts w:eastAsiaTheme="minorEastAsia" w:cs="Times New Roman"/>
                <w:b/>
                <w:bCs/>
                <w:color w:val="365F91"/>
                <w:sz w:val="20"/>
                <w:szCs w:val="20"/>
                <w:lang w:val="cs-CZ"/>
              </w:rPr>
              <w:t>Lesy prevence</w:t>
            </w:r>
          </w:p>
        </w:tc>
        <w:tc>
          <w:tcPr>
            <w:tcW w:w="1276" w:type="dxa"/>
            <w:gridSpan w:val="2"/>
            <w:tcBorders>
              <w:left w:val="nil"/>
              <w:right w:val="nil"/>
            </w:tcBorders>
            <w:shd w:val="clear" w:color="auto" w:fill="D3DFEE"/>
          </w:tcPr>
          <w:p w14:paraId="0CC73E7A" w14:textId="77777777" w:rsidR="003E0F58" w:rsidRPr="006C0488" w:rsidRDefault="003E0F58" w:rsidP="004D2249">
            <w:pPr>
              <w:spacing w:before="100" w:beforeAutospacing="1" w:after="100" w:afterAutospacing="1"/>
              <w:ind w:firstLine="40"/>
              <w:jc w:val="center"/>
              <w:rPr>
                <w:rFonts w:eastAsiaTheme="minorEastAsia" w:cs="Times New Roman"/>
                <w:b/>
                <w:bCs/>
                <w:color w:val="365F91"/>
                <w:sz w:val="20"/>
                <w:szCs w:val="20"/>
                <w:lang w:val="cs-CZ"/>
              </w:rPr>
            </w:pPr>
            <w:r w:rsidRPr="006C0488">
              <w:rPr>
                <w:rFonts w:eastAsiaTheme="minorEastAsia" w:cs="Times New Roman"/>
                <w:b/>
                <w:bCs/>
                <w:color w:val="365F91"/>
                <w:sz w:val="20"/>
                <w:szCs w:val="20"/>
                <w:lang w:val="cs-CZ"/>
              </w:rPr>
              <w:t>8.4.1</w:t>
            </w:r>
          </w:p>
          <w:p w14:paraId="52B4768E" w14:textId="77777777" w:rsidR="003E0F58" w:rsidRPr="006C0488" w:rsidRDefault="003E0F58" w:rsidP="004D2249">
            <w:pPr>
              <w:spacing w:before="100" w:beforeAutospacing="1" w:after="100" w:afterAutospacing="1"/>
              <w:ind w:firstLine="40"/>
              <w:jc w:val="center"/>
              <w:rPr>
                <w:rFonts w:eastAsiaTheme="minorEastAsia" w:cs="Times New Roman"/>
                <w:b/>
                <w:bCs/>
                <w:color w:val="365F91"/>
                <w:sz w:val="20"/>
                <w:szCs w:val="20"/>
                <w:lang w:val="cs-CZ"/>
              </w:rPr>
            </w:pPr>
            <w:r w:rsidRPr="006C0488">
              <w:rPr>
                <w:rFonts w:eastAsiaTheme="minorEastAsia" w:cs="Times New Roman"/>
                <w:b/>
                <w:bCs/>
                <w:color w:val="365F91"/>
                <w:sz w:val="20"/>
                <w:szCs w:val="20"/>
                <w:lang w:val="cs-CZ"/>
              </w:rPr>
              <w:t>Lesy po kalamitách</w:t>
            </w:r>
          </w:p>
        </w:tc>
        <w:tc>
          <w:tcPr>
            <w:tcW w:w="1417" w:type="dxa"/>
            <w:tcBorders>
              <w:left w:val="nil"/>
              <w:bottom w:val="nil"/>
              <w:right w:val="nil"/>
            </w:tcBorders>
            <w:shd w:val="clear" w:color="auto" w:fill="D3DFEE"/>
          </w:tcPr>
          <w:p w14:paraId="7035142D" w14:textId="77777777" w:rsidR="003E0F58" w:rsidRPr="006C0488" w:rsidRDefault="003E0F58" w:rsidP="004D2249">
            <w:pPr>
              <w:spacing w:before="100" w:beforeAutospacing="1" w:after="100" w:afterAutospacing="1"/>
              <w:ind w:firstLine="40"/>
              <w:jc w:val="center"/>
              <w:rPr>
                <w:rFonts w:eastAsiaTheme="minorEastAsia" w:cs="Times New Roman"/>
                <w:b/>
                <w:bCs/>
                <w:color w:val="365F91"/>
                <w:sz w:val="20"/>
                <w:szCs w:val="20"/>
                <w:lang w:val="cs-CZ"/>
              </w:rPr>
            </w:pPr>
            <w:r w:rsidRPr="006C0488">
              <w:rPr>
                <w:rFonts w:eastAsiaTheme="minorEastAsia" w:cs="Times New Roman"/>
                <w:b/>
                <w:bCs/>
                <w:color w:val="365F91"/>
                <w:sz w:val="20"/>
                <w:szCs w:val="20"/>
                <w:lang w:val="cs-CZ"/>
              </w:rPr>
              <w:t>Celkem</w:t>
            </w:r>
          </w:p>
        </w:tc>
      </w:tr>
      <w:tr w:rsidR="003E0F58" w:rsidRPr="006C0488" w14:paraId="0E61C648" w14:textId="77777777" w:rsidTr="005D7EA7">
        <w:trPr>
          <w:trHeight w:val="283"/>
        </w:trPr>
        <w:tc>
          <w:tcPr>
            <w:tcW w:w="2266" w:type="dxa"/>
            <w:tcBorders>
              <w:left w:val="nil"/>
              <w:bottom w:val="nil"/>
              <w:right w:val="nil"/>
            </w:tcBorders>
            <w:shd w:val="clear" w:color="auto" w:fill="auto"/>
          </w:tcPr>
          <w:p w14:paraId="1588263F" w14:textId="77777777" w:rsidR="003E0F58" w:rsidRPr="006C0488" w:rsidRDefault="003E0F58" w:rsidP="004D2249">
            <w:pPr>
              <w:spacing w:before="100" w:beforeAutospacing="1" w:after="100" w:afterAutospacing="1"/>
              <w:ind w:firstLine="37"/>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Zaregistrované projekty (ks)</w:t>
            </w:r>
          </w:p>
        </w:tc>
        <w:tc>
          <w:tcPr>
            <w:tcW w:w="1243" w:type="dxa"/>
            <w:shd w:val="clear" w:color="auto" w:fill="auto"/>
            <w:vAlign w:val="center"/>
          </w:tcPr>
          <w:p w14:paraId="233008C5" w14:textId="77777777" w:rsidR="003E0F58" w:rsidRPr="006C0488"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254</w:t>
            </w:r>
          </w:p>
        </w:tc>
        <w:tc>
          <w:tcPr>
            <w:tcW w:w="1311" w:type="dxa"/>
            <w:tcBorders>
              <w:left w:val="nil"/>
              <w:bottom w:val="nil"/>
              <w:right w:val="nil"/>
            </w:tcBorders>
            <w:shd w:val="clear" w:color="auto" w:fill="auto"/>
          </w:tcPr>
          <w:p w14:paraId="04CD24CB" w14:textId="77777777" w:rsidR="003E0F58" w:rsidRPr="006C0488"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590</w:t>
            </w:r>
          </w:p>
        </w:tc>
        <w:tc>
          <w:tcPr>
            <w:tcW w:w="1701" w:type="dxa"/>
            <w:gridSpan w:val="2"/>
            <w:shd w:val="clear" w:color="auto" w:fill="auto"/>
          </w:tcPr>
          <w:p w14:paraId="4D092E33" w14:textId="77777777" w:rsidR="003E0F58" w:rsidRPr="006C0488"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27</w:t>
            </w:r>
          </w:p>
        </w:tc>
        <w:tc>
          <w:tcPr>
            <w:tcW w:w="1276" w:type="dxa"/>
            <w:gridSpan w:val="2"/>
          </w:tcPr>
          <w:p w14:paraId="743E4C0A" w14:textId="77777777" w:rsidR="003E0F58" w:rsidRPr="006C0488"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145</w:t>
            </w:r>
          </w:p>
        </w:tc>
        <w:tc>
          <w:tcPr>
            <w:tcW w:w="1417" w:type="dxa"/>
            <w:tcBorders>
              <w:left w:val="nil"/>
              <w:bottom w:val="nil"/>
              <w:right w:val="nil"/>
            </w:tcBorders>
            <w:shd w:val="clear" w:color="auto" w:fill="auto"/>
          </w:tcPr>
          <w:p w14:paraId="14F822F5" w14:textId="77777777" w:rsidR="003E0F58" w:rsidRPr="006C0488"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1 016</w:t>
            </w:r>
          </w:p>
        </w:tc>
      </w:tr>
      <w:tr w:rsidR="003E0F58" w:rsidRPr="006C0488" w14:paraId="2D8F76A7" w14:textId="77777777" w:rsidTr="005D7EA7">
        <w:trPr>
          <w:trHeight w:val="283"/>
        </w:trPr>
        <w:tc>
          <w:tcPr>
            <w:tcW w:w="2266" w:type="dxa"/>
            <w:tcBorders>
              <w:left w:val="nil"/>
              <w:bottom w:val="nil"/>
              <w:right w:val="nil"/>
            </w:tcBorders>
            <w:shd w:val="clear" w:color="auto" w:fill="D3DFEE"/>
          </w:tcPr>
          <w:p w14:paraId="58007140" w14:textId="77777777" w:rsidR="003E0F58" w:rsidRPr="006C0488" w:rsidRDefault="003E0F58" w:rsidP="004D2249">
            <w:pPr>
              <w:spacing w:before="100" w:beforeAutospacing="1" w:after="100" w:afterAutospacing="1"/>
              <w:ind w:firstLine="37"/>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Částka za zaregistr. projekty (Kč)</w:t>
            </w:r>
          </w:p>
        </w:tc>
        <w:tc>
          <w:tcPr>
            <w:tcW w:w="1243" w:type="dxa"/>
            <w:tcBorders>
              <w:left w:val="nil"/>
              <w:right w:val="nil"/>
            </w:tcBorders>
            <w:shd w:val="clear" w:color="auto" w:fill="D3DFEE"/>
            <w:vAlign w:val="center"/>
          </w:tcPr>
          <w:p w14:paraId="24058DD3" w14:textId="77777777" w:rsidR="003E0F58" w:rsidRPr="006C0488"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2466161645</w:t>
            </w:r>
          </w:p>
        </w:tc>
        <w:tc>
          <w:tcPr>
            <w:tcW w:w="1311" w:type="dxa"/>
            <w:tcBorders>
              <w:left w:val="nil"/>
              <w:bottom w:val="nil"/>
              <w:right w:val="nil"/>
            </w:tcBorders>
            <w:shd w:val="clear" w:color="auto" w:fill="D3DFEE"/>
          </w:tcPr>
          <w:p w14:paraId="041EAEDF" w14:textId="77777777" w:rsidR="003E0F58" w:rsidRPr="006C0488"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1 618 063 672</w:t>
            </w:r>
          </w:p>
        </w:tc>
        <w:tc>
          <w:tcPr>
            <w:tcW w:w="1701" w:type="dxa"/>
            <w:gridSpan w:val="2"/>
            <w:tcBorders>
              <w:left w:val="nil"/>
              <w:right w:val="nil"/>
            </w:tcBorders>
            <w:shd w:val="clear" w:color="auto" w:fill="D3DFEE"/>
          </w:tcPr>
          <w:p w14:paraId="282764F9" w14:textId="77777777" w:rsidR="003E0F58" w:rsidRPr="006C0488"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75 064 379</w:t>
            </w:r>
          </w:p>
        </w:tc>
        <w:tc>
          <w:tcPr>
            <w:tcW w:w="1276" w:type="dxa"/>
            <w:gridSpan w:val="2"/>
            <w:tcBorders>
              <w:left w:val="nil"/>
              <w:right w:val="nil"/>
            </w:tcBorders>
            <w:shd w:val="clear" w:color="auto" w:fill="D3DFEE"/>
          </w:tcPr>
          <w:p w14:paraId="0A5974A2" w14:textId="77777777" w:rsidR="003E0F58" w:rsidRPr="006C0488"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188 527 851</w:t>
            </w:r>
          </w:p>
        </w:tc>
        <w:tc>
          <w:tcPr>
            <w:tcW w:w="1417" w:type="dxa"/>
            <w:tcBorders>
              <w:left w:val="nil"/>
              <w:bottom w:val="nil"/>
              <w:right w:val="nil"/>
            </w:tcBorders>
            <w:shd w:val="clear" w:color="auto" w:fill="D3DFEE"/>
          </w:tcPr>
          <w:p w14:paraId="24DC2BF7" w14:textId="77777777" w:rsidR="003E0F58" w:rsidRPr="006C0488"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4 347 817 547</w:t>
            </w:r>
          </w:p>
        </w:tc>
      </w:tr>
      <w:tr w:rsidR="003E0F58" w:rsidRPr="006C0488" w14:paraId="6C91C531" w14:textId="77777777" w:rsidTr="005D7EA7">
        <w:trPr>
          <w:trHeight w:val="283"/>
        </w:trPr>
        <w:tc>
          <w:tcPr>
            <w:tcW w:w="2266" w:type="dxa"/>
            <w:tcBorders>
              <w:left w:val="nil"/>
              <w:bottom w:val="nil"/>
              <w:right w:val="nil"/>
            </w:tcBorders>
            <w:shd w:val="clear" w:color="auto" w:fill="auto"/>
          </w:tcPr>
          <w:p w14:paraId="73C7A8ED" w14:textId="77777777" w:rsidR="003E0F58" w:rsidRPr="006C0488" w:rsidRDefault="003E0F58" w:rsidP="004D2249">
            <w:pPr>
              <w:spacing w:before="100" w:beforeAutospacing="1" w:after="100" w:afterAutospacing="1"/>
              <w:ind w:firstLine="37"/>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Schválené projekty (ks)</w:t>
            </w:r>
          </w:p>
        </w:tc>
        <w:tc>
          <w:tcPr>
            <w:tcW w:w="1243" w:type="dxa"/>
            <w:shd w:val="clear" w:color="auto" w:fill="auto"/>
            <w:vAlign w:val="center"/>
          </w:tcPr>
          <w:p w14:paraId="4DA87825" w14:textId="77777777" w:rsidR="003E0F58" w:rsidRPr="006C0488"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187</w:t>
            </w:r>
          </w:p>
        </w:tc>
        <w:tc>
          <w:tcPr>
            <w:tcW w:w="1311" w:type="dxa"/>
            <w:tcBorders>
              <w:left w:val="nil"/>
              <w:bottom w:val="nil"/>
              <w:right w:val="nil"/>
            </w:tcBorders>
            <w:shd w:val="clear" w:color="auto" w:fill="auto"/>
          </w:tcPr>
          <w:p w14:paraId="5315FA95" w14:textId="77777777" w:rsidR="003E0F58" w:rsidRPr="006C0488"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219</w:t>
            </w:r>
          </w:p>
        </w:tc>
        <w:tc>
          <w:tcPr>
            <w:tcW w:w="1701" w:type="dxa"/>
            <w:gridSpan w:val="2"/>
            <w:shd w:val="clear" w:color="auto" w:fill="auto"/>
          </w:tcPr>
          <w:p w14:paraId="0D3B097D" w14:textId="77777777" w:rsidR="003E0F58" w:rsidRPr="006C0488"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20</w:t>
            </w:r>
          </w:p>
        </w:tc>
        <w:tc>
          <w:tcPr>
            <w:tcW w:w="1276" w:type="dxa"/>
            <w:gridSpan w:val="2"/>
          </w:tcPr>
          <w:p w14:paraId="2CE7AE58" w14:textId="77777777" w:rsidR="003E0F58" w:rsidRPr="006C0488"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73</w:t>
            </w:r>
          </w:p>
        </w:tc>
        <w:tc>
          <w:tcPr>
            <w:tcW w:w="1417" w:type="dxa"/>
            <w:tcBorders>
              <w:left w:val="nil"/>
              <w:bottom w:val="nil"/>
              <w:right w:val="nil"/>
            </w:tcBorders>
            <w:shd w:val="clear" w:color="auto" w:fill="auto"/>
          </w:tcPr>
          <w:p w14:paraId="4F1826B5" w14:textId="77777777" w:rsidR="003E0F58" w:rsidRPr="006C0488"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499</w:t>
            </w:r>
          </w:p>
        </w:tc>
      </w:tr>
      <w:tr w:rsidR="003E0F58" w:rsidRPr="006C0488" w14:paraId="11545D27" w14:textId="77777777" w:rsidTr="005D7EA7">
        <w:trPr>
          <w:trHeight w:val="283"/>
        </w:trPr>
        <w:tc>
          <w:tcPr>
            <w:tcW w:w="2266" w:type="dxa"/>
            <w:tcBorders>
              <w:left w:val="nil"/>
              <w:bottom w:val="nil"/>
              <w:right w:val="nil"/>
            </w:tcBorders>
            <w:shd w:val="clear" w:color="auto" w:fill="D3DFEE"/>
          </w:tcPr>
          <w:p w14:paraId="2F46E808" w14:textId="77777777" w:rsidR="003E0F58" w:rsidRPr="006C0488" w:rsidRDefault="003E0F58" w:rsidP="004D2249">
            <w:pPr>
              <w:spacing w:before="100" w:beforeAutospacing="1" w:after="100" w:afterAutospacing="1"/>
              <w:ind w:firstLine="37"/>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Částka za schválené projekty (Kč)</w:t>
            </w:r>
          </w:p>
        </w:tc>
        <w:tc>
          <w:tcPr>
            <w:tcW w:w="1243" w:type="dxa"/>
            <w:tcBorders>
              <w:left w:val="nil"/>
              <w:right w:val="nil"/>
            </w:tcBorders>
            <w:shd w:val="clear" w:color="auto" w:fill="D3DFEE"/>
            <w:vAlign w:val="center"/>
          </w:tcPr>
          <w:p w14:paraId="4E403EDE" w14:textId="77777777" w:rsidR="003E0F58" w:rsidRPr="006C0488"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1653388545</w:t>
            </w:r>
          </w:p>
        </w:tc>
        <w:tc>
          <w:tcPr>
            <w:tcW w:w="1311" w:type="dxa"/>
            <w:tcBorders>
              <w:left w:val="nil"/>
              <w:bottom w:val="nil"/>
              <w:right w:val="nil"/>
            </w:tcBorders>
            <w:shd w:val="clear" w:color="auto" w:fill="D3DFEE"/>
          </w:tcPr>
          <w:p w14:paraId="11B89AD3" w14:textId="77777777" w:rsidR="003E0F58" w:rsidRPr="006C0488"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528 409 290</w:t>
            </w:r>
          </w:p>
        </w:tc>
        <w:tc>
          <w:tcPr>
            <w:tcW w:w="1701" w:type="dxa"/>
            <w:gridSpan w:val="2"/>
            <w:tcBorders>
              <w:left w:val="nil"/>
              <w:right w:val="nil"/>
            </w:tcBorders>
            <w:shd w:val="clear" w:color="auto" w:fill="D3DFEE"/>
          </w:tcPr>
          <w:p w14:paraId="721851C3" w14:textId="77777777" w:rsidR="003E0F58" w:rsidRPr="006C0488"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55 344 267</w:t>
            </w:r>
          </w:p>
        </w:tc>
        <w:tc>
          <w:tcPr>
            <w:tcW w:w="1134" w:type="dxa"/>
            <w:tcBorders>
              <w:left w:val="nil"/>
              <w:right w:val="nil"/>
            </w:tcBorders>
            <w:shd w:val="clear" w:color="auto" w:fill="D3DFEE"/>
          </w:tcPr>
          <w:p w14:paraId="2A05A020" w14:textId="77777777" w:rsidR="003E0F58" w:rsidRPr="006C0488"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105 493 440</w:t>
            </w:r>
          </w:p>
        </w:tc>
        <w:tc>
          <w:tcPr>
            <w:tcW w:w="1559" w:type="dxa"/>
            <w:gridSpan w:val="2"/>
            <w:tcBorders>
              <w:left w:val="nil"/>
              <w:bottom w:val="nil"/>
              <w:right w:val="nil"/>
            </w:tcBorders>
            <w:shd w:val="clear" w:color="auto" w:fill="D3DFEE"/>
          </w:tcPr>
          <w:p w14:paraId="34DCAFE3" w14:textId="77777777" w:rsidR="003E0F58" w:rsidRPr="006C0488"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2 342 635 542</w:t>
            </w:r>
          </w:p>
        </w:tc>
      </w:tr>
      <w:tr w:rsidR="003E0F58" w:rsidRPr="006C0488" w14:paraId="56E1363B" w14:textId="77777777" w:rsidTr="005D7EA7">
        <w:trPr>
          <w:trHeight w:val="283"/>
        </w:trPr>
        <w:tc>
          <w:tcPr>
            <w:tcW w:w="2266" w:type="dxa"/>
            <w:tcBorders>
              <w:left w:val="nil"/>
              <w:bottom w:val="nil"/>
              <w:right w:val="nil"/>
            </w:tcBorders>
            <w:shd w:val="clear" w:color="auto" w:fill="auto"/>
          </w:tcPr>
          <w:p w14:paraId="6C8651CB" w14:textId="77777777" w:rsidR="003E0F58" w:rsidRPr="006C0488" w:rsidRDefault="003E0F58" w:rsidP="004D2249">
            <w:pPr>
              <w:spacing w:before="100" w:beforeAutospacing="1" w:after="100" w:afterAutospacing="1"/>
              <w:ind w:firstLine="37"/>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Podepsané dohody (ks)</w:t>
            </w:r>
          </w:p>
        </w:tc>
        <w:tc>
          <w:tcPr>
            <w:tcW w:w="1243" w:type="dxa"/>
            <w:shd w:val="clear" w:color="auto" w:fill="auto"/>
            <w:vAlign w:val="center"/>
          </w:tcPr>
          <w:p w14:paraId="77FCD486" w14:textId="77777777" w:rsidR="003E0F58" w:rsidRPr="006C0488"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184</w:t>
            </w:r>
          </w:p>
          <w:p w14:paraId="39721B95" w14:textId="77777777" w:rsidR="003E0F58" w:rsidRPr="006C0488" w:rsidRDefault="003E0F58" w:rsidP="004D2249">
            <w:pPr>
              <w:spacing w:before="100" w:beforeAutospacing="1" w:after="100" w:afterAutospacing="1"/>
              <w:ind w:firstLine="40"/>
              <w:jc w:val="center"/>
              <w:rPr>
                <w:rFonts w:cs="Times New Roman"/>
                <w:bCs/>
                <w:color w:val="365F91"/>
                <w:sz w:val="20"/>
                <w:szCs w:val="20"/>
                <w:lang w:val="cs-CZ"/>
              </w:rPr>
            </w:pPr>
          </w:p>
        </w:tc>
        <w:tc>
          <w:tcPr>
            <w:tcW w:w="1311" w:type="dxa"/>
            <w:tcBorders>
              <w:left w:val="nil"/>
              <w:bottom w:val="nil"/>
              <w:right w:val="nil"/>
            </w:tcBorders>
            <w:shd w:val="clear" w:color="auto" w:fill="auto"/>
          </w:tcPr>
          <w:p w14:paraId="6998E331" w14:textId="77777777" w:rsidR="003E0F58" w:rsidRPr="006C0488"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219</w:t>
            </w:r>
          </w:p>
        </w:tc>
        <w:tc>
          <w:tcPr>
            <w:tcW w:w="1701" w:type="dxa"/>
            <w:gridSpan w:val="2"/>
            <w:shd w:val="clear" w:color="auto" w:fill="auto"/>
          </w:tcPr>
          <w:p w14:paraId="2950B441" w14:textId="77777777" w:rsidR="003E0F58" w:rsidRPr="006C0488"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12</w:t>
            </w:r>
          </w:p>
        </w:tc>
        <w:tc>
          <w:tcPr>
            <w:tcW w:w="1134" w:type="dxa"/>
          </w:tcPr>
          <w:p w14:paraId="181FF935" w14:textId="77777777" w:rsidR="003E0F58" w:rsidRPr="006C0488"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38</w:t>
            </w:r>
          </w:p>
        </w:tc>
        <w:tc>
          <w:tcPr>
            <w:tcW w:w="1559" w:type="dxa"/>
            <w:gridSpan w:val="2"/>
            <w:tcBorders>
              <w:left w:val="nil"/>
              <w:bottom w:val="nil"/>
              <w:right w:val="nil"/>
            </w:tcBorders>
            <w:shd w:val="clear" w:color="auto" w:fill="auto"/>
          </w:tcPr>
          <w:p w14:paraId="1DA826B2" w14:textId="77777777" w:rsidR="003E0F58" w:rsidRPr="006C0488"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453</w:t>
            </w:r>
          </w:p>
        </w:tc>
      </w:tr>
      <w:tr w:rsidR="003E0F58" w:rsidRPr="006C0488" w14:paraId="7843060D" w14:textId="77777777" w:rsidTr="005D7EA7">
        <w:trPr>
          <w:trHeight w:val="283"/>
        </w:trPr>
        <w:tc>
          <w:tcPr>
            <w:tcW w:w="2266" w:type="dxa"/>
            <w:tcBorders>
              <w:left w:val="nil"/>
              <w:bottom w:val="nil"/>
              <w:right w:val="nil"/>
            </w:tcBorders>
            <w:shd w:val="clear" w:color="auto" w:fill="D3DFEE"/>
          </w:tcPr>
          <w:p w14:paraId="18EA5EC9" w14:textId="77777777" w:rsidR="003E0F58" w:rsidRPr="006C0488" w:rsidRDefault="003E0F58" w:rsidP="004D2249">
            <w:pPr>
              <w:spacing w:before="100" w:beforeAutospacing="1" w:after="100" w:afterAutospacing="1"/>
              <w:ind w:firstLine="37"/>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Částka za Podepsané dohody o propl. (Kč)</w:t>
            </w:r>
          </w:p>
        </w:tc>
        <w:tc>
          <w:tcPr>
            <w:tcW w:w="1243" w:type="dxa"/>
            <w:tcBorders>
              <w:left w:val="nil"/>
              <w:right w:val="nil"/>
            </w:tcBorders>
            <w:shd w:val="clear" w:color="auto" w:fill="D3DFEE"/>
          </w:tcPr>
          <w:p w14:paraId="72430754" w14:textId="77777777" w:rsidR="003E0F58" w:rsidRPr="006C0488"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1 615 337 345</w:t>
            </w:r>
          </w:p>
        </w:tc>
        <w:tc>
          <w:tcPr>
            <w:tcW w:w="1311" w:type="dxa"/>
            <w:tcBorders>
              <w:left w:val="nil"/>
              <w:bottom w:val="nil"/>
              <w:right w:val="nil"/>
            </w:tcBorders>
            <w:shd w:val="clear" w:color="auto" w:fill="D3DFEE"/>
          </w:tcPr>
          <w:p w14:paraId="107D1835" w14:textId="77777777" w:rsidR="003E0F58" w:rsidRPr="006C0488"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528 409 290</w:t>
            </w:r>
          </w:p>
        </w:tc>
        <w:tc>
          <w:tcPr>
            <w:tcW w:w="1701" w:type="dxa"/>
            <w:gridSpan w:val="2"/>
            <w:tcBorders>
              <w:left w:val="nil"/>
              <w:right w:val="nil"/>
            </w:tcBorders>
            <w:shd w:val="clear" w:color="auto" w:fill="D3DFEE"/>
          </w:tcPr>
          <w:p w14:paraId="2A1651F1" w14:textId="77777777" w:rsidR="003E0F58" w:rsidRPr="006C0488"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27 156 324</w:t>
            </w:r>
          </w:p>
        </w:tc>
        <w:tc>
          <w:tcPr>
            <w:tcW w:w="1134" w:type="dxa"/>
            <w:tcBorders>
              <w:left w:val="nil"/>
              <w:right w:val="nil"/>
            </w:tcBorders>
            <w:shd w:val="clear" w:color="auto" w:fill="D3DFEE"/>
          </w:tcPr>
          <w:p w14:paraId="3552563B" w14:textId="77777777" w:rsidR="003E0F58" w:rsidRPr="006C0488"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50 739 234</w:t>
            </w:r>
          </w:p>
        </w:tc>
        <w:tc>
          <w:tcPr>
            <w:tcW w:w="1559" w:type="dxa"/>
            <w:gridSpan w:val="2"/>
            <w:tcBorders>
              <w:left w:val="nil"/>
              <w:bottom w:val="nil"/>
              <w:right w:val="nil"/>
            </w:tcBorders>
            <w:shd w:val="clear" w:color="auto" w:fill="D3DFEE"/>
          </w:tcPr>
          <w:p w14:paraId="32C2DA72" w14:textId="77777777" w:rsidR="003E0F58" w:rsidRPr="006C0488"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2 221 642 193</w:t>
            </w:r>
          </w:p>
        </w:tc>
      </w:tr>
      <w:tr w:rsidR="003E0F58" w:rsidRPr="006C0488" w14:paraId="516106A2" w14:textId="77777777" w:rsidTr="005D7EA7">
        <w:trPr>
          <w:trHeight w:val="283"/>
        </w:trPr>
        <w:tc>
          <w:tcPr>
            <w:tcW w:w="2266" w:type="dxa"/>
            <w:tcBorders>
              <w:left w:val="nil"/>
              <w:bottom w:val="nil"/>
              <w:right w:val="nil"/>
            </w:tcBorders>
            <w:shd w:val="clear" w:color="auto" w:fill="auto"/>
          </w:tcPr>
          <w:p w14:paraId="3E4C1B3B" w14:textId="77777777" w:rsidR="003E0F58" w:rsidRPr="006C0488" w:rsidRDefault="003E0F58" w:rsidP="004D2249">
            <w:pPr>
              <w:spacing w:before="100" w:beforeAutospacing="1" w:after="100" w:afterAutospacing="1"/>
              <w:ind w:firstLine="37"/>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lastRenderedPageBreak/>
              <w:t>Proplacené projekty (ks)</w:t>
            </w:r>
          </w:p>
        </w:tc>
        <w:tc>
          <w:tcPr>
            <w:tcW w:w="1243" w:type="dxa"/>
            <w:shd w:val="clear" w:color="auto" w:fill="auto"/>
          </w:tcPr>
          <w:p w14:paraId="08BD7FAD" w14:textId="77777777" w:rsidR="003E0F58" w:rsidRPr="006C0488"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81</w:t>
            </w:r>
          </w:p>
        </w:tc>
        <w:tc>
          <w:tcPr>
            <w:tcW w:w="1311" w:type="dxa"/>
            <w:tcBorders>
              <w:left w:val="nil"/>
              <w:bottom w:val="nil"/>
              <w:right w:val="nil"/>
            </w:tcBorders>
            <w:shd w:val="clear" w:color="auto" w:fill="auto"/>
          </w:tcPr>
          <w:p w14:paraId="68D7D022" w14:textId="77777777" w:rsidR="003E0F58" w:rsidRPr="006C0488"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119</w:t>
            </w:r>
          </w:p>
        </w:tc>
        <w:tc>
          <w:tcPr>
            <w:tcW w:w="1701" w:type="dxa"/>
            <w:gridSpan w:val="2"/>
            <w:shd w:val="clear" w:color="auto" w:fill="auto"/>
          </w:tcPr>
          <w:p w14:paraId="3A58A2B6" w14:textId="77777777" w:rsidR="003E0F58" w:rsidRPr="006C0488"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7</w:t>
            </w:r>
          </w:p>
        </w:tc>
        <w:tc>
          <w:tcPr>
            <w:tcW w:w="1134" w:type="dxa"/>
          </w:tcPr>
          <w:p w14:paraId="7566EB58" w14:textId="77777777" w:rsidR="003E0F58" w:rsidRPr="006C0488"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24</w:t>
            </w:r>
          </w:p>
        </w:tc>
        <w:tc>
          <w:tcPr>
            <w:tcW w:w="1559" w:type="dxa"/>
            <w:gridSpan w:val="2"/>
            <w:tcBorders>
              <w:left w:val="nil"/>
              <w:bottom w:val="nil"/>
              <w:right w:val="nil"/>
            </w:tcBorders>
            <w:shd w:val="clear" w:color="auto" w:fill="auto"/>
          </w:tcPr>
          <w:p w14:paraId="085F76E6" w14:textId="77777777" w:rsidR="003E0F58" w:rsidRPr="006C0488"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231</w:t>
            </w:r>
          </w:p>
        </w:tc>
      </w:tr>
      <w:tr w:rsidR="003E0F58" w:rsidRPr="006C0488" w14:paraId="62B9C585" w14:textId="77777777" w:rsidTr="005D7EA7">
        <w:trPr>
          <w:trHeight w:val="283"/>
        </w:trPr>
        <w:tc>
          <w:tcPr>
            <w:tcW w:w="2266" w:type="dxa"/>
            <w:tcBorders>
              <w:left w:val="nil"/>
              <w:right w:val="nil"/>
            </w:tcBorders>
            <w:shd w:val="clear" w:color="auto" w:fill="D3DFEE"/>
          </w:tcPr>
          <w:p w14:paraId="12484DB8" w14:textId="77777777" w:rsidR="003E0F58" w:rsidRPr="006C0488" w:rsidRDefault="003E0F58" w:rsidP="004D2249">
            <w:pPr>
              <w:spacing w:before="100" w:beforeAutospacing="1" w:after="100" w:afterAutospacing="1"/>
              <w:ind w:firstLine="37"/>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Proplaceno (Kč)</w:t>
            </w:r>
          </w:p>
        </w:tc>
        <w:tc>
          <w:tcPr>
            <w:tcW w:w="1243" w:type="dxa"/>
            <w:tcBorders>
              <w:left w:val="nil"/>
              <w:right w:val="nil"/>
            </w:tcBorders>
            <w:shd w:val="clear" w:color="auto" w:fill="D3DFEE"/>
          </w:tcPr>
          <w:p w14:paraId="7ADA4FA7" w14:textId="77777777" w:rsidR="003E0F58" w:rsidRPr="006C0488"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654 621 332</w:t>
            </w:r>
          </w:p>
        </w:tc>
        <w:tc>
          <w:tcPr>
            <w:tcW w:w="1311" w:type="dxa"/>
            <w:tcBorders>
              <w:left w:val="nil"/>
              <w:right w:val="nil"/>
            </w:tcBorders>
            <w:shd w:val="clear" w:color="auto" w:fill="D3DFEE"/>
          </w:tcPr>
          <w:p w14:paraId="242EA245" w14:textId="77777777" w:rsidR="003E0F58" w:rsidRPr="006C0488"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274 014 162</w:t>
            </w:r>
          </w:p>
        </w:tc>
        <w:tc>
          <w:tcPr>
            <w:tcW w:w="1701" w:type="dxa"/>
            <w:gridSpan w:val="2"/>
            <w:tcBorders>
              <w:left w:val="nil"/>
              <w:right w:val="nil"/>
            </w:tcBorders>
            <w:shd w:val="clear" w:color="auto" w:fill="D3DFEE"/>
          </w:tcPr>
          <w:p w14:paraId="2C13FA6C" w14:textId="77777777" w:rsidR="003E0F58" w:rsidRPr="006C0488"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14 065 597</w:t>
            </w:r>
          </w:p>
        </w:tc>
        <w:tc>
          <w:tcPr>
            <w:tcW w:w="1134" w:type="dxa"/>
            <w:tcBorders>
              <w:left w:val="nil"/>
              <w:right w:val="nil"/>
            </w:tcBorders>
            <w:shd w:val="clear" w:color="auto" w:fill="D3DFEE"/>
          </w:tcPr>
          <w:p w14:paraId="157AD468" w14:textId="77777777" w:rsidR="003E0F58" w:rsidRPr="006C0488"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26 558 410</w:t>
            </w:r>
          </w:p>
        </w:tc>
        <w:tc>
          <w:tcPr>
            <w:tcW w:w="1559" w:type="dxa"/>
            <w:gridSpan w:val="2"/>
            <w:tcBorders>
              <w:left w:val="nil"/>
              <w:right w:val="nil"/>
            </w:tcBorders>
            <w:shd w:val="clear" w:color="auto" w:fill="D3DFEE"/>
          </w:tcPr>
          <w:p w14:paraId="24336516" w14:textId="77777777" w:rsidR="003E0F58" w:rsidRPr="006C0488"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6C0488">
              <w:rPr>
                <w:rFonts w:eastAsiaTheme="minorEastAsia" w:cs="Times New Roman"/>
                <w:color w:val="365F91"/>
                <w:sz w:val="20"/>
                <w:szCs w:val="20"/>
                <w:lang w:val="cs-CZ"/>
              </w:rPr>
              <w:t>969 259 501</w:t>
            </w:r>
          </w:p>
        </w:tc>
      </w:tr>
    </w:tbl>
    <w:p w14:paraId="0BDB78EE" w14:textId="2B5004A1" w:rsidR="003E0F58" w:rsidRPr="007C705C" w:rsidRDefault="003E0F58" w:rsidP="005D7EA7">
      <w:pPr>
        <w:pStyle w:val="UZEIZdroj"/>
      </w:pPr>
      <w:r w:rsidRPr="007C705C">
        <w:t>Stav k 29.</w:t>
      </w:r>
      <w:r w:rsidR="00F075AF">
        <w:t xml:space="preserve"> </w:t>
      </w:r>
      <w:r w:rsidRPr="007C705C">
        <w:t>6</w:t>
      </w:r>
      <w:r w:rsidR="00F075AF">
        <w:t xml:space="preserve"> </w:t>
      </w:r>
      <w:r w:rsidRPr="007C705C">
        <w:t>.2018</w:t>
      </w:r>
    </w:p>
    <w:p w14:paraId="075776ED" w14:textId="6C10FEBD" w:rsidR="003E0F58" w:rsidRPr="007C705C" w:rsidRDefault="003E0F58" w:rsidP="005D7EA7">
      <w:pPr>
        <w:pStyle w:val="UZEIZdroj"/>
      </w:pPr>
      <w:r w:rsidRPr="007C705C">
        <w:t>Zdroj: MZe (odbor Řídící orgán PRV)</w:t>
      </w:r>
    </w:p>
    <w:p w14:paraId="417A0F6E" w14:textId="414ED7B5" w:rsidR="003E0F58" w:rsidRPr="007C705C" w:rsidRDefault="005D7EA7" w:rsidP="005D7EA7">
      <w:pPr>
        <w:pStyle w:val="UZEITaB"/>
      </w:pPr>
      <w:r>
        <w:t xml:space="preserve"> </w:t>
      </w:r>
      <w:bookmarkStart w:id="428" w:name="_Toc94181620"/>
      <w:r>
        <w:t>V</w:t>
      </w:r>
      <w:r w:rsidR="003E0F58" w:rsidRPr="007C705C">
        <w:t>yčíslení žádostí titulů na travní porosty v ekologickém zemědělství</w:t>
      </w:r>
      <w:r w:rsidR="003E0F58" w:rsidRPr="007C705C">
        <w:rPr>
          <w:noProof/>
        </w:rPr>
        <w:t xml:space="preserve"> (2014-2017)</w:t>
      </w:r>
      <w:bookmarkEnd w:id="428"/>
    </w:p>
    <w:tbl>
      <w:tblPr>
        <w:tblW w:w="9866" w:type="dxa"/>
        <w:tblInd w:w="2" w:type="dxa"/>
        <w:tblCellMar>
          <w:left w:w="0" w:type="dxa"/>
          <w:right w:w="0" w:type="dxa"/>
        </w:tblCellMar>
        <w:tblLook w:val="04A0" w:firstRow="1" w:lastRow="0" w:firstColumn="1" w:lastColumn="0" w:noHBand="0" w:noVBand="1"/>
      </w:tblPr>
      <w:tblGrid>
        <w:gridCol w:w="2258"/>
        <w:gridCol w:w="1263"/>
        <w:gridCol w:w="1951"/>
        <w:gridCol w:w="1276"/>
        <w:gridCol w:w="1701"/>
        <w:gridCol w:w="1417"/>
      </w:tblGrid>
      <w:tr w:rsidR="003E0F58" w:rsidRPr="007C705C" w14:paraId="60F8ED4B" w14:textId="77777777" w:rsidTr="004D2249">
        <w:trPr>
          <w:trHeight w:val="315"/>
        </w:trPr>
        <w:tc>
          <w:tcPr>
            <w:tcW w:w="2258" w:type="dxa"/>
            <w:tcBorders>
              <w:top w:val="single" w:sz="8" w:space="0" w:color="auto"/>
              <w:left w:val="single" w:sz="8" w:space="0" w:color="auto"/>
              <w:bottom w:val="single" w:sz="8" w:space="0" w:color="AEAEAE"/>
              <w:right w:val="single" w:sz="8" w:space="0" w:color="AEAEAE"/>
            </w:tcBorders>
            <w:shd w:val="clear" w:color="auto" w:fill="C6C4C4"/>
            <w:tcMar>
              <w:top w:w="0" w:type="dxa"/>
              <w:left w:w="70" w:type="dxa"/>
              <w:bottom w:w="0" w:type="dxa"/>
              <w:right w:w="70" w:type="dxa"/>
            </w:tcMar>
            <w:vAlign w:val="center"/>
            <w:hideMark/>
          </w:tcPr>
          <w:p w14:paraId="02AEC4AF" w14:textId="77777777" w:rsidR="003E0F58" w:rsidRPr="007C705C" w:rsidRDefault="003E0F58" w:rsidP="004D2249">
            <w:pPr>
              <w:jc w:val="center"/>
              <w:rPr>
                <w:rFonts w:eastAsia="Calibri" w:cs="Times New Roman"/>
                <w:color w:val="000000"/>
                <w:sz w:val="20"/>
                <w:szCs w:val="20"/>
                <w:lang w:val="cs-CZ"/>
              </w:rPr>
            </w:pPr>
            <w:r w:rsidRPr="007C705C">
              <w:rPr>
                <w:rFonts w:eastAsia="Calibri" w:cs="Times New Roman"/>
                <w:color w:val="000000"/>
                <w:sz w:val="20"/>
                <w:szCs w:val="20"/>
                <w:lang w:val="cs-CZ"/>
              </w:rPr>
              <w:t>Opatření</w:t>
            </w:r>
          </w:p>
        </w:tc>
        <w:tc>
          <w:tcPr>
            <w:tcW w:w="1263" w:type="dxa"/>
            <w:tcBorders>
              <w:top w:val="single" w:sz="8" w:space="0" w:color="auto"/>
              <w:left w:val="nil"/>
              <w:bottom w:val="single" w:sz="8" w:space="0" w:color="AEAEAE"/>
              <w:right w:val="single" w:sz="8" w:space="0" w:color="AEAEAE"/>
            </w:tcBorders>
            <w:shd w:val="clear" w:color="auto" w:fill="C6C4C4"/>
            <w:tcMar>
              <w:top w:w="0" w:type="dxa"/>
              <w:left w:w="70" w:type="dxa"/>
              <w:bottom w:w="0" w:type="dxa"/>
              <w:right w:w="70" w:type="dxa"/>
            </w:tcMar>
            <w:vAlign w:val="center"/>
            <w:hideMark/>
          </w:tcPr>
          <w:p w14:paraId="05BC1943" w14:textId="77777777" w:rsidR="003E0F58" w:rsidRPr="007C705C" w:rsidRDefault="003E0F58" w:rsidP="004D2249">
            <w:pPr>
              <w:jc w:val="center"/>
              <w:rPr>
                <w:rFonts w:eastAsia="Calibri" w:cs="Times New Roman"/>
                <w:color w:val="000000"/>
                <w:sz w:val="20"/>
                <w:szCs w:val="20"/>
                <w:lang w:val="cs-CZ"/>
              </w:rPr>
            </w:pPr>
            <w:r w:rsidRPr="007C705C">
              <w:rPr>
                <w:rFonts w:eastAsia="Calibri" w:cs="Times New Roman"/>
                <w:color w:val="000000"/>
                <w:sz w:val="20"/>
                <w:szCs w:val="20"/>
                <w:lang w:val="cs-CZ"/>
              </w:rPr>
              <w:t>Rok podání</w:t>
            </w:r>
          </w:p>
        </w:tc>
        <w:tc>
          <w:tcPr>
            <w:tcW w:w="1951" w:type="dxa"/>
            <w:tcBorders>
              <w:top w:val="single" w:sz="8" w:space="0" w:color="auto"/>
              <w:left w:val="nil"/>
              <w:bottom w:val="single" w:sz="8" w:space="0" w:color="AEAEAE"/>
              <w:right w:val="single" w:sz="8" w:space="0" w:color="AEAEAE"/>
            </w:tcBorders>
            <w:shd w:val="clear" w:color="auto" w:fill="C6C4C4"/>
            <w:tcMar>
              <w:top w:w="0" w:type="dxa"/>
              <w:left w:w="70" w:type="dxa"/>
              <w:bottom w:w="0" w:type="dxa"/>
              <w:right w:w="70" w:type="dxa"/>
            </w:tcMar>
            <w:vAlign w:val="center"/>
            <w:hideMark/>
          </w:tcPr>
          <w:p w14:paraId="1C21CED9" w14:textId="77777777" w:rsidR="003E0F58" w:rsidRPr="007C705C" w:rsidRDefault="003E0F58" w:rsidP="004D2249">
            <w:pPr>
              <w:jc w:val="center"/>
              <w:rPr>
                <w:rFonts w:eastAsia="Calibri" w:cs="Times New Roman"/>
                <w:color w:val="000000"/>
                <w:sz w:val="20"/>
                <w:szCs w:val="20"/>
                <w:lang w:val="cs-CZ"/>
              </w:rPr>
            </w:pPr>
            <w:r w:rsidRPr="007C705C">
              <w:rPr>
                <w:rFonts w:eastAsia="Calibri" w:cs="Times New Roman"/>
                <w:color w:val="000000"/>
                <w:sz w:val="20"/>
                <w:szCs w:val="20"/>
                <w:lang w:val="cs-CZ"/>
              </w:rPr>
              <w:t>titul/management</w:t>
            </w:r>
          </w:p>
        </w:tc>
        <w:tc>
          <w:tcPr>
            <w:tcW w:w="1276" w:type="dxa"/>
            <w:tcBorders>
              <w:top w:val="single" w:sz="8" w:space="0" w:color="auto"/>
              <w:left w:val="nil"/>
              <w:bottom w:val="nil"/>
              <w:right w:val="single" w:sz="8" w:space="0" w:color="AEAEAE"/>
            </w:tcBorders>
            <w:shd w:val="clear" w:color="auto" w:fill="FFF843"/>
            <w:tcMar>
              <w:top w:w="0" w:type="dxa"/>
              <w:left w:w="70" w:type="dxa"/>
              <w:bottom w:w="0" w:type="dxa"/>
              <w:right w:w="70" w:type="dxa"/>
            </w:tcMar>
            <w:vAlign w:val="center"/>
            <w:hideMark/>
          </w:tcPr>
          <w:p w14:paraId="58092B72" w14:textId="77777777" w:rsidR="003E0F58" w:rsidRPr="007C705C" w:rsidRDefault="003E0F58" w:rsidP="004D2249">
            <w:pPr>
              <w:jc w:val="center"/>
              <w:rPr>
                <w:rFonts w:eastAsia="Calibri" w:cs="Times New Roman"/>
                <w:color w:val="000000"/>
                <w:sz w:val="20"/>
                <w:szCs w:val="20"/>
                <w:lang w:val="cs-CZ"/>
              </w:rPr>
            </w:pPr>
            <w:r w:rsidRPr="007C705C">
              <w:rPr>
                <w:rFonts w:eastAsia="Calibri" w:cs="Times New Roman"/>
                <w:color w:val="000000"/>
                <w:sz w:val="20"/>
                <w:szCs w:val="20"/>
                <w:lang w:val="cs-CZ"/>
              </w:rPr>
              <w:t>Počet žádostí</w:t>
            </w:r>
          </w:p>
        </w:tc>
        <w:tc>
          <w:tcPr>
            <w:tcW w:w="1701" w:type="dxa"/>
            <w:tcBorders>
              <w:top w:val="single" w:sz="8" w:space="0" w:color="auto"/>
              <w:left w:val="nil"/>
              <w:bottom w:val="nil"/>
              <w:right w:val="single" w:sz="8" w:space="0" w:color="AEAEAE"/>
            </w:tcBorders>
            <w:shd w:val="clear" w:color="auto" w:fill="FFF843"/>
            <w:tcMar>
              <w:top w:w="0" w:type="dxa"/>
              <w:left w:w="70" w:type="dxa"/>
              <w:bottom w:w="0" w:type="dxa"/>
              <w:right w:w="70" w:type="dxa"/>
            </w:tcMar>
            <w:vAlign w:val="center"/>
            <w:hideMark/>
          </w:tcPr>
          <w:p w14:paraId="72D49016" w14:textId="77777777" w:rsidR="003E0F58" w:rsidRPr="007C705C" w:rsidRDefault="003E0F58" w:rsidP="004D2249">
            <w:pPr>
              <w:jc w:val="center"/>
              <w:rPr>
                <w:rFonts w:eastAsia="Calibri" w:cs="Times New Roman"/>
                <w:color w:val="000000"/>
                <w:sz w:val="20"/>
                <w:szCs w:val="20"/>
                <w:lang w:val="cs-CZ"/>
              </w:rPr>
            </w:pPr>
            <w:r w:rsidRPr="007C705C">
              <w:rPr>
                <w:rFonts w:eastAsia="Calibri" w:cs="Times New Roman"/>
                <w:color w:val="000000"/>
                <w:sz w:val="20"/>
                <w:szCs w:val="20"/>
                <w:lang w:val="cs-CZ"/>
              </w:rPr>
              <w:t>výměra – aktuální [ha]</w:t>
            </w:r>
          </w:p>
        </w:tc>
        <w:tc>
          <w:tcPr>
            <w:tcW w:w="1417" w:type="dxa"/>
            <w:tcBorders>
              <w:top w:val="single" w:sz="8" w:space="0" w:color="auto"/>
              <w:left w:val="nil"/>
              <w:bottom w:val="nil"/>
              <w:right w:val="single" w:sz="8" w:space="0" w:color="auto"/>
            </w:tcBorders>
            <w:shd w:val="clear" w:color="auto" w:fill="FFF843"/>
            <w:tcMar>
              <w:top w:w="0" w:type="dxa"/>
              <w:left w:w="70" w:type="dxa"/>
              <w:bottom w:w="0" w:type="dxa"/>
              <w:right w:w="70" w:type="dxa"/>
            </w:tcMar>
            <w:vAlign w:val="center"/>
            <w:hideMark/>
          </w:tcPr>
          <w:p w14:paraId="5FA89214" w14:textId="77777777" w:rsidR="003E0F58" w:rsidRPr="007C705C" w:rsidRDefault="003E0F58" w:rsidP="004D2249">
            <w:pPr>
              <w:jc w:val="center"/>
              <w:rPr>
                <w:rFonts w:eastAsia="Calibri" w:cs="Times New Roman"/>
                <w:color w:val="000000"/>
                <w:sz w:val="20"/>
                <w:szCs w:val="20"/>
                <w:lang w:val="cs-CZ"/>
              </w:rPr>
            </w:pPr>
            <w:r w:rsidRPr="007C705C">
              <w:rPr>
                <w:rFonts w:eastAsia="Calibri" w:cs="Times New Roman"/>
                <w:color w:val="000000"/>
                <w:sz w:val="20"/>
                <w:szCs w:val="20"/>
                <w:lang w:val="cs-CZ"/>
              </w:rPr>
              <w:t>Částka (CZK)</w:t>
            </w:r>
          </w:p>
        </w:tc>
      </w:tr>
      <w:tr w:rsidR="003E0F58" w:rsidRPr="007C705C" w14:paraId="5D49C0E7" w14:textId="77777777" w:rsidTr="004D2249">
        <w:trPr>
          <w:trHeight w:val="315"/>
        </w:trPr>
        <w:tc>
          <w:tcPr>
            <w:tcW w:w="2258" w:type="dxa"/>
            <w:tcBorders>
              <w:top w:val="nil"/>
              <w:left w:val="single" w:sz="8" w:space="0" w:color="auto"/>
              <w:bottom w:val="single" w:sz="8" w:space="0" w:color="AEAEAE"/>
              <w:right w:val="single" w:sz="8" w:space="0" w:color="AEAEAE"/>
            </w:tcBorders>
            <w:shd w:val="clear" w:color="auto" w:fill="C6C4C4"/>
            <w:tcMar>
              <w:top w:w="0" w:type="dxa"/>
              <w:left w:w="70" w:type="dxa"/>
              <w:bottom w:w="0" w:type="dxa"/>
              <w:right w:w="70" w:type="dxa"/>
            </w:tcMar>
            <w:vAlign w:val="center"/>
            <w:hideMark/>
          </w:tcPr>
          <w:p w14:paraId="48B442E4" w14:textId="77777777" w:rsidR="003E0F58" w:rsidRPr="007C705C" w:rsidRDefault="003E0F58" w:rsidP="004D2249">
            <w:pPr>
              <w:jc w:val="left"/>
              <w:rPr>
                <w:rFonts w:eastAsia="Calibri" w:cs="Times New Roman"/>
                <w:color w:val="000000"/>
                <w:sz w:val="20"/>
                <w:szCs w:val="20"/>
                <w:lang w:val="cs-CZ"/>
              </w:rPr>
            </w:pPr>
            <w:r w:rsidRPr="007C705C">
              <w:rPr>
                <w:rFonts w:eastAsia="Calibri" w:cs="Times New Roman"/>
                <w:color w:val="000000"/>
                <w:sz w:val="20"/>
                <w:szCs w:val="20"/>
                <w:lang w:val="cs-CZ"/>
              </w:rPr>
              <w:t>Ekologické zeměděl.</w:t>
            </w:r>
          </w:p>
        </w:tc>
        <w:tc>
          <w:tcPr>
            <w:tcW w:w="1263" w:type="dxa"/>
            <w:tcBorders>
              <w:top w:val="nil"/>
              <w:left w:val="nil"/>
              <w:bottom w:val="single" w:sz="8" w:space="0" w:color="AEAEAE"/>
              <w:right w:val="single" w:sz="8" w:space="0" w:color="AEAEAE"/>
            </w:tcBorders>
            <w:shd w:val="clear" w:color="auto" w:fill="C6C4C4"/>
            <w:tcMar>
              <w:top w:w="0" w:type="dxa"/>
              <w:left w:w="70" w:type="dxa"/>
              <w:bottom w:w="0" w:type="dxa"/>
              <w:right w:w="70" w:type="dxa"/>
            </w:tcMar>
            <w:vAlign w:val="bottom"/>
            <w:hideMark/>
          </w:tcPr>
          <w:p w14:paraId="46770D34" w14:textId="77777777" w:rsidR="003E0F58" w:rsidRPr="007C705C" w:rsidRDefault="003E0F58" w:rsidP="004D2249">
            <w:pPr>
              <w:jc w:val="right"/>
              <w:rPr>
                <w:rFonts w:eastAsia="Calibri" w:cs="Times New Roman"/>
                <w:color w:val="000000"/>
                <w:sz w:val="20"/>
                <w:szCs w:val="20"/>
                <w:lang w:val="cs-CZ"/>
              </w:rPr>
            </w:pPr>
            <w:r w:rsidRPr="007C705C">
              <w:rPr>
                <w:rFonts w:eastAsia="Calibri" w:cs="Times New Roman"/>
                <w:color w:val="000000"/>
                <w:sz w:val="20"/>
                <w:szCs w:val="20"/>
                <w:lang w:val="cs-CZ"/>
              </w:rPr>
              <w:t>2014</w:t>
            </w:r>
          </w:p>
        </w:tc>
        <w:tc>
          <w:tcPr>
            <w:tcW w:w="1951" w:type="dxa"/>
            <w:tcBorders>
              <w:top w:val="nil"/>
              <w:left w:val="nil"/>
              <w:bottom w:val="single" w:sz="8" w:space="0" w:color="AEAEAE"/>
              <w:right w:val="single" w:sz="8" w:space="0" w:color="AEAEAE"/>
            </w:tcBorders>
            <w:shd w:val="clear" w:color="auto" w:fill="C6C4C4"/>
            <w:tcMar>
              <w:top w:w="0" w:type="dxa"/>
              <w:left w:w="70" w:type="dxa"/>
              <w:bottom w:w="0" w:type="dxa"/>
              <w:right w:w="70" w:type="dxa"/>
            </w:tcMar>
            <w:vAlign w:val="center"/>
            <w:hideMark/>
          </w:tcPr>
          <w:p w14:paraId="60425EB4" w14:textId="77777777" w:rsidR="003E0F58" w:rsidRPr="007C705C" w:rsidRDefault="003E0F58" w:rsidP="004D2249">
            <w:pPr>
              <w:jc w:val="left"/>
              <w:rPr>
                <w:rFonts w:eastAsia="Calibri" w:cs="Times New Roman"/>
                <w:color w:val="000000"/>
                <w:sz w:val="20"/>
                <w:szCs w:val="20"/>
                <w:lang w:val="cs-CZ"/>
              </w:rPr>
            </w:pPr>
            <w:r w:rsidRPr="007C705C">
              <w:rPr>
                <w:rFonts w:eastAsia="Calibri" w:cs="Times New Roman"/>
                <w:color w:val="000000"/>
                <w:sz w:val="20"/>
                <w:szCs w:val="20"/>
                <w:lang w:val="cs-CZ"/>
              </w:rPr>
              <w:t>Travní porost (EZ)</w:t>
            </w:r>
          </w:p>
        </w:tc>
        <w:tc>
          <w:tcPr>
            <w:tcW w:w="1276"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6D37FEEC" w14:textId="77777777" w:rsidR="003E0F58" w:rsidRPr="007C705C" w:rsidRDefault="003E0F58" w:rsidP="004D2249">
            <w:pPr>
              <w:jc w:val="right"/>
              <w:rPr>
                <w:rFonts w:eastAsia="Calibri" w:cs="Times New Roman"/>
                <w:color w:val="000000"/>
                <w:sz w:val="20"/>
                <w:szCs w:val="20"/>
                <w:lang w:val="cs-CZ"/>
              </w:rPr>
            </w:pPr>
            <w:r w:rsidRPr="007C705C">
              <w:rPr>
                <w:rFonts w:eastAsia="Calibri" w:cs="Times New Roman"/>
                <w:color w:val="000000"/>
                <w:sz w:val="20"/>
                <w:szCs w:val="20"/>
                <w:lang w:val="cs-CZ"/>
              </w:rPr>
              <w:t>2 968</w:t>
            </w:r>
          </w:p>
        </w:tc>
        <w:tc>
          <w:tcPr>
            <w:tcW w:w="1701" w:type="dxa"/>
            <w:tcBorders>
              <w:top w:val="single" w:sz="8" w:space="0" w:color="auto"/>
              <w:left w:val="nil"/>
              <w:bottom w:val="single" w:sz="8" w:space="0" w:color="auto"/>
              <w:right w:val="single" w:sz="8" w:space="0" w:color="auto"/>
            </w:tcBorders>
            <w:noWrap/>
            <w:tcMar>
              <w:top w:w="0" w:type="dxa"/>
              <w:left w:w="70" w:type="dxa"/>
              <w:bottom w:w="0" w:type="dxa"/>
              <w:right w:w="70" w:type="dxa"/>
            </w:tcMar>
            <w:vAlign w:val="bottom"/>
            <w:hideMark/>
          </w:tcPr>
          <w:p w14:paraId="183B9448" w14:textId="77777777" w:rsidR="003E0F58" w:rsidRPr="007C705C" w:rsidRDefault="003E0F58" w:rsidP="004D2249">
            <w:pPr>
              <w:jc w:val="right"/>
              <w:rPr>
                <w:rFonts w:eastAsia="Calibri" w:cs="Times New Roman"/>
                <w:color w:val="000000"/>
                <w:sz w:val="20"/>
                <w:szCs w:val="20"/>
                <w:lang w:val="cs-CZ"/>
              </w:rPr>
            </w:pPr>
            <w:r w:rsidRPr="007C705C">
              <w:rPr>
                <w:rFonts w:eastAsia="Calibri" w:cs="Times New Roman"/>
                <w:color w:val="000000"/>
                <w:sz w:val="20"/>
                <w:szCs w:val="20"/>
                <w:lang w:val="cs-CZ"/>
              </w:rPr>
              <w:t>388 615</w:t>
            </w:r>
          </w:p>
        </w:tc>
        <w:tc>
          <w:tcPr>
            <w:tcW w:w="1417" w:type="dxa"/>
            <w:tcBorders>
              <w:top w:val="single" w:sz="8" w:space="0" w:color="auto"/>
              <w:left w:val="nil"/>
              <w:bottom w:val="single" w:sz="8" w:space="0" w:color="auto"/>
              <w:right w:val="single" w:sz="8" w:space="0" w:color="auto"/>
            </w:tcBorders>
            <w:noWrap/>
            <w:tcMar>
              <w:top w:w="0" w:type="dxa"/>
              <w:left w:w="70" w:type="dxa"/>
              <w:bottom w:w="0" w:type="dxa"/>
              <w:right w:w="70" w:type="dxa"/>
            </w:tcMar>
            <w:vAlign w:val="bottom"/>
            <w:hideMark/>
          </w:tcPr>
          <w:p w14:paraId="40B43B0A" w14:textId="77777777" w:rsidR="003E0F58" w:rsidRPr="007C705C" w:rsidRDefault="003E0F58" w:rsidP="004D2249">
            <w:pPr>
              <w:jc w:val="right"/>
              <w:rPr>
                <w:rFonts w:eastAsia="Calibri" w:cs="Times New Roman"/>
                <w:color w:val="000000"/>
                <w:sz w:val="20"/>
                <w:szCs w:val="20"/>
                <w:lang w:val="cs-CZ"/>
              </w:rPr>
            </w:pPr>
            <w:r w:rsidRPr="007C705C">
              <w:rPr>
                <w:rFonts w:eastAsia="Calibri" w:cs="Times New Roman"/>
                <w:color w:val="000000"/>
                <w:sz w:val="20"/>
                <w:szCs w:val="20"/>
                <w:lang w:val="cs-CZ"/>
              </w:rPr>
              <w:t>927 575 893</w:t>
            </w:r>
          </w:p>
        </w:tc>
      </w:tr>
      <w:tr w:rsidR="003E0F58" w:rsidRPr="007C705C" w14:paraId="497DCD0B" w14:textId="77777777" w:rsidTr="004D2249">
        <w:trPr>
          <w:trHeight w:val="315"/>
        </w:trPr>
        <w:tc>
          <w:tcPr>
            <w:tcW w:w="2258" w:type="dxa"/>
            <w:tcBorders>
              <w:top w:val="nil"/>
              <w:left w:val="single" w:sz="8" w:space="0" w:color="auto"/>
              <w:bottom w:val="single" w:sz="8" w:space="0" w:color="AEAEAE"/>
              <w:right w:val="single" w:sz="8" w:space="0" w:color="AEAEAE"/>
            </w:tcBorders>
            <w:shd w:val="clear" w:color="auto" w:fill="C6C4C4"/>
            <w:tcMar>
              <w:top w:w="0" w:type="dxa"/>
              <w:left w:w="70" w:type="dxa"/>
              <w:bottom w:w="0" w:type="dxa"/>
              <w:right w:w="70" w:type="dxa"/>
            </w:tcMar>
            <w:vAlign w:val="center"/>
            <w:hideMark/>
          </w:tcPr>
          <w:p w14:paraId="717A48B0" w14:textId="77777777" w:rsidR="003E0F58" w:rsidRPr="007C705C" w:rsidRDefault="003E0F58" w:rsidP="004D2249">
            <w:pPr>
              <w:jc w:val="left"/>
              <w:rPr>
                <w:rFonts w:eastAsia="Calibri" w:cs="Times New Roman"/>
                <w:color w:val="000000"/>
                <w:sz w:val="20"/>
                <w:szCs w:val="20"/>
                <w:lang w:val="cs-CZ"/>
              </w:rPr>
            </w:pPr>
            <w:r w:rsidRPr="007C705C">
              <w:rPr>
                <w:rFonts w:eastAsia="Calibri" w:cs="Times New Roman"/>
                <w:color w:val="000000"/>
                <w:sz w:val="20"/>
                <w:szCs w:val="20"/>
                <w:lang w:val="cs-CZ"/>
              </w:rPr>
              <w:t>Ekologické zeměděl.</w:t>
            </w:r>
          </w:p>
        </w:tc>
        <w:tc>
          <w:tcPr>
            <w:tcW w:w="1263" w:type="dxa"/>
            <w:tcBorders>
              <w:top w:val="nil"/>
              <w:left w:val="nil"/>
              <w:bottom w:val="single" w:sz="8" w:space="0" w:color="AEAEAE"/>
              <w:right w:val="single" w:sz="8" w:space="0" w:color="AEAEAE"/>
            </w:tcBorders>
            <w:shd w:val="clear" w:color="auto" w:fill="C6C4C4"/>
            <w:tcMar>
              <w:top w:w="0" w:type="dxa"/>
              <w:left w:w="70" w:type="dxa"/>
              <w:bottom w:w="0" w:type="dxa"/>
              <w:right w:w="70" w:type="dxa"/>
            </w:tcMar>
            <w:vAlign w:val="bottom"/>
            <w:hideMark/>
          </w:tcPr>
          <w:p w14:paraId="7B4381EB" w14:textId="77777777" w:rsidR="003E0F58" w:rsidRPr="007C705C" w:rsidRDefault="003E0F58" w:rsidP="004D2249">
            <w:pPr>
              <w:jc w:val="right"/>
              <w:rPr>
                <w:rFonts w:eastAsia="Calibri" w:cs="Times New Roman"/>
                <w:color w:val="000000"/>
                <w:sz w:val="20"/>
                <w:szCs w:val="20"/>
                <w:lang w:val="cs-CZ"/>
              </w:rPr>
            </w:pPr>
            <w:r w:rsidRPr="007C705C">
              <w:rPr>
                <w:rFonts w:eastAsia="Calibri" w:cs="Times New Roman"/>
                <w:color w:val="000000"/>
                <w:sz w:val="20"/>
                <w:szCs w:val="20"/>
                <w:lang w:val="cs-CZ"/>
              </w:rPr>
              <w:t>2015</w:t>
            </w:r>
          </w:p>
        </w:tc>
        <w:tc>
          <w:tcPr>
            <w:tcW w:w="1951" w:type="dxa"/>
            <w:tcBorders>
              <w:top w:val="nil"/>
              <w:left w:val="nil"/>
              <w:bottom w:val="single" w:sz="8" w:space="0" w:color="AEAEAE"/>
              <w:right w:val="single" w:sz="8" w:space="0" w:color="AEAEAE"/>
            </w:tcBorders>
            <w:shd w:val="clear" w:color="auto" w:fill="C6C4C4"/>
            <w:tcMar>
              <w:top w:w="0" w:type="dxa"/>
              <w:left w:w="70" w:type="dxa"/>
              <w:bottom w:w="0" w:type="dxa"/>
              <w:right w:w="70" w:type="dxa"/>
            </w:tcMar>
            <w:vAlign w:val="center"/>
            <w:hideMark/>
          </w:tcPr>
          <w:p w14:paraId="67DC097B" w14:textId="77777777" w:rsidR="003E0F58" w:rsidRPr="007C705C" w:rsidRDefault="003E0F58" w:rsidP="004D2249">
            <w:pPr>
              <w:jc w:val="left"/>
              <w:rPr>
                <w:rFonts w:eastAsia="Calibri" w:cs="Times New Roman"/>
                <w:color w:val="000000"/>
                <w:sz w:val="20"/>
                <w:szCs w:val="20"/>
                <w:lang w:val="cs-CZ"/>
              </w:rPr>
            </w:pPr>
            <w:r w:rsidRPr="007C705C">
              <w:rPr>
                <w:rFonts w:eastAsia="Calibri" w:cs="Times New Roman"/>
                <w:color w:val="000000"/>
                <w:sz w:val="20"/>
                <w:szCs w:val="20"/>
                <w:lang w:val="cs-CZ"/>
              </w:rPr>
              <w:t>Travní porost (EZ)</w:t>
            </w:r>
          </w:p>
        </w:tc>
        <w:tc>
          <w:tcPr>
            <w:tcW w:w="1276"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7F64B049" w14:textId="77777777" w:rsidR="003E0F58" w:rsidRPr="007C705C" w:rsidRDefault="003E0F58" w:rsidP="004D2249">
            <w:pPr>
              <w:jc w:val="right"/>
              <w:rPr>
                <w:rFonts w:eastAsia="Calibri" w:cs="Times New Roman"/>
                <w:color w:val="000000"/>
                <w:sz w:val="20"/>
                <w:szCs w:val="20"/>
                <w:lang w:val="cs-CZ"/>
              </w:rPr>
            </w:pPr>
            <w:r w:rsidRPr="007C705C">
              <w:rPr>
                <w:rFonts w:eastAsia="Calibri" w:cs="Times New Roman"/>
                <w:color w:val="000000"/>
                <w:sz w:val="20"/>
                <w:szCs w:val="20"/>
                <w:lang w:val="cs-CZ"/>
              </w:rPr>
              <w:t>4 764</w:t>
            </w:r>
          </w:p>
        </w:tc>
        <w:tc>
          <w:tcPr>
            <w:tcW w:w="170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4CBE358" w14:textId="77777777" w:rsidR="003E0F58" w:rsidRPr="007C705C" w:rsidRDefault="003E0F58" w:rsidP="004D2249">
            <w:pPr>
              <w:jc w:val="right"/>
              <w:rPr>
                <w:rFonts w:eastAsia="Calibri" w:cs="Times New Roman"/>
                <w:color w:val="000000"/>
                <w:sz w:val="20"/>
                <w:szCs w:val="20"/>
                <w:lang w:val="cs-CZ"/>
              </w:rPr>
            </w:pPr>
            <w:r w:rsidRPr="007C705C">
              <w:rPr>
                <w:rFonts w:eastAsia="Calibri" w:cs="Times New Roman"/>
                <w:color w:val="000000"/>
                <w:sz w:val="20"/>
                <w:szCs w:val="20"/>
                <w:lang w:val="cs-CZ"/>
              </w:rPr>
              <w:t>396 547</w:t>
            </w:r>
          </w:p>
        </w:tc>
        <w:tc>
          <w:tcPr>
            <w:tcW w:w="141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CDD8681" w14:textId="77777777" w:rsidR="003E0F58" w:rsidRPr="007C705C" w:rsidRDefault="003E0F58" w:rsidP="004D2249">
            <w:pPr>
              <w:jc w:val="right"/>
              <w:rPr>
                <w:rFonts w:eastAsia="Calibri" w:cs="Times New Roman"/>
                <w:color w:val="000000"/>
                <w:sz w:val="20"/>
                <w:szCs w:val="20"/>
                <w:lang w:val="cs-CZ"/>
              </w:rPr>
            </w:pPr>
            <w:r w:rsidRPr="007C705C">
              <w:rPr>
                <w:rFonts w:eastAsia="Calibri" w:cs="Times New Roman"/>
                <w:color w:val="000000"/>
                <w:sz w:val="20"/>
                <w:szCs w:val="20"/>
                <w:lang w:val="cs-CZ"/>
              </w:rPr>
              <w:t>924 664 715</w:t>
            </w:r>
          </w:p>
        </w:tc>
      </w:tr>
      <w:tr w:rsidR="003E0F58" w:rsidRPr="007C705C" w14:paraId="1E92A73F" w14:textId="77777777" w:rsidTr="004D2249">
        <w:trPr>
          <w:trHeight w:val="315"/>
        </w:trPr>
        <w:tc>
          <w:tcPr>
            <w:tcW w:w="2258" w:type="dxa"/>
            <w:tcBorders>
              <w:top w:val="nil"/>
              <w:left w:val="single" w:sz="8" w:space="0" w:color="auto"/>
              <w:bottom w:val="single" w:sz="8" w:space="0" w:color="AEAEAE"/>
              <w:right w:val="single" w:sz="8" w:space="0" w:color="AEAEAE"/>
            </w:tcBorders>
            <w:shd w:val="clear" w:color="auto" w:fill="C6C4C4"/>
            <w:tcMar>
              <w:top w:w="0" w:type="dxa"/>
              <w:left w:w="70" w:type="dxa"/>
              <w:bottom w:w="0" w:type="dxa"/>
              <w:right w:w="70" w:type="dxa"/>
            </w:tcMar>
            <w:vAlign w:val="center"/>
            <w:hideMark/>
          </w:tcPr>
          <w:p w14:paraId="7A2FF217" w14:textId="77777777" w:rsidR="003E0F58" w:rsidRPr="007C705C" w:rsidRDefault="003E0F58" w:rsidP="004D2249">
            <w:pPr>
              <w:jc w:val="left"/>
              <w:rPr>
                <w:rFonts w:eastAsia="Calibri" w:cs="Times New Roman"/>
                <w:color w:val="000000"/>
                <w:sz w:val="20"/>
                <w:szCs w:val="20"/>
                <w:lang w:val="cs-CZ"/>
              </w:rPr>
            </w:pPr>
            <w:r w:rsidRPr="007C705C">
              <w:rPr>
                <w:rFonts w:eastAsia="Calibri" w:cs="Times New Roman"/>
                <w:color w:val="000000"/>
                <w:sz w:val="20"/>
                <w:szCs w:val="20"/>
                <w:lang w:val="cs-CZ"/>
              </w:rPr>
              <w:t>Ekologické zeměděl.</w:t>
            </w:r>
          </w:p>
        </w:tc>
        <w:tc>
          <w:tcPr>
            <w:tcW w:w="1263" w:type="dxa"/>
            <w:tcBorders>
              <w:top w:val="nil"/>
              <w:left w:val="nil"/>
              <w:bottom w:val="single" w:sz="8" w:space="0" w:color="AEAEAE"/>
              <w:right w:val="single" w:sz="8" w:space="0" w:color="AEAEAE"/>
            </w:tcBorders>
            <w:shd w:val="clear" w:color="auto" w:fill="C6C4C4"/>
            <w:tcMar>
              <w:top w:w="0" w:type="dxa"/>
              <w:left w:w="70" w:type="dxa"/>
              <w:bottom w:w="0" w:type="dxa"/>
              <w:right w:w="70" w:type="dxa"/>
            </w:tcMar>
            <w:vAlign w:val="bottom"/>
            <w:hideMark/>
          </w:tcPr>
          <w:p w14:paraId="1C67470E" w14:textId="77777777" w:rsidR="003E0F58" w:rsidRPr="007C705C" w:rsidRDefault="003E0F58" w:rsidP="004D2249">
            <w:pPr>
              <w:jc w:val="right"/>
              <w:rPr>
                <w:rFonts w:eastAsia="Calibri" w:cs="Times New Roman"/>
                <w:color w:val="000000"/>
                <w:sz w:val="20"/>
                <w:szCs w:val="20"/>
                <w:lang w:val="cs-CZ"/>
              </w:rPr>
            </w:pPr>
            <w:r w:rsidRPr="007C705C">
              <w:rPr>
                <w:rFonts w:eastAsia="Calibri" w:cs="Times New Roman"/>
                <w:color w:val="000000"/>
                <w:sz w:val="20"/>
                <w:szCs w:val="20"/>
                <w:lang w:val="cs-CZ"/>
              </w:rPr>
              <w:t>2016</w:t>
            </w:r>
          </w:p>
        </w:tc>
        <w:tc>
          <w:tcPr>
            <w:tcW w:w="1951" w:type="dxa"/>
            <w:tcBorders>
              <w:top w:val="nil"/>
              <w:left w:val="nil"/>
              <w:bottom w:val="single" w:sz="8" w:space="0" w:color="AEAEAE"/>
              <w:right w:val="single" w:sz="8" w:space="0" w:color="AEAEAE"/>
            </w:tcBorders>
            <w:shd w:val="clear" w:color="auto" w:fill="C6C4C4"/>
            <w:tcMar>
              <w:top w:w="0" w:type="dxa"/>
              <w:left w:w="70" w:type="dxa"/>
              <w:bottom w:w="0" w:type="dxa"/>
              <w:right w:w="70" w:type="dxa"/>
            </w:tcMar>
            <w:vAlign w:val="center"/>
            <w:hideMark/>
          </w:tcPr>
          <w:p w14:paraId="411DB0BD" w14:textId="77777777" w:rsidR="003E0F58" w:rsidRPr="007C705C" w:rsidRDefault="003E0F58" w:rsidP="004D2249">
            <w:pPr>
              <w:jc w:val="left"/>
              <w:rPr>
                <w:rFonts w:eastAsia="Calibri" w:cs="Times New Roman"/>
                <w:color w:val="000000"/>
                <w:sz w:val="20"/>
                <w:szCs w:val="20"/>
                <w:lang w:val="cs-CZ"/>
              </w:rPr>
            </w:pPr>
            <w:r w:rsidRPr="007C705C">
              <w:rPr>
                <w:rFonts w:eastAsia="Calibri" w:cs="Times New Roman"/>
                <w:color w:val="000000"/>
                <w:sz w:val="20"/>
                <w:szCs w:val="20"/>
                <w:lang w:val="cs-CZ"/>
              </w:rPr>
              <w:t>Travní porost (EZ)</w:t>
            </w:r>
          </w:p>
        </w:tc>
        <w:tc>
          <w:tcPr>
            <w:tcW w:w="1276"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2B121588" w14:textId="77777777" w:rsidR="003E0F58" w:rsidRPr="007C705C" w:rsidRDefault="003E0F58" w:rsidP="004D2249">
            <w:pPr>
              <w:jc w:val="right"/>
              <w:rPr>
                <w:rFonts w:eastAsia="Calibri" w:cs="Times New Roman"/>
                <w:color w:val="000000"/>
                <w:sz w:val="20"/>
                <w:szCs w:val="20"/>
                <w:lang w:val="cs-CZ"/>
              </w:rPr>
            </w:pPr>
            <w:r w:rsidRPr="007C705C">
              <w:rPr>
                <w:rFonts w:eastAsia="Calibri" w:cs="Times New Roman"/>
                <w:color w:val="000000"/>
                <w:sz w:val="20"/>
                <w:szCs w:val="20"/>
                <w:lang w:val="cs-CZ"/>
              </w:rPr>
              <w:t>5 071</w:t>
            </w:r>
          </w:p>
        </w:tc>
        <w:tc>
          <w:tcPr>
            <w:tcW w:w="170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FD0D832" w14:textId="77777777" w:rsidR="003E0F58" w:rsidRPr="007C705C" w:rsidRDefault="003E0F58" w:rsidP="004D2249">
            <w:pPr>
              <w:jc w:val="right"/>
              <w:rPr>
                <w:rFonts w:eastAsia="Calibri" w:cs="Times New Roman"/>
                <w:color w:val="000000"/>
                <w:sz w:val="20"/>
                <w:szCs w:val="20"/>
                <w:lang w:val="cs-CZ"/>
              </w:rPr>
            </w:pPr>
            <w:r w:rsidRPr="007C705C">
              <w:rPr>
                <w:rFonts w:eastAsia="Calibri" w:cs="Times New Roman"/>
                <w:color w:val="000000"/>
                <w:sz w:val="20"/>
                <w:szCs w:val="20"/>
                <w:lang w:val="cs-CZ"/>
              </w:rPr>
              <w:t>404 800</w:t>
            </w:r>
          </w:p>
        </w:tc>
        <w:tc>
          <w:tcPr>
            <w:tcW w:w="141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A02F58B" w14:textId="77777777" w:rsidR="003E0F58" w:rsidRPr="007C705C" w:rsidRDefault="003E0F58" w:rsidP="004D2249">
            <w:pPr>
              <w:jc w:val="right"/>
              <w:rPr>
                <w:rFonts w:eastAsia="Calibri" w:cs="Times New Roman"/>
                <w:color w:val="000000"/>
                <w:sz w:val="20"/>
                <w:szCs w:val="20"/>
                <w:lang w:val="cs-CZ"/>
              </w:rPr>
            </w:pPr>
            <w:r w:rsidRPr="007C705C">
              <w:rPr>
                <w:rFonts w:eastAsia="Calibri" w:cs="Times New Roman"/>
                <w:color w:val="000000"/>
                <w:sz w:val="20"/>
                <w:szCs w:val="20"/>
                <w:lang w:val="cs-CZ"/>
              </w:rPr>
              <w:t>900 352 186</w:t>
            </w:r>
          </w:p>
        </w:tc>
      </w:tr>
      <w:tr w:rsidR="003E0F58" w:rsidRPr="007C705C" w14:paraId="6D1ADD01" w14:textId="77777777" w:rsidTr="004D2249">
        <w:trPr>
          <w:trHeight w:val="315"/>
        </w:trPr>
        <w:tc>
          <w:tcPr>
            <w:tcW w:w="2258" w:type="dxa"/>
            <w:tcBorders>
              <w:top w:val="nil"/>
              <w:left w:val="single" w:sz="8" w:space="0" w:color="auto"/>
              <w:bottom w:val="single" w:sz="8" w:space="0" w:color="auto"/>
              <w:right w:val="single" w:sz="8" w:space="0" w:color="AEAEAE"/>
            </w:tcBorders>
            <w:shd w:val="clear" w:color="auto" w:fill="C6C4C4"/>
            <w:tcMar>
              <w:top w:w="0" w:type="dxa"/>
              <w:left w:w="70" w:type="dxa"/>
              <w:bottom w:w="0" w:type="dxa"/>
              <w:right w:w="70" w:type="dxa"/>
            </w:tcMar>
            <w:vAlign w:val="center"/>
            <w:hideMark/>
          </w:tcPr>
          <w:p w14:paraId="7B26D5E1" w14:textId="77777777" w:rsidR="003E0F58" w:rsidRPr="007C705C" w:rsidRDefault="003E0F58" w:rsidP="004D2249">
            <w:pPr>
              <w:jc w:val="left"/>
              <w:rPr>
                <w:rFonts w:eastAsia="Calibri" w:cs="Times New Roman"/>
                <w:color w:val="000000"/>
                <w:sz w:val="20"/>
                <w:szCs w:val="20"/>
                <w:lang w:val="cs-CZ"/>
              </w:rPr>
            </w:pPr>
            <w:r w:rsidRPr="007C705C">
              <w:rPr>
                <w:rFonts w:eastAsia="Calibri" w:cs="Times New Roman"/>
                <w:color w:val="000000"/>
                <w:sz w:val="20"/>
                <w:szCs w:val="20"/>
                <w:lang w:val="cs-CZ"/>
              </w:rPr>
              <w:t>Ekologické zeměděl.</w:t>
            </w:r>
          </w:p>
        </w:tc>
        <w:tc>
          <w:tcPr>
            <w:tcW w:w="1263" w:type="dxa"/>
            <w:tcBorders>
              <w:top w:val="nil"/>
              <w:left w:val="nil"/>
              <w:bottom w:val="single" w:sz="8" w:space="0" w:color="auto"/>
              <w:right w:val="single" w:sz="8" w:space="0" w:color="AEAEAE"/>
            </w:tcBorders>
            <w:shd w:val="clear" w:color="auto" w:fill="C6C4C4"/>
            <w:tcMar>
              <w:top w:w="0" w:type="dxa"/>
              <w:left w:w="70" w:type="dxa"/>
              <w:bottom w:w="0" w:type="dxa"/>
              <w:right w:w="70" w:type="dxa"/>
            </w:tcMar>
            <w:vAlign w:val="bottom"/>
            <w:hideMark/>
          </w:tcPr>
          <w:p w14:paraId="1BE80935" w14:textId="77777777" w:rsidR="003E0F58" w:rsidRPr="007C705C" w:rsidRDefault="003E0F58" w:rsidP="004D2249">
            <w:pPr>
              <w:jc w:val="right"/>
              <w:rPr>
                <w:rFonts w:eastAsia="Calibri" w:cs="Times New Roman"/>
                <w:color w:val="000000"/>
                <w:sz w:val="20"/>
                <w:szCs w:val="20"/>
                <w:lang w:val="cs-CZ"/>
              </w:rPr>
            </w:pPr>
            <w:r w:rsidRPr="007C705C">
              <w:rPr>
                <w:rFonts w:eastAsia="Calibri" w:cs="Times New Roman"/>
                <w:color w:val="000000"/>
                <w:sz w:val="20"/>
                <w:szCs w:val="20"/>
                <w:lang w:val="cs-CZ"/>
              </w:rPr>
              <w:t>2017</w:t>
            </w:r>
          </w:p>
        </w:tc>
        <w:tc>
          <w:tcPr>
            <w:tcW w:w="1951" w:type="dxa"/>
            <w:tcBorders>
              <w:top w:val="nil"/>
              <w:left w:val="nil"/>
              <w:bottom w:val="single" w:sz="8" w:space="0" w:color="auto"/>
              <w:right w:val="single" w:sz="8" w:space="0" w:color="AEAEAE"/>
            </w:tcBorders>
            <w:shd w:val="clear" w:color="auto" w:fill="C6C4C4"/>
            <w:tcMar>
              <w:top w:w="0" w:type="dxa"/>
              <w:left w:w="70" w:type="dxa"/>
              <w:bottom w:w="0" w:type="dxa"/>
              <w:right w:w="70" w:type="dxa"/>
            </w:tcMar>
            <w:vAlign w:val="center"/>
            <w:hideMark/>
          </w:tcPr>
          <w:p w14:paraId="2FB60275" w14:textId="77777777" w:rsidR="003E0F58" w:rsidRPr="007C705C" w:rsidRDefault="003E0F58" w:rsidP="004D2249">
            <w:pPr>
              <w:jc w:val="left"/>
              <w:rPr>
                <w:rFonts w:eastAsia="Calibri" w:cs="Times New Roman"/>
                <w:color w:val="000000"/>
                <w:sz w:val="20"/>
                <w:szCs w:val="20"/>
                <w:lang w:val="cs-CZ"/>
              </w:rPr>
            </w:pPr>
            <w:r w:rsidRPr="007C705C">
              <w:rPr>
                <w:rFonts w:eastAsia="Calibri" w:cs="Times New Roman"/>
                <w:color w:val="000000"/>
                <w:sz w:val="20"/>
                <w:szCs w:val="20"/>
                <w:lang w:val="cs-CZ"/>
              </w:rPr>
              <w:t>Travní porost (EZ)</w:t>
            </w:r>
          </w:p>
        </w:tc>
        <w:tc>
          <w:tcPr>
            <w:tcW w:w="1276"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748911ED" w14:textId="77777777" w:rsidR="003E0F58" w:rsidRPr="007C705C" w:rsidRDefault="003E0F58" w:rsidP="004D2249">
            <w:pPr>
              <w:jc w:val="right"/>
              <w:rPr>
                <w:rFonts w:eastAsia="Calibri" w:cs="Times New Roman"/>
                <w:color w:val="000000"/>
                <w:sz w:val="20"/>
                <w:szCs w:val="20"/>
                <w:lang w:val="cs-CZ"/>
              </w:rPr>
            </w:pPr>
            <w:r w:rsidRPr="007C705C">
              <w:rPr>
                <w:rFonts w:eastAsia="Calibri" w:cs="Times New Roman"/>
                <w:color w:val="000000"/>
                <w:sz w:val="20"/>
                <w:szCs w:val="20"/>
                <w:lang w:val="cs-CZ"/>
              </w:rPr>
              <w:t>4 987</w:t>
            </w:r>
          </w:p>
        </w:tc>
        <w:tc>
          <w:tcPr>
            <w:tcW w:w="170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9819F9E" w14:textId="77777777" w:rsidR="003E0F58" w:rsidRPr="007C705C" w:rsidRDefault="003E0F58" w:rsidP="004D2249">
            <w:pPr>
              <w:jc w:val="right"/>
              <w:rPr>
                <w:rFonts w:eastAsia="Calibri" w:cs="Times New Roman"/>
                <w:color w:val="000000"/>
                <w:sz w:val="20"/>
                <w:szCs w:val="20"/>
                <w:lang w:val="cs-CZ"/>
              </w:rPr>
            </w:pPr>
            <w:r w:rsidRPr="007C705C">
              <w:rPr>
                <w:rFonts w:eastAsia="Calibri" w:cs="Times New Roman"/>
                <w:color w:val="000000"/>
                <w:sz w:val="20"/>
                <w:szCs w:val="20"/>
                <w:lang w:val="cs-CZ"/>
              </w:rPr>
              <w:t>405 343</w:t>
            </w:r>
          </w:p>
        </w:tc>
        <w:tc>
          <w:tcPr>
            <w:tcW w:w="141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CD5473E" w14:textId="77777777" w:rsidR="003E0F58" w:rsidRPr="007C705C" w:rsidRDefault="003E0F58" w:rsidP="004D2249">
            <w:pPr>
              <w:jc w:val="right"/>
              <w:rPr>
                <w:rFonts w:eastAsia="Calibri" w:cs="Times New Roman"/>
                <w:color w:val="000000"/>
                <w:sz w:val="20"/>
                <w:szCs w:val="20"/>
                <w:lang w:val="cs-CZ"/>
              </w:rPr>
            </w:pPr>
            <w:r w:rsidRPr="007C705C">
              <w:rPr>
                <w:rFonts w:eastAsia="Calibri" w:cs="Times New Roman"/>
                <w:color w:val="000000"/>
                <w:sz w:val="20"/>
                <w:szCs w:val="20"/>
                <w:lang w:val="cs-CZ"/>
              </w:rPr>
              <w:t>901 519 413</w:t>
            </w:r>
          </w:p>
        </w:tc>
      </w:tr>
    </w:tbl>
    <w:p w14:paraId="3A9D5424" w14:textId="3A82C5F4" w:rsidR="003E0F58" w:rsidRPr="007C705C" w:rsidRDefault="003E0F58" w:rsidP="005D7EA7">
      <w:pPr>
        <w:pStyle w:val="UZEIZdroj"/>
      </w:pPr>
      <w:r w:rsidRPr="007C705C">
        <w:t>Pozn.: stav k 29.</w:t>
      </w:r>
      <w:r w:rsidR="00F075AF">
        <w:t xml:space="preserve"> </w:t>
      </w:r>
      <w:r w:rsidRPr="007C705C">
        <w:t>6.</w:t>
      </w:r>
      <w:r w:rsidR="00F075AF">
        <w:t xml:space="preserve"> </w:t>
      </w:r>
      <w:r w:rsidRPr="007C705C">
        <w:t>2018</w:t>
      </w:r>
    </w:p>
    <w:p w14:paraId="40B1CEC2" w14:textId="77777777" w:rsidR="003E0F58" w:rsidRPr="007C705C" w:rsidRDefault="003E0F58" w:rsidP="005D7EA7">
      <w:pPr>
        <w:pStyle w:val="UZEIZdroj"/>
      </w:pPr>
      <w:r w:rsidRPr="007C705C">
        <w:t>Zdroj: Oddělení monitoringu a hodnocení environmentálních podpor PRV (MZe)</w:t>
      </w:r>
    </w:p>
    <w:p w14:paraId="0055AE9D" w14:textId="77777777" w:rsidR="003E0F58" w:rsidRPr="007C705C" w:rsidRDefault="003E0F58" w:rsidP="003E0F58">
      <w:pPr>
        <w:jc w:val="center"/>
        <w:rPr>
          <w:rFonts w:cs="Times New Roman"/>
          <w:sz w:val="20"/>
          <w:lang w:val="cs-CZ"/>
        </w:rPr>
      </w:pPr>
    </w:p>
    <w:p w14:paraId="7218711C" w14:textId="3486DC58" w:rsidR="003E0F58" w:rsidRPr="007C705C" w:rsidRDefault="003E0F58" w:rsidP="005D7EA7">
      <w:pPr>
        <w:pStyle w:val="UZEINormaln"/>
        <w:rPr>
          <w:rFonts w:eastAsiaTheme="minorEastAsia"/>
        </w:rPr>
      </w:pPr>
      <w:r w:rsidRPr="007C705C">
        <w:rPr>
          <w:rFonts w:eastAsiaTheme="minorEastAsia"/>
        </w:rPr>
        <w:t>K PO 2A (Průběžná hodnotící zpráva Naviga4, 31.</w:t>
      </w:r>
      <w:r w:rsidR="00F075AF">
        <w:rPr>
          <w:rFonts w:eastAsiaTheme="minorEastAsia"/>
        </w:rPr>
        <w:t xml:space="preserve"> </w:t>
      </w:r>
      <w:r w:rsidRPr="007C705C">
        <w:rPr>
          <w:rFonts w:eastAsiaTheme="minorEastAsia"/>
        </w:rPr>
        <w:t>12.</w:t>
      </w:r>
      <w:r w:rsidR="00F075AF">
        <w:rPr>
          <w:rFonts w:eastAsiaTheme="minorEastAsia"/>
        </w:rPr>
        <w:t xml:space="preserve"> </w:t>
      </w:r>
      <w:r w:rsidRPr="007C705C">
        <w:rPr>
          <w:rFonts w:eastAsiaTheme="minorEastAsia"/>
        </w:rPr>
        <w:t>2017): U operace 4.1.1 Investice do zemědělských podniků byly proplaceny operace představující 15,4 % dané alokace, závazkováno bylo nicméně již 58 % alokace. U další operace s hlavním efektem, 4.3.1 Pozemkové úpravy, bylo k 31. 12. 2017 proplaceno 3,1 % dané alokace, závazkované projekty činí 31,9 % alokace. Bylo podáno 179 Žádostí o dotaci, což představuje zhruba třetinu cílové hodnoty podpořených operací. V roce 2016 bylo zaregistrováno 58 ŽoD, v roce 2017 jich bylo 121. Implementační pokrok operace 4.3.1 Pozemkové úpravy, signalizuje proti předpokladu objemově větší projekty, oproti minulému období došlo mimo nárůstu realizovaných projektů také k nárůstu závazkovaných projektů. Je tedy zřejmé, že implementace operace spíše akceleruje, než zpomaluje. Pokud tento vzrůstající trend bude pokračovat, je pravděpodobné, že dojde k naplnění cílových hodnot v oblasti alokace prostředků, nicméně vzhledem k současnému trendu patrně nedojde k naplnění věcných indikátorů s nejnižším implementačním pokrokem – výměra protierozních opatření a ekologických opatření. U operací 16.1.1, 16.2.1 a 16.3.1 nebyl k 31. 12. 2017 proplacen žádný projekt.</w:t>
      </w:r>
    </w:p>
    <w:p w14:paraId="2EB8223B" w14:textId="5B04A2E5" w:rsidR="003E0F58" w:rsidRPr="007C705C" w:rsidRDefault="003E0F58" w:rsidP="005D7EA7">
      <w:pPr>
        <w:pStyle w:val="UZEINormaln"/>
        <w:rPr>
          <w:rFonts w:eastAsiaTheme="minorEastAsia"/>
        </w:rPr>
      </w:pPr>
      <w:r w:rsidRPr="007C705C">
        <w:rPr>
          <w:rFonts w:eastAsiaTheme="minorEastAsia"/>
        </w:rPr>
        <w:t>K PO 2C (Průběžná hodnotící zpráva Naviga4, 31.</w:t>
      </w:r>
      <w:r w:rsidR="00F075AF">
        <w:rPr>
          <w:rFonts w:eastAsiaTheme="minorEastAsia"/>
        </w:rPr>
        <w:t xml:space="preserve"> </w:t>
      </w:r>
      <w:r w:rsidRPr="007C705C">
        <w:rPr>
          <w:rFonts w:eastAsiaTheme="minorEastAsia"/>
        </w:rPr>
        <w:t>12.</w:t>
      </w:r>
      <w:r w:rsidR="00F075AF">
        <w:rPr>
          <w:rFonts w:eastAsiaTheme="minorEastAsia"/>
        </w:rPr>
        <w:t xml:space="preserve"> </w:t>
      </w:r>
      <w:r w:rsidRPr="007C705C">
        <w:rPr>
          <w:rFonts w:eastAsiaTheme="minorEastAsia"/>
        </w:rPr>
        <w:t>2017): V rámci operace 4.3.2 bylo k 31. 12. 2017 úspěšně dokončeno a proplaceno 77 projektů, zaměřených na rekonstrukce a/nebo budování lesních cest za účelem zvýšit jejich hustotu a zlepšit celkovou lesnickou infrastrukturu. Prostřednictvím realizovaných projektů došlo k vybudování 41,3 km lesních cest, což činí 5 % cílové hodnoty Indikátoru 94302 - Celková délka lesních cest (km). U operace 8.6.1 bylo dosud zaregistrováno celkem 1 203 žádostí o dotaci. K 31. 12. 2017 bylo závazkováno 536 žádostí (24,5 % cílové hodnoty). Proplaceno a úspěšně dokončeno bylo 205 projektů (tj. 9,4 % cílové hodnoty podpořených operací, což je zhruba dvojnásobný nárůst oproti stavu k 30. 6. 2017) o celkové výši veřejných výdajů 5 175 439 EUR (17,8 % cílové hodnoty). Těchto 205 zrealizovaných a proplacených projektů pocházelo od 192 subjektů. U operace 8.6.2 bylo k 31. 12. 2017 zaregistrováno 201 žádostí o dotaci s celkovou požadovanou výší podpory 9 421 726 EUR, což je téměř čtyřnásobné množství alokace na danou operaci. Schváleno je 42 projektů a závazkováno je 39 projektů (100 % cílové hodnoty) o celkové výši veřejných výdajů 2 409 272 EUR (102 % cílové hodnoty), úspěšně dokončeno a proplaceno bylo 13 projektů v celkové výši 665 329 EUR, což představuje naplnění cílové hodnoty z 26,6 %. Realizované projekty vytvořily 28 nových pracovních míst.</w:t>
      </w:r>
    </w:p>
    <w:p w14:paraId="6905F83D" w14:textId="77777777" w:rsidR="003E0F58" w:rsidRPr="007C705C" w:rsidRDefault="003E0F58" w:rsidP="005D7EA7">
      <w:pPr>
        <w:pStyle w:val="UZEINormaln"/>
        <w:rPr>
          <w:rFonts w:eastAsiaTheme="minorEastAsia"/>
        </w:rPr>
      </w:pPr>
      <w:r w:rsidRPr="007C705C">
        <w:rPr>
          <w:rFonts w:eastAsiaTheme="minorEastAsia"/>
        </w:rPr>
        <w:t xml:space="preserve">K PO 4B (Průběžné hodnocení za 1. pololetí 2017, Naviga4): V rámci závazkovaných projektů operace 8.4.2, u nichž je očekáván hlavní příspěvek k naplňování PO 4B, by mělo dojít k úpravě </w:t>
      </w:r>
      <w:r w:rsidRPr="007C705C">
        <w:rPr>
          <w:rFonts w:eastAsiaTheme="minorEastAsia"/>
        </w:rPr>
        <w:lastRenderedPageBreak/>
        <w:t xml:space="preserve">vodních toků v lesních oblastech, které byly poškozeny v důsledku povodní a přívalových dešťů, a to na celkové délce toku 1,89 km. Díky zlepšení průtočnosti koryt (pročištěním částí daných vodních toků), zlepšení kapacity propustků či obnovení odvodňovacích příkopů na upravovaných úsecích vodních toků by tyto intervence měly přispět k lepšímu odvodu dešťové vody či ke snížení rizika ničení vodních cest i okolních pozemků v důsledku vyšších průtoků při povodňových situacích. Uvedené efekty lze očekávat na ploše 44,7 ha lesních pozemků (pozemků určených k plnění funkcí lesa, PUFPL). V rámci operace bylo doposud schváleno jen 5 projektů, další 3 projekty jsou ve stavu doporučených. U ekologického zemědělství postup implementace opatření k 30. 6. 2017 poukazuje na průběžné zvyšování počtu zemědělců zapojených do PRV, kteří hospodaří ve standardním režimu ekologického zemědělství, a zároveň na nárůst počtu zemědělců, kteří se nově rozhodli hospodařit na veškeré zemědělské půdě dle principů ekologického zemědělství. Tento trend lez hodnotit pozitivně vzhledem s ohledem na pozitivní efekty ekologického hospodaření na zvyšování kvality vody, retenci vody v krajině a zamezení erozních vlivů. V roce 2017 došlo oproti roku 2016 k poměrně výraznému poklesu rozsahu závazkované plochy v rámci podpory ekologických zemědělců, kteří se nacházejí v přechodném období (11.1.1), a to o více než čtvrtinu (tj. o cca 13 tis. ha). Tento pokles přitom odpovídá současnému snížení rozsahu způsobilé plochy pro přechodný způsob hospodaření evidované v LPIS v obdobném. Zároveň přitom došlo k výraznějšímu nárůstu způsobilé i závazkované plochy v rámci standardního režimu ekologického zemědělství (operace 11.2.1), kdy se podpořená plocha zvětšila o téměř 33 tis. ha. Tento vývoj poukazuje na průběžný postup z přechodného období do standardního režimu ekologického zemědělství, a zároveň na nárůst počtu zemědělců, kteří se rozhodli hospodařit na veškeré zemědělské půdě dle principů ekologického zemědělství. </w:t>
      </w:r>
    </w:p>
    <w:p w14:paraId="25112EF4" w14:textId="77777777" w:rsidR="003E0F58" w:rsidRPr="007C705C" w:rsidRDefault="003E0F58" w:rsidP="005D7EA7">
      <w:pPr>
        <w:pStyle w:val="UZEINormaln"/>
        <w:rPr>
          <w:rFonts w:eastAsiaTheme="minorEastAsia"/>
        </w:rPr>
      </w:pPr>
      <w:r w:rsidRPr="007C705C">
        <w:rPr>
          <w:rFonts w:eastAsiaTheme="minorEastAsia"/>
        </w:rPr>
        <w:t xml:space="preserve">K PO 4C (Průběžné hodnocení za 1. pololetí 2017, Naviga4): Celková hodnota všech realizovaných projektů v 8.3.1: 27,3 mil. Kč, délka preventivního protipovodňového opatření: 7,11 km, délka protierozního opatření na vodním toku: 0,873 km, délka úseku bystřiny, na němž je realizována rekonstrukce hrazení: 0,28 km, výměra PUPFL dotčených realizací projektu: 2400 ha; Celková hodnota všech realizovaných projektů v 8.4.1: 56,8 mil. Kč, výměra PUPFL dotčených realizací projektu: 633 ha; Celková hodnota všech realizovaných projektů v 8.4.2: 15,0 mil. Kč, celková délka lesní cesty: 1,7 km, celková délka úpravy vodního toku: 1,89 km, výměra PUPFL dotčených realizací projektu: 44,7 ha; Celková hodnota všech realizovaných projektů v 8.5.1: 4,3 mil. Kč, výměra porostních skupin, na jejichž ploše je oplocenka: 572,4 ha; Celková hodnota všech realizovaných projektů v 8.5.2: 55,3 mil Kč, výměra lesních pozemků dotčených realizací projektu: 4,1 tis ha, celková délka stezek zahrnutých do projektu: 55,9 km, počet informačních tabulí: 576, počet odpočinkových stanovišť: 162, počet herních prvků: 214; Celková hodnota všech realizovaných projektů v 8.5.3: 26,4 mil Kč, výměra porostních skupin, na které probíhá rekonstrukce porostu náhradních dřevin: 200 ha. Uvedené lesnické operace však prozatím vykazují nízký počet schválených projektů (cca 5 % očekávaného počtu), pro dosažení očekávaných efektů by bylo vhodné posílit zájem žadatelů o tyto tituly. Projekty operace 8.5.2 jsou primárně zaměřeny na zvýšení společenské funkce lesa. V rámci realizace projektů lze též jako druhotný efekt očekávat dopad na zlepšení odolnosti ploch proti srážkovým vodám, a tedy snížení eroze lesních půd ve svahových lokalitách. V rámci AEKO je hlavní příspěvek k naplňování PO 4C očekáván u operací zaměřených na zatravňování (10.1.5 a 10.1.8). Bohužel zájem žadatelů o tituly zaměřené na zatravňování prozatím zcela neodpovídá závažnosti problému a velikosti území, kde jsou lokalizovány erozně náchylné lokality a oblasti s nepříznivými retenčními vlastnostmi. Přínos zatravnění za roky 2015-2017 byl stanoven z hlediska samotného snížení eroze na 133 925 t půdy, která nebyla splavena v důsledku eroze (ve srovnání s ornou půdou). Ve smyslu odvrácení nákladů na nápravu škod způsobených erozí byl pak přínos zatravňování – v případě, že by veškeré </w:t>
      </w:r>
      <w:r w:rsidRPr="007C705C">
        <w:rPr>
          <w:rFonts w:eastAsiaTheme="minorEastAsia"/>
        </w:rPr>
        <w:lastRenderedPageBreak/>
        <w:t xml:space="preserve">usazeniny byly uloženy na skládku – stanoven na 82,7 – 86,6 mil. Kč za roky 2015-2017 (dle podílu kontaminovaných usazenin). Výsledky operací EZ viz PO 4B. </w:t>
      </w:r>
    </w:p>
    <w:p w14:paraId="1F43049C" w14:textId="778E5572" w:rsidR="003E0F58" w:rsidRPr="007C705C" w:rsidRDefault="003E0F58" w:rsidP="005D7EA7">
      <w:pPr>
        <w:pStyle w:val="UZEINormaln"/>
        <w:rPr>
          <w:rFonts w:eastAsiaTheme="minorEastAsia"/>
        </w:rPr>
      </w:pPr>
      <w:r w:rsidRPr="007C705C">
        <w:rPr>
          <w:rFonts w:eastAsiaTheme="minorEastAsia"/>
        </w:rPr>
        <w:t>K PO 5A (Průběžná hodnotící zpráva Naviga4, 31.</w:t>
      </w:r>
      <w:r w:rsidR="00F075AF">
        <w:rPr>
          <w:rFonts w:eastAsiaTheme="minorEastAsia"/>
        </w:rPr>
        <w:t xml:space="preserve"> </w:t>
      </w:r>
      <w:r w:rsidRPr="007C705C">
        <w:rPr>
          <w:rFonts w:eastAsiaTheme="minorEastAsia"/>
        </w:rPr>
        <w:t>12.</w:t>
      </w:r>
      <w:r w:rsidR="00F075AF">
        <w:rPr>
          <w:rFonts w:eastAsiaTheme="minorEastAsia"/>
        </w:rPr>
        <w:t xml:space="preserve"> </w:t>
      </w:r>
      <w:r w:rsidRPr="007C705C">
        <w:rPr>
          <w:rFonts w:eastAsiaTheme="minorEastAsia"/>
        </w:rPr>
        <w:t>2017): K 31. 12. 2017 vykázaly hodnocené podpořené projekty zvýšení efektivity využívání vody v zemědělství, toto zlepšení činí úsporu 0,064 m3 vody na tisíc Kč tržeb. Toto číslo je nicméně třeba vnímat spíše jako indikativní, neboť je založeno na limitovaném počtu hodnocených projektů.</w:t>
      </w:r>
    </w:p>
    <w:p w14:paraId="69149076" w14:textId="59DF69E0" w:rsidR="003E0F58" w:rsidRPr="007C705C" w:rsidRDefault="003E0F58" w:rsidP="005D7EA7">
      <w:pPr>
        <w:pStyle w:val="UZEINormaln"/>
        <w:rPr>
          <w:rFonts w:eastAsiaTheme="minorEastAsia"/>
        </w:rPr>
      </w:pPr>
      <w:r w:rsidRPr="007C705C">
        <w:rPr>
          <w:rFonts w:eastAsiaTheme="minorEastAsia"/>
        </w:rPr>
        <w:t>Kromě výše jmenovaných operací se očekává vedlejší příspěvek k řešení problému u opatření M01 – Předávání znalostí a informační akce a to operacemi 1.1.1</w:t>
      </w:r>
      <w:r w:rsidRPr="007C705C">
        <w:t xml:space="preserve"> </w:t>
      </w:r>
      <w:r w:rsidRPr="007C705C">
        <w:rPr>
          <w:rFonts w:eastAsiaTheme="minorEastAsia"/>
        </w:rPr>
        <w:t>- Vzdělávací akce a 1.2.1 - Informační akce. Nejvíce lidí se zúčastnilo akcí zaměřených na prioritní oblast 4Z Ochrana a zlepšování ekosystémů závislých na zemědělství (4 136). K datu hodnocení nebyla proplacena Vzdělávací akce zaměřená na oblast 4L Ochrana a zlepšování ekosystémů závislých na lesnictví, zatímco u adekvátní Informační akce bylo dosaženo 419 účastníků. Program přispěl k rozvoji celoživotního vzdělávání a odborné přípravě v odvětvích zemědělství a lesnictví, nicméně výsledné počty účastníků představují vzhledem k stanoveným cílům velmi nízké procento – 1 % v 4Z (Průběžná hodnotící zpráva Naviga4, 31.</w:t>
      </w:r>
      <w:r w:rsidR="00F075AF">
        <w:rPr>
          <w:rFonts w:eastAsiaTheme="minorEastAsia"/>
        </w:rPr>
        <w:t xml:space="preserve"> </w:t>
      </w:r>
      <w:r w:rsidRPr="007C705C">
        <w:rPr>
          <w:rFonts w:eastAsiaTheme="minorEastAsia"/>
        </w:rPr>
        <w:t>12.</w:t>
      </w:r>
      <w:r w:rsidR="00F075AF">
        <w:rPr>
          <w:rFonts w:eastAsiaTheme="minorEastAsia"/>
        </w:rPr>
        <w:t xml:space="preserve"> </w:t>
      </w:r>
      <w:r w:rsidRPr="007C705C">
        <w:rPr>
          <w:rFonts w:eastAsiaTheme="minorEastAsia"/>
        </w:rPr>
        <w:t>2017).</w:t>
      </w:r>
    </w:p>
    <w:p w14:paraId="22596A93" w14:textId="28425D91" w:rsidR="003E0F58" w:rsidRPr="005D7EA7" w:rsidRDefault="003E0F58" w:rsidP="005D7EA7">
      <w:pPr>
        <w:pStyle w:val="UZEINormaln"/>
        <w:rPr>
          <w:rFonts w:eastAsiaTheme="minorEastAsia"/>
        </w:rPr>
      </w:pPr>
      <w:r w:rsidRPr="007C705C">
        <w:t xml:space="preserve">  </w:t>
      </w:r>
      <w:r w:rsidRPr="007C705C">
        <w:rPr>
          <w:rFonts w:eastAsiaTheme="minorEastAsia"/>
        </w:rPr>
        <w:t>Na problém reagují mitigační i adaptační opatření. Kontextové indikátory adaptačních opatření jako jsou rozloha zavlažovaných ploch, pak dle Eurostatu činily v roce 2013 celkem 34 070 ha a zavlažovaná půda 17 840 ha (Zdroj Soubory EK), což činí podíl na ZPF 0,0098 % (Eurostat). Vodní eroze půdy v roce 2012 činila 1,62 t/ha/rok (EK 2012), plochy zemědělské půdy ohrožené mírnou až silnou vodní erozí (&gt;11 t/ha/rok) – celkem činily 1000 ha (EK 2014, průměr 2006–2007) a podíl celkové plochy zemědělské půdy ohrožené mírnou až silnou vodní erozí (&gt;11 t/ha/rok) 1,45 % (EK 2015, r. 2012).</w:t>
      </w:r>
    </w:p>
    <w:p w14:paraId="5B5A5AD9" w14:textId="77777777" w:rsidR="003E0F58" w:rsidRPr="007C705C" w:rsidRDefault="003E0F58" w:rsidP="008A1AE3">
      <w:pPr>
        <w:pStyle w:val="Odstavecseseznamem"/>
        <w:numPr>
          <w:ilvl w:val="0"/>
          <w:numId w:val="19"/>
        </w:numPr>
        <w:spacing w:before="60" w:line="360" w:lineRule="atLeast"/>
        <w:rPr>
          <w:rFonts w:eastAsiaTheme="minorEastAsia"/>
          <w:b/>
          <w:bCs/>
        </w:rPr>
      </w:pPr>
      <w:r w:rsidRPr="007C705C">
        <w:rPr>
          <w:rFonts w:eastAsiaTheme="minorEastAsia"/>
          <w:b/>
          <w:bCs/>
        </w:rPr>
        <w:t>Vysoké emise GHG a NH</w:t>
      </w:r>
      <w:r w:rsidRPr="0006094E">
        <w:rPr>
          <w:rFonts w:eastAsiaTheme="minorEastAsia"/>
          <w:b/>
          <w:bCs/>
          <w:vertAlign w:val="subscript"/>
        </w:rPr>
        <w:t>3</w:t>
      </w:r>
      <w:r w:rsidRPr="007C705C">
        <w:rPr>
          <w:rFonts w:eastAsiaTheme="minorEastAsia"/>
          <w:b/>
          <w:bCs/>
        </w:rPr>
        <w:t xml:space="preserve"> ze zemědělství</w:t>
      </w:r>
    </w:p>
    <w:p w14:paraId="345C21AE" w14:textId="18DB1F11" w:rsidR="003E0F58" w:rsidRPr="007C705C" w:rsidRDefault="003E0F58" w:rsidP="005D7EA7">
      <w:pPr>
        <w:pStyle w:val="UZEINormaln"/>
        <w:rPr>
          <w:rFonts w:eastAsiaTheme="minorEastAsia"/>
        </w:rPr>
      </w:pPr>
      <w:r w:rsidRPr="007C705C">
        <w:rPr>
          <w:rFonts w:eastAsiaTheme="minorEastAsia"/>
        </w:rPr>
        <w:t xml:space="preserve">V současném PRV 14+ cílí na jmenované problémy </w:t>
      </w:r>
      <w:r w:rsidR="00DF7D2F" w:rsidRPr="00B96B9F">
        <w:t xml:space="preserve">priorita P5: Podpora účinného využívání zdrojů a podpora přechodu na nízkouhlíkovou ekonomiku v odvětvích zemědělství, potravinářství a lesnictví, která je odolná vůči klimatu, prioritním opatřením </w:t>
      </w:r>
      <w:r w:rsidRPr="007C705C">
        <w:rPr>
          <w:rFonts w:eastAsiaTheme="minorEastAsia"/>
        </w:rPr>
        <w:t>PO 5D Snižování emisí skleníkových plynů a amoniaku ze zemědělství</w:t>
      </w:r>
      <w:r w:rsidR="00DF7D2F">
        <w:rPr>
          <w:rFonts w:eastAsiaTheme="minorEastAsia"/>
        </w:rPr>
        <w:t>,</w:t>
      </w:r>
      <w:r w:rsidRPr="007C705C">
        <w:rPr>
          <w:rFonts w:eastAsiaTheme="minorEastAsia"/>
        </w:rPr>
        <w:t xml:space="preserve"> opatřením M04 INVESTICE DO HMOTNÉHO MAJETKU a to operací 4.1.1 (Průběžná hodnotící zpráva Naviga4, 31.</w:t>
      </w:r>
      <w:r w:rsidR="00F075AF">
        <w:rPr>
          <w:rFonts w:eastAsiaTheme="minorEastAsia"/>
        </w:rPr>
        <w:t xml:space="preserve"> </w:t>
      </w:r>
      <w:r w:rsidRPr="007C705C">
        <w:rPr>
          <w:rFonts w:eastAsiaTheme="minorEastAsia"/>
        </w:rPr>
        <w:t>12.</w:t>
      </w:r>
      <w:r w:rsidR="00F075AF">
        <w:rPr>
          <w:rFonts w:eastAsiaTheme="minorEastAsia"/>
        </w:rPr>
        <w:t xml:space="preserve"> </w:t>
      </w:r>
      <w:r w:rsidRPr="007C705C">
        <w:rPr>
          <w:rFonts w:eastAsiaTheme="minorEastAsia"/>
        </w:rPr>
        <w:t>2017).</w:t>
      </w:r>
    </w:p>
    <w:p w14:paraId="4D84EACC" w14:textId="77777777" w:rsidR="003E0F58" w:rsidRPr="007C705C" w:rsidRDefault="003E0F58" w:rsidP="005D7EA7">
      <w:pPr>
        <w:pStyle w:val="UZEINormaln"/>
        <w:rPr>
          <w:rFonts w:eastAsiaTheme="minorEastAsia"/>
        </w:rPr>
      </w:pPr>
      <w:r w:rsidRPr="007C705C">
        <w:rPr>
          <w:rFonts w:eastAsiaTheme="minorEastAsia"/>
        </w:rPr>
        <w:t>4.1.1 INVESTICE DO ZEMĚDĚLSKÝCH PODNIKŮ</w:t>
      </w:r>
    </w:p>
    <w:p w14:paraId="036F0CFE" w14:textId="21E3AB30" w:rsidR="003E0F58" w:rsidRPr="005D7EA7" w:rsidRDefault="003E0F58" w:rsidP="005D7EA7">
      <w:pPr>
        <w:pStyle w:val="UZEINormaln"/>
        <w:rPr>
          <w:rFonts w:eastAsiaTheme="minorEastAsia"/>
        </w:rPr>
      </w:pPr>
      <w:r w:rsidRPr="007C705C">
        <w:rPr>
          <w:rFonts w:eastAsiaTheme="minorEastAsia"/>
        </w:rPr>
        <w:t>V následující tabulce je znázorněna struktura čerpání prostředků z uvedeného opatření.</w:t>
      </w:r>
    </w:p>
    <w:p w14:paraId="565217F5" w14:textId="7A11D966" w:rsidR="003E0F58" w:rsidRPr="007C705C" w:rsidRDefault="005D7EA7" w:rsidP="005D7EA7">
      <w:pPr>
        <w:pStyle w:val="UZEITaB"/>
      </w:pPr>
      <w:bookmarkStart w:id="429" w:name="_Toc77245856"/>
      <w:r>
        <w:t xml:space="preserve"> </w:t>
      </w:r>
      <w:bookmarkStart w:id="430" w:name="_Toc94181621"/>
      <w:r w:rsidR="003E0F58" w:rsidRPr="007C705C">
        <w:t>Přehled o čerpání podpor přispívajícím k snižování emisí GHG a NH</w:t>
      </w:r>
      <w:r w:rsidR="003E0F58" w:rsidRPr="0006094E">
        <w:rPr>
          <w:vertAlign w:val="subscript"/>
        </w:rPr>
        <w:t>3</w:t>
      </w:r>
      <w:r w:rsidR="003E0F58" w:rsidRPr="007C705C">
        <w:t xml:space="preserve"> v rámci opatření 4</w:t>
      </w:r>
      <w:r w:rsidR="00DF7D2F">
        <w:t>.1.1</w:t>
      </w:r>
      <w:r w:rsidR="003E0F58" w:rsidRPr="007C705C">
        <w:t xml:space="preserve"> PRV (2014-2020)</w:t>
      </w:r>
      <w:bookmarkEnd w:id="429"/>
      <w:bookmarkEnd w:id="430"/>
    </w:p>
    <w:tbl>
      <w:tblPr>
        <w:tblW w:w="6140" w:type="dxa"/>
        <w:tblBorders>
          <w:top w:val="single" w:sz="8" w:space="0" w:color="4F81BD"/>
          <w:bottom w:val="single" w:sz="8" w:space="0" w:color="4F81BD"/>
        </w:tblBorders>
        <w:tblLayout w:type="fixed"/>
        <w:tblLook w:val="0000" w:firstRow="0" w:lastRow="0" w:firstColumn="0" w:lastColumn="0" w:noHBand="0" w:noVBand="0"/>
      </w:tblPr>
      <w:tblGrid>
        <w:gridCol w:w="3965"/>
        <w:gridCol w:w="2175"/>
      </w:tblGrid>
      <w:tr w:rsidR="003E0F58" w:rsidRPr="007C705C" w14:paraId="4ACEFC12" w14:textId="77777777" w:rsidTr="005D7EA7">
        <w:trPr>
          <w:trHeight w:val="253"/>
        </w:trPr>
        <w:tc>
          <w:tcPr>
            <w:tcW w:w="3965" w:type="dxa"/>
            <w:tcBorders>
              <w:left w:val="nil"/>
              <w:bottom w:val="nil"/>
              <w:right w:val="nil"/>
            </w:tcBorders>
            <w:shd w:val="clear" w:color="auto" w:fill="D3DFEE"/>
          </w:tcPr>
          <w:p w14:paraId="266DE7E0" w14:textId="77777777" w:rsidR="003E0F58" w:rsidRPr="007C705C" w:rsidRDefault="003E0F58" w:rsidP="004D2249">
            <w:pPr>
              <w:spacing w:before="100" w:beforeAutospacing="1" w:after="100" w:afterAutospacing="1"/>
              <w:rPr>
                <w:rFonts w:cs="Times New Roman"/>
                <w:b/>
                <w:bCs/>
                <w:color w:val="365F91"/>
                <w:sz w:val="20"/>
                <w:lang w:val="cs-CZ"/>
              </w:rPr>
            </w:pPr>
          </w:p>
        </w:tc>
        <w:tc>
          <w:tcPr>
            <w:tcW w:w="2175" w:type="dxa"/>
            <w:tcBorders>
              <w:left w:val="nil"/>
              <w:right w:val="nil"/>
            </w:tcBorders>
            <w:shd w:val="clear" w:color="auto" w:fill="D3DFEE"/>
          </w:tcPr>
          <w:p w14:paraId="616535FE" w14:textId="77777777" w:rsidR="003E0F58" w:rsidRPr="007C705C" w:rsidRDefault="003E0F58" w:rsidP="004D2249">
            <w:pPr>
              <w:spacing w:before="100" w:beforeAutospacing="1" w:after="100" w:afterAutospacing="1"/>
              <w:ind w:firstLine="40"/>
              <w:jc w:val="center"/>
              <w:rPr>
                <w:rFonts w:eastAsiaTheme="minorEastAsia" w:cs="Times New Roman"/>
                <w:b/>
                <w:bCs/>
                <w:color w:val="365F91"/>
                <w:sz w:val="20"/>
                <w:szCs w:val="20"/>
                <w:lang w:val="cs-CZ"/>
              </w:rPr>
            </w:pPr>
            <w:r w:rsidRPr="007C705C">
              <w:rPr>
                <w:rFonts w:eastAsiaTheme="minorEastAsia" w:cs="Times New Roman"/>
                <w:b/>
                <w:bCs/>
                <w:color w:val="365F91"/>
                <w:sz w:val="20"/>
                <w:szCs w:val="20"/>
                <w:lang w:val="cs-CZ"/>
              </w:rPr>
              <w:t>4.1.1</w:t>
            </w:r>
          </w:p>
          <w:p w14:paraId="02D54544" w14:textId="77777777" w:rsidR="003E0F58" w:rsidRPr="007C705C" w:rsidRDefault="003E0F58" w:rsidP="004D2249">
            <w:pPr>
              <w:spacing w:before="100" w:beforeAutospacing="1" w:after="100" w:afterAutospacing="1"/>
              <w:ind w:firstLine="40"/>
              <w:jc w:val="center"/>
              <w:rPr>
                <w:rFonts w:eastAsiaTheme="minorEastAsia" w:cs="Times New Roman"/>
                <w:b/>
                <w:bCs/>
                <w:color w:val="365F91"/>
                <w:sz w:val="20"/>
                <w:szCs w:val="20"/>
                <w:lang w:val="cs-CZ"/>
              </w:rPr>
            </w:pPr>
            <w:r w:rsidRPr="007C705C">
              <w:rPr>
                <w:rFonts w:eastAsiaTheme="minorEastAsia" w:cs="Times New Roman"/>
                <w:b/>
                <w:bCs/>
                <w:color w:val="365F91"/>
                <w:sz w:val="20"/>
                <w:szCs w:val="20"/>
                <w:lang w:val="cs-CZ"/>
              </w:rPr>
              <w:t>investice</w:t>
            </w:r>
          </w:p>
        </w:tc>
      </w:tr>
      <w:tr w:rsidR="003E0F58" w:rsidRPr="007C705C" w14:paraId="6B8D4073" w14:textId="77777777" w:rsidTr="005D7EA7">
        <w:trPr>
          <w:trHeight w:val="210"/>
        </w:trPr>
        <w:tc>
          <w:tcPr>
            <w:tcW w:w="3965" w:type="dxa"/>
            <w:tcBorders>
              <w:left w:val="nil"/>
              <w:bottom w:val="nil"/>
              <w:right w:val="nil"/>
            </w:tcBorders>
            <w:shd w:val="clear" w:color="auto" w:fill="auto"/>
          </w:tcPr>
          <w:p w14:paraId="01A92B7E" w14:textId="77777777" w:rsidR="003E0F58" w:rsidRPr="007C705C" w:rsidRDefault="003E0F58" w:rsidP="004D2249">
            <w:pPr>
              <w:spacing w:before="100" w:beforeAutospacing="1" w:after="100" w:afterAutospacing="1"/>
              <w:ind w:firstLine="37"/>
              <w:rPr>
                <w:rFonts w:eastAsiaTheme="minorEastAsia" w:cs="Times New Roman"/>
                <w:color w:val="365F91"/>
                <w:sz w:val="20"/>
                <w:szCs w:val="20"/>
                <w:lang w:val="cs-CZ"/>
              </w:rPr>
            </w:pPr>
            <w:r w:rsidRPr="007C705C">
              <w:rPr>
                <w:rFonts w:eastAsiaTheme="minorEastAsia" w:cs="Times New Roman"/>
                <w:color w:val="365F91"/>
                <w:sz w:val="20"/>
                <w:szCs w:val="20"/>
                <w:lang w:val="cs-CZ"/>
              </w:rPr>
              <w:t>Zaregistrované projekty (ks)</w:t>
            </w:r>
          </w:p>
        </w:tc>
        <w:tc>
          <w:tcPr>
            <w:tcW w:w="2175" w:type="dxa"/>
            <w:shd w:val="clear" w:color="auto" w:fill="auto"/>
          </w:tcPr>
          <w:p w14:paraId="51F628EF" w14:textId="77777777" w:rsidR="003E0F58" w:rsidRPr="007C705C" w:rsidRDefault="003E0F58" w:rsidP="004D2249">
            <w:pPr>
              <w:spacing w:before="100" w:beforeAutospacing="1" w:after="100" w:afterAutospacing="1"/>
              <w:ind w:firstLine="40"/>
              <w:jc w:val="right"/>
              <w:rPr>
                <w:rFonts w:eastAsiaTheme="minorEastAsia" w:cs="Times New Roman"/>
                <w:color w:val="365F91"/>
                <w:sz w:val="20"/>
                <w:szCs w:val="20"/>
                <w:lang w:val="cs-CZ"/>
              </w:rPr>
            </w:pPr>
            <w:r w:rsidRPr="007C705C">
              <w:rPr>
                <w:rFonts w:eastAsiaTheme="minorEastAsia" w:cs="Times New Roman"/>
                <w:color w:val="365F91"/>
                <w:sz w:val="20"/>
                <w:szCs w:val="20"/>
                <w:lang w:val="cs-CZ"/>
              </w:rPr>
              <w:t>9 747</w:t>
            </w:r>
          </w:p>
        </w:tc>
      </w:tr>
      <w:tr w:rsidR="003E0F58" w:rsidRPr="007C705C" w14:paraId="4093D75F" w14:textId="77777777" w:rsidTr="005D7EA7">
        <w:trPr>
          <w:trHeight w:val="210"/>
        </w:trPr>
        <w:tc>
          <w:tcPr>
            <w:tcW w:w="3965" w:type="dxa"/>
            <w:tcBorders>
              <w:left w:val="nil"/>
              <w:bottom w:val="nil"/>
              <w:right w:val="nil"/>
            </w:tcBorders>
            <w:shd w:val="clear" w:color="auto" w:fill="D3DFEE"/>
          </w:tcPr>
          <w:p w14:paraId="24EE691A" w14:textId="77777777" w:rsidR="003E0F58" w:rsidRPr="007C705C" w:rsidRDefault="003E0F58" w:rsidP="004D2249">
            <w:pPr>
              <w:spacing w:before="100" w:beforeAutospacing="1" w:after="100" w:afterAutospacing="1"/>
              <w:ind w:firstLine="37"/>
              <w:rPr>
                <w:rFonts w:eastAsiaTheme="minorEastAsia" w:cs="Times New Roman"/>
                <w:color w:val="365F91"/>
                <w:sz w:val="20"/>
                <w:szCs w:val="20"/>
                <w:lang w:val="cs-CZ"/>
              </w:rPr>
            </w:pPr>
            <w:r w:rsidRPr="007C705C">
              <w:rPr>
                <w:rFonts w:eastAsiaTheme="minorEastAsia" w:cs="Times New Roman"/>
                <w:color w:val="365F91"/>
                <w:sz w:val="20"/>
                <w:szCs w:val="20"/>
                <w:lang w:val="cs-CZ"/>
              </w:rPr>
              <w:t>Částka za zaregistr. projekty (Kč)</w:t>
            </w:r>
          </w:p>
        </w:tc>
        <w:tc>
          <w:tcPr>
            <w:tcW w:w="2175" w:type="dxa"/>
            <w:tcBorders>
              <w:left w:val="nil"/>
              <w:right w:val="nil"/>
            </w:tcBorders>
            <w:shd w:val="clear" w:color="auto" w:fill="D3DFEE"/>
          </w:tcPr>
          <w:p w14:paraId="6942BE85" w14:textId="77777777" w:rsidR="003E0F58" w:rsidRPr="007C705C" w:rsidRDefault="003E0F58" w:rsidP="004D2249">
            <w:pPr>
              <w:spacing w:before="100" w:beforeAutospacing="1" w:after="100" w:afterAutospacing="1"/>
              <w:ind w:firstLine="40"/>
              <w:jc w:val="right"/>
              <w:rPr>
                <w:rFonts w:eastAsiaTheme="minorEastAsia" w:cs="Times New Roman"/>
                <w:color w:val="365F91"/>
                <w:sz w:val="20"/>
                <w:szCs w:val="20"/>
                <w:lang w:val="cs-CZ"/>
              </w:rPr>
            </w:pPr>
            <w:r w:rsidRPr="007C705C">
              <w:rPr>
                <w:rFonts w:eastAsiaTheme="minorEastAsia" w:cs="Times New Roman"/>
                <w:color w:val="365F91"/>
                <w:sz w:val="20"/>
                <w:szCs w:val="20"/>
                <w:lang w:val="cs-CZ"/>
              </w:rPr>
              <w:t>19 832 432 508</w:t>
            </w:r>
          </w:p>
        </w:tc>
      </w:tr>
      <w:tr w:rsidR="003E0F58" w:rsidRPr="007C705C" w14:paraId="72C20B52" w14:textId="77777777" w:rsidTr="005D7EA7">
        <w:trPr>
          <w:trHeight w:val="210"/>
        </w:trPr>
        <w:tc>
          <w:tcPr>
            <w:tcW w:w="3965" w:type="dxa"/>
            <w:tcBorders>
              <w:left w:val="nil"/>
              <w:bottom w:val="nil"/>
              <w:right w:val="nil"/>
            </w:tcBorders>
            <w:shd w:val="clear" w:color="auto" w:fill="auto"/>
          </w:tcPr>
          <w:p w14:paraId="02BA364D" w14:textId="77777777" w:rsidR="003E0F58" w:rsidRPr="007C705C" w:rsidRDefault="003E0F58" w:rsidP="004D2249">
            <w:pPr>
              <w:spacing w:before="100" w:beforeAutospacing="1" w:after="100" w:afterAutospacing="1"/>
              <w:ind w:firstLine="37"/>
              <w:rPr>
                <w:rFonts w:eastAsiaTheme="minorEastAsia" w:cs="Times New Roman"/>
                <w:color w:val="365F91"/>
                <w:sz w:val="20"/>
                <w:szCs w:val="20"/>
                <w:lang w:val="cs-CZ"/>
              </w:rPr>
            </w:pPr>
            <w:r w:rsidRPr="007C705C">
              <w:rPr>
                <w:rFonts w:eastAsiaTheme="minorEastAsia" w:cs="Times New Roman"/>
                <w:color w:val="365F91"/>
                <w:sz w:val="20"/>
                <w:szCs w:val="20"/>
                <w:lang w:val="cs-CZ"/>
              </w:rPr>
              <w:t>Schválené projekty (ks)</w:t>
            </w:r>
          </w:p>
        </w:tc>
        <w:tc>
          <w:tcPr>
            <w:tcW w:w="2175" w:type="dxa"/>
            <w:shd w:val="clear" w:color="auto" w:fill="auto"/>
          </w:tcPr>
          <w:p w14:paraId="3CC1D2D5" w14:textId="77777777" w:rsidR="003E0F58" w:rsidRPr="007C705C" w:rsidRDefault="003E0F58" w:rsidP="004D2249">
            <w:pPr>
              <w:spacing w:before="100" w:beforeAutospacing="1" w:after="100" w:afterAutospacing="1"/>
              <w:ind w:firstLine="40"/>
              <w:jc w:val="right"/>
              <w:rPr>
                <w:rFonts w:eastAsiaTheme="minorEastAsia" w:cs="Times New Roman"/>
                <w:color w:val="365F91"/>
                <w:sz w:val="20"/>
                <w:szCs w:val="20"/>
                <w:lang w:val="cs-CZ"/>
              </w:rPr>
            </w:pPr>
            <w:r w:rsidRPr="007C705C">
              <w:rPr>
                <w:rFonts w:eastAsiaTheme="minorEastAsia" w:cs="Times New Roman"/>
                <w:color w:val="365F91"/>
                <w:sz w:val="20"/>
                <w:szCs w:val="20"/>
                <w:lang w:val="cs-CZ"/>
              </w:rPr>
              <w:t>4 869</w:t>
            </w:r>
          </w:p>
        </w:tc>
      </w:tr>
      <w:tr w:rsidR="003E0F58" w:rsidRPr="007C705C" w14:paraId="6DF6D974" w14:textId="77777777" w:rsidTr="005D7EA7">
        <w:trPr>
          <w:trHeight w:val="210"/>
        </w:trPr>
        <w:tc>
          <w:tcPr>
            <w:tcW w:w="3965" w:type="dxa"/>
            <w:tcBorders>
              <w:left w:val="nil"/>
              <w:bottom w:val="nil"/>
              <w:right w:val="nil"/>
            </w:tcBorders>
            <w:shd w:val="clear" w:color="auto" w:fill="D3DFEE"/>
          </w:tcPr>
          <w:p w14:paraId="193946BF" w14:textId="77777777" w:rsidR="003E0F58" w:rsidRPr="007C705C" w:rsidRDefault="003E0F58" w:rsidP="004D2249">
            <w:pPr>
              <w:spacing w:before="100" w:beforeAutospacing="1" w:after="100" w:afterAutospacing="1"/>
              <w:ind w:firstLine="37"/>
              <w:rPr>
                <w:rFonts w:eastAsiaTheme="minorEastAsia" w:cs="Times New Roman"/>
                <w:color w:val="365F91"/>
                <w:sz w:val="20"/>
                <w:szCs w:val="20"/>
                <w:lang w:val="cs-CZ"/>
              </w:rPr>
            </w:pPr>
            <w:r w:rsidRPr="007C705C">
              <w:rPr>
                <w:rFonts w:eastAsiaTheme="minorEastAsia" w:cs="Times New Roman"/>
                <w:color w:val="365F91"/>
                <w:sz w:val="20"/>
                <w:szCs w:val="20"/>
                <w:lang w:val="cs-CZ"/>
              </w:rPr>
              <w:t>Částka za schválené projekty (Kč)</w:t>
            </w:r>
          </w:p>
        </w:tc>
        <w:tc>
          <w:tcPr>
            <w:tcW w:w="2175" w:type="dxa"/>
            <w:tcBorders>
              <w:left w:val="nil"/>
              <w:right w:val="nil"/>
            </w:tcBorders>
            <w:shd w:val="clear" w:color="auto" w:fill="D3DFEE"/>
          </w:tcPr>
          <w:p w14:paraId="455BCDE6" w14:textId="77777777" w:rsidR="003E0F58" w:rsidRPr="007C705C" w:rsidRDefault="003E0F58" w:rsidP="004D2249">
            <w:pPr>
              <w:spacing w:before="100" w:beforeAutospacing="1" w:after="100" w:afterAutospacing="1"/>
              <w:ind w:firstLine="40"/>
              <w:jc w:val="right"/>
              <w:rPr>
                <w:rFonts w:eastAsiaTheme="minorEastAsia" w:cs="Times New Roman"/>
                <w:color w:val="365F91"/>
                <w:sz w:val="20"/>
                <w:szCs w:val="20"/>
                <w:lang w:val="cs-CZ"/>
              </w:rPr>
            </w:pPr>
            <w:r w:rsidRPr="007C705C">
              <w:rPr>
                <w:rFonts w:eastAsiaTheme="minorEastAsia" w:cs="Times New Roman"/>
                <w:color w:val="365F91"/>
                <w:sz w:val="20"/>
                <w:szCs w:val="20"/>
                <w:lang w:val="cs-CZ"/>
              </w:rPr>
              <w:t>8 358 863 970</w:t>
            </w:r>
          </w:p>
        </w:tc>
      </w:tr>
      <w:tr w:rsidR="003E0F58" w:rsidRPr="007C705C" w14:paraId="6E4AF032" w14:textId="77777777" w:rsidTr="005D7EA7">
        <w:trPr>
          <w:trHeight w:val="210"/>
        </w:trPr>
        <w:tc>
          <w:tcPr>
            <w:tcW w:w="3965" w:type="dxa"/>
            <w:tcBorders>
              <w:left w:val="nil"/>
              <w:bottom w:val="nil"/>
              <w:right w:val="nil"/>
            </w:tcBorders>
            <w:shd w:val="clear" w:color="auto" w:fill="auto"/>
          </w:tcPr>
          <w:p w14:paraId="32011C5F" w14:textId="77777777" w:rsidR="003E0F58" w:rsidRPr="007C705C" w:rsidRDefault="003E0F58" w:rsidP="004D2249">
            <w:pPr>
              <w:spacing w:before="100" w:beforeAutospacing="1" w:after="100" w:afterAutospacing="1"/>
              <w:ind w:firstLine="37"/>
              <w:rPr>
                <w:rFonts w:eastAsiaTheme="minorEastAsia" w:cs="Times New Roman"/>
                <w:color w:val="365F91"/>
                <w:sz w:val="20"/>
                <w:szCs w:val="20"/>
                <w:lang w:val="cs-CZ"/>
              </w:rPr>
            </w:pPr>
            <w:r w:rsidRPr="007C705C">
              <w:rPr>
                <w:rFonts w:eastAsiaTheme="minorEastAsia" w:cs="Times New Roman"/>
                <w:color w:val="365F91"/>
                <w:sz w:val="20"/>
                <w:szCs w:val="20"/>
                <w:lang w:val="cs-CZ"/>
              </w:rPr>
              <w:t>Podepsané dohody (ks)</w:t>
            </w:r>
          </w:p>
        </w:tc>
        <w:tc>
          <w:tcPr>
            <w:tcW w:w="2175" w:type="dxa"/>
            <w:shd w:val="clear" w:color="auto" w:fill="auto"/>
          </w:tcPr>
          <w:p w14:paraId="6FAA2B45" w14:textId="77777777" w:rsidR="003E0F58" w:rsidRPr="007C705C" w:rsidRDefault="003E0F58" w:rsidP="004D2249">
            <w:pPr>
              <w:spacing w:before="100" w:beforeAutospacing="1" w:after="100" w:afterAutospacing="1"/>
              <w:ind w:firstLine="40"/>
              <w:jc w:val="right"/>
              <w:rPr>
                <w:rFonts w:eastAsiaTheme="minorEastAsia" w:cs="Times New Roman"/>
                <w:color w:val="365F91"/>
                <w:sz w:val="20"/>
                <w:szCs w:val="20"/>
                <w:lang w:val="cs-CZ"/>
              </w:rPr>
            </w:pPr>
            <w:r w:rsidRPr="007C705C">
              <w:rPr>
                <w:rFonts w:eastAsiaTheme="minorEastAsia" w:cs="Times New Roman"/>
                <w:color w:val="365F91"/>
                <w:sz w:val="20"/>
                <w:szCs w:val="20"/>
                <w:lang w:val="cs-CZ"/>
              </w:rPr>
              <w:t>4 147</w:t>
            </w:r>
          </w:p>
        </w:tc>
      </w:tr>
      <w:tr w:rsidR="003E0F58" w:rsidRPr="007C705C" w14:paraId="1653462E" w14:textId="77777777" w:rsidTr="005D7EA7">
        <w:trPr>
          <w:trHeight w:val="210"/>
        </w:trPr>
        <w:tc>
          <w:tcPr>
            <w:tcW w:w="3965" w:type="dxa"/>
            <w:tcBorders>
              <w:left w:val="nil"/>
              <w:bottom w:val="nil"/>
              <w:right w:val="nil"/>
            </w:tcBorders>
            <w:shd w:val="clear" w:color="auto" w:fill="D3DFEE"/>
          </w:tcPr>
          <w:p w14:paraId="4BEDB15D" w14:textId="77777777" w:rsidR="003E0F58" w:rsidRPr="007C705C" w:rsidRDefault="003E0F58" w:rsidP="004D2249">
            <w:pPr>
              <w:spacing w:before="100" w:beforeAutospacing="1" w:after="100" w:afterAutospacing="1"/>
              <w:ind w:firstLine="37"/>
              <w:rPr>
                <w:rFonts w:eastAsiaTheme="minorEastAsia" w:cs="Times New Roman"/>
                <w:color w:val="365F91"/>
                <w:sz w:val="20"/>
                <w:szCs w:val="20"/>
                <w:lang w:val="cs-CZ"/>
              </w:rPr>
            </w:pPr>
            <w:r w:rsidRPr="007C705C">
              <w:rPr>
                <w:rFonts w:eastAsiaTheme="minorEastAsia" w:cs="Times New Roman"/>
                <w:color w:val="365F91"/>
                <w:sz w:val="20"/>
                <w:szCs w:val="20"/>
                <w:lang w:val="cs-CZ"/>
              </w:rPr>
              <w:t>Částka za Podepsané dohody o propl. (Kč)</w:t>
            </w:r>
          </w:p>
        </w:tc>
        <w:tc>
          <w:tcPr>
            <w:tcW w:w="2175" w:type="dxa"/>
            <w:tcBorders>
              <w:left w:val="nil"/>
              <w:right w:val="nil"/>
            </w:tcBorders>
            <w:shd w:val="clear" w:color="auto" w:fill="D3DFEE"/>
          </w:tcPr>
          <w:p w14:paraId="78BA18B8" w14:textId="77777777" w:rsidR="003E0F58" w:rsidRPr="007C705C" w:rsidRDefault="003E0F58" w:rsidP="004D2249">
            <w:pPr>
              <w:spacing w:before="100" w:beforeAutospacing="1" w:after="100" w:afterAutospacing="1"/>
              <w:ind w:firstLine="40"/>
              <w:jc w:val="right"/>
              <w:rPr>
                <w:rFonts w:eastAsiaTheme="minorEastAsia" w:cs="Times New Roman"/>
                <w:color w:val="365F91"/>
                <w:sz w:val="20"/>
                <w:szCs w:val="20"/>
                <w:lang w:val="cs-CZ"/>
              </w:rPr>
            </w:pPr>
            <w:r w:rsidRPr="007C705C">
              <w:rPr>
                <w:rFonts w:eastAsiaTheme="minorEastAsia" w:cs="Times New Roman"/>
                <w:color w:val="365F91"/>
                <w:sz w:val="20"/>
                <w:szCs w:val="20"/>
                <w:lang w:val="cs-CZ"/>
              </w:rPr>
              <w:t>7 412 497 236</w:t>
            </w:r>
          </w:p>
        </w:tc>
      </w:tr>
      <w:tr w:rsidR="003E0F58" w:rsidRPr="007C705C" w14:paraId="497F8970" w14:textId="77777777" w:rsidTr="005D7EA7">
        <w:trPr>
          <w:trHeight w:val="210"/>
        </w:trPr>
        <w:tc>
          <w:tcPr>
            <w:tcW w:w="3965" w:type="dxa"/>
            <w:tcBorders>
              <w:left w:val="nil"/>
              <w:bottom w:val="nil"/>
              <w:right w:val="nil"/>
            </w:tcBorders>
            <w:shd w:val="clear" w:color="auto" w:fill="auto"/>
          </w:tcPr>
          <w:p w14:paraId="13B80597" w14:textId="77777777" w:rsidR="003E0F58" w:rsidRPr="007C705C" w:rsidRDefault="003E0F58" w:rsidP="004D2249">
            <w:pPr>
              <w:spacing w:before="100" w:beforeAutospacing="1" w:after="100" w:afterAutospacing="1"/>
              <w:ind w:firstLine="37"/>
              <w:rPr>
                <w:rFonts w:eastAsiaTheme="minorEastAsia" w:cs="Times New Roman"/>
                <w:color w:val="365F91"/>
                <w:sz w:val="20"/>
                <w:szCs w:val="20"/>
                <w:lang w:val="cs-CZ"/>
              </w:rPr>
            </w:pPr>
            <w:r w:rsidRPr="007C705C">
              <w:rPr>
                <w:rFonts w:eastAsiaTheme="minorEastAsia" w:cs="Times New Roman"/>
                <w:color w:val="365F91"/>
                <w:sz w:val="20"/>
                <w:szCs w:val="20"/>
                <w:lang w:val="cs-CZ"/>
              </w:rPr>
              <w:t>Proplacené projekty (ks)</w:t>
            </w:r>
          </w:p>
        </w:tc>
        <w:tc>
          <w:tcPr>
            <w:tcW w:w="2175" w:type="dxa"/>
            <w:shd w:val="clear" w:color="auto" w:fill="auto"/>
          </w:tcPr>
          <w:p w14:paraId="15BB3226" w14:textId="77777777" w:rsidR="003E0F58" w:rsidRPr="007C705C" w:rsidRDefault="003E0F58" w:rsidP="004D2249">
            <w:pPr>
              <w:spacing w:before="100" w:beforeAutospacing="1" w:after="100" w:afterAutospacing="1"/>
              <w:ind w:firstLine="40"/>
              <w:jc w:val="right"/>
              <w:rPr>
                <w:rFonts w:eastAsiaTheme="minorEastAsia" w:cs="Times New Roman"/>
                <w:color w:val="365F91"/>
                <w:sz w:val="20"/>
                <w:szCs w:val="20"/>
                <w:lang w:val="cs-CZ"/>
              </w:rPr>
            </w:pPr>
            <w:r w:rsidRPr="007C705C">
              <w:rPr>
                <w:rFonts w:eastAsiaTheme="minorEastAsia" w:cs="Times New Roman"/>
                <w:color w:val="365F91"/>
                <w:sz w:val="20"/>
                <w:szCs w:val="20"/>
                <w:lang w:val="cs-CZ"/>
              </w:rPr>
              <w:t>2 175</w:t>
            </w:r>
          </w:p>
        </w:tc>
      </w:tr>
      <w:tr w:rsidR="003E0F58" w:rsidRPr="007C705C" w14:paraId="64B2D830" w14:textId="77777777" w:rsidTr="005D7EA7">
        <w:trPr>
          <w:trHeight w:val="210"/>
        </w:trPr>
        <w:tc>
          <w:tcPr>
            <w:tcW w:w="3965" w:type="dxa"/>
            <w:tcBorders>
              <w:left w:val="nil"/>
              <w:right w:val="nil"/>
            </w:tcBorders>
            <w:shd w:val="clear" w:color="auto" w:fill="D3DFEE"/>
          </w:tcPr>
          <w:p w14:paraId="3CC858EB" w14:textId="77777777" w:rsidR="003E0F58" w:rsidRPr="007C705C" w:rsidRDefault="003E0F58" w:rsidP="004D2249">
            <w:pPr>
              <w:spacing w:before="100" w:beforeAutospacing="1" w:after="100" w:afterAutospacing="1"/>
              <w:ind w:firstLine="37"/>
              <w:rPr>
                <w:rFonts w:eastAsiaTheme="minorEastAsia" w:cs="Times New Roman"/>
                <w:color w:val="365F91"/>
                <w:sz w:val="20"/>
                <w:szCs w:val="20"/>
                <w:lang w:val="cs-CZ"/>
              </w:rPr>
            </w:pPr>
            <w:r w:rsidRPr="007C705C">
              <w:rPr>
                <w:rFonts w:eastAsiaTheme="minorEastAsia" w:cs="Times New Roman"/>
                <w:color w:val="365F91"/>
                <w:sz w:val="20"/>
                <w:szCs w:val="20"/>
                <w:lang w:val="cs-CZ"/>
              </w:rPr>
              <w:t>Proplaceno (Kč)</w:t>
            </w:r>
          </w:p>
        </w:tc>
        <w:tc>
          <w:tcPr>
            <w:tcW w:w="2175" w:type="dxa"/>
            <w:tcBorders>
              <w:left w:val="nil"/>
              <w:right w:val="nil"/>
            </w:tcBorders>
            <w:shd w:val="clear" w:color="auto" w:fill="D3DFEE"/>
          </w:tcPr>
          <w:p w14:paraId="6D07F0EE" w14:textId="77777777" w:rsidR="003E0F58" w:rsidRPr="007C705C" w:rsidRDefault="003E0F58" w:rsidP="004D2249">
            <w:pPr>
              <w:spacing w:before="100" w:beforeAutospacing="1" w:after="100" w:afterAutospacing="1"/>
              <w:ind w:firstLine="40"/>
              <w:jc w:val="right"/>
              <w:rPr>
                <w:rFonts w:eastAsiaTheme="minorEastAsia" w:cs="Times New Roman"/>
                <w:color w:val="365F91"/>
                <w:sz w:val="20"/>
                <w:szCs w:val="20"/>
                <w:lang w:val="cs-CZ"/>
              </w:rPr>
            </w:pPr>
            <w:r w:rsidRPr="007C705C">
              <w:rPr>
                <w:rFonts w:eastAsiaTheme="minorEastAsia" w:cs="Times New Roman"/>
                <w:color w:val="365F91"/>
                <w:sz w:val="20"/>
                <w:szCs w:val="20"/>
                <w:lang w:val="cs-CZ"/>
              </w:rPr>
              <w:t>3 228 129 228</w:t>
            </w:r>
          </w:p>
        </w:tc>
      </w:tr>
    </w:tbl>
    <w:p w14:paraId="3C1CA1D9" w14:textId="77777777" w:rsidR="003E0F58" w:rsidRPr="007C705C" w:rsidRDefault="003E0F58" w:rsidP="005D7EA7">
      <w:pPr>
        <w:pStyle w:val="UZEIZdroj"/>
      </w:pPr>
      <w:r w:rsidRPr="007C705C">
        <w:t>Stav k 29.6.2018</w:t>
      </w:r>
    </w:p>
    <w:p w14:paraId="3179D7B3" w14:textId="77777777" w:rsidR="003E0F58" w:rsidRPr="007C705C" w:rsidRDefault="003E0F58" w:rsidP="005D7EA7">
      <w:pPr>
        <w:pStyle w:val="UZEIZdroj"/>
      </w:pPr>
      <w:r w:rsidRPr="007C705C">
        <w:t>Zdroj: MZe (odbor Řídící orgán PRV)</w:t>
      </w:r>
    </w:p>
    <w:p w14:paraId="2A54CE03" w14:textId="77777777" w:rsidR="003E0F58" w:rsidRPr="007C705C" w:rsidRDefault="003E0F58" w:rsidP="005D7EA7">
      <w:pPr>
        <w:pStyle w:val="UZEINormaln"/>
      </w:pPr>
    </w:p>
    <w:p w14:paraId="127016B8" w14:textId="4A0F3DE4" w:rsidR="003E0F58" w:rsidRPr="007C705C" w:rsidRDefault="003E0F58" w:rsidP="005D7EA7">
      <w:pPr>
        <w:pStyle w:val="UZEINormaln"/>
        <w:rPr>
          <w:rFonts w:eastAsiaTheme="minorEastAsia"/>
        </w:rPr>
      </w:pPr>
      <w:r w:rsidRPr="0006094E">
        <w:rPr>
          <w:rFonts w:eastAsiaTheme="minorEastAsia"/>
          <w:b/>
          <w:bCs/>
        </w:rPr>
        <w:lastRenderedPageBreak/>
        <w:t xml:space="preserve">K PO 5D </w:t>
      </w:r>
      <w:r w:rsidR="00DF7D2F" w:rsidRPr="005D1920">
        <w:rPr>
          <w:b/>
          <w:bCs/>
        </w:rPr>
        <w:t xml:space="preserve">Snižování emisí skleníkových plynů a amoniaku ze zemědělství </w:t>
      </w:r>
      <w:r w:rsidRPr="0006094E">
        <w:rPr>
          <w:rFonts w:eastAsiaTheme="minorEastAsia"/>
          <w:b/>
          <w:bCs/>
        </w:rPr>
        <w:t>(Průběžná hodnotící zpráva Naviga4, 31.</w:t>
      </w:r>
      <w:r w:rsidR="00F075AF">
        <w:rPr>
          <w:rFonts w:eastAsiaTheme="minorEastAsia"/>
          <w:b/>
          <w:bCs/>
        </w:rPr>
        <w:t xml:space="preserve"> </w:t>
      </w:r>
      <w:r w:rsidRPr="0006094E">
        <w:rPr>
          <w:rFonts w:eastAsiaTheme="minorEastAsia"/>
          <w:b/>
          <w:bCs/>
        </w:rPr>
        <w:t>12.</w:t>
      </w:r>
      <w:r w:rsidR="00F075AF">
        <w:rPr>
          <w:rFonts w:eastAsiaTheme="minorEastAsia"/>
          <w:b/>
          <w:bCs/>
        </w:rPr>
        <w:t xml:space="preserve"> </w:t>
      </w:r>
      <w:r w:rsidRPr="0006094E">
        <w:rPr>
          <w:rFonts w:eastAsiaTheme="minorEastAsia"/>
          <w:b/>
          <w:bCs/>
        </w:rPr>
        <w:t>2017):</w:t>
      </w:r>
      <w:r w:rsidRPr="007C705C">
        <w:rPr>
          <w:rFonts w:eastAsiaTheme="minorEastAsia"/>
        </w:rPr>
        <w:t xml:space="preserve"> Co se týká emisí metanu a oxidu dusného k</w:t>
      </w:r>
      <w:r w:rsidR="00DF7D2F">
        <w:rPr>
          <w:rFonts w:eastAsiaTheme="minorEastAsia"/>
        </w:rPr>
        <w:t> </w:t>
      </w:r>
      <w:r w:rsidRPr="007C705C">
        <w:rPr>
          <w:rFonts w:eastAsiaTheme="minorEastAsia"/>
        </w:rPr>
        <w:t>31.</w:t>
      </w:r>
      <w:r w:rsidR="00DF7D2F">
        <w:rPr>
          <w:rFonts w:eastAsiaTheme="minorEastAsia"/>
        </w:rPr>
        <w:t> </w:t>
      </w:r>
      <w:r w:rsidRPr="007C705C">
        <w:rPr>
          <w:rFonts w:eastAsiaTheme="minorEastAsia"/>
        </w:rPr>
        <w:t>12.</w:t>
      </w:r>
      <w:r w:rsidR="00DF7D2F">
        <w:rPr>
          <w:rFonts w:eastAsiaTheme="minorEastAsia"/>
        </w:rPr>
        <w:t> </w:t>
      </w:r>
      <w:r w:rsidRPr="007C705C">
        <w:rPr>
          <w:rFonts w:eastAsiaTheme="minorEastAsia"/>
        </w:rPr>
        <w:t>2017 bylo proplaceno 1 057 projektů v operaci 4.1.1, z toho 623 projektů v záměrech pokrývající živočišnou výrobu s druhy hospodářských zvířat, které jsou pro výpočet emisí uvažovány (záměry a, c, d, e, h, i, j). Celkem 70 projektů uvádí vedlejší va</w:t>
      </w:r>
      <w:r w:rsidR="00F075AF">
        <w:rPr>
          <w:rFonts w:eastAsiaTheme="minorEastAsia"/>
        </w:rPr>
        <w:t>zbu na prioritní oblast 5D, tzn.,</w:t>
      </w:r>
      <w:r w:rsidRPr="007C705C">
        <w:rPr>
          <w:rFonts w:eastAsiaTheme="minorEastAsia"/>
        </w:rPr>
        <w:t xml:space="preserve"> projekt počítá se snížením emisí skleníkových plynů. Podíl podniků s podporou PRV do restrukturalizace nebo modernizace (4.1.1), u nichž došlo ke snížení emisí NH4 a N2O tak indikativně činí 6, 6 % podniků podpořených v této operaci. Co se týká emisí amoniaku</w:t>
      </w:r>
      <w:r w:rsidR="00F075AF">
        <w:rPr>
          <w:rFonts w:eastAsiaTheme="minorEastAsia"/>
        </w:rPr>
        <w:t>,</w:t>
      </w:r>
      <w:r w:rsidRPr="007C705C">
        <w:rPr>
          <w:rFonts w:eastAsiaTheme="minorEastAsia"/>
        </w:rPr>
        <w:t xml:space="preserve"> k 31.</w:t>
      </w:r>
      <w:r w:rsidR="00DF7D2F">
        <w:rPr>
          <w:rFonts w:eastAsiaTheme="minorEastAsia"/>
        </w:rPr>
        <w:t> </w:t>
      </w:r>
      <w:r w:rsidRPr="007C705C">
        <w:rPr>
          <w:rFonts w:eastAsiaTheme="minorEastAsia"/>
        </w:rPr>
        <w:t>12. 2017 bylo proplaceno 1 057 projektů v operaci 4.1.1, z toho 623 projektů v záměrech pokrývající živočišnou výrobu. Data pro hodnocení vlivu na emise amoniaku byla k dispozici u 220 projektů. U 93 projektů nedošlo ke snížení či nárůstu emisí amoniaku, u 54 projektů došlo ke snížení emisí amoniaku v celkové výši 31,262 t NH3/rok, u 72 projektů je naopak zaznamenán vzrůst emisí, a to v celkové výši 75,107 t ročně. Z těchto 72 projektů, u kterých bylo zaznamenáno zvýšení emisí, se u 64 projektů zvýšila po realizaci projektu kapacita ustájených zvířat, čímž je nárůst emisí vysvětlen. U 7 projektů byl zaznamenán nárůst emisí, aniž by se zvýšil počet zvířat. Počet podniků, u kterých došlo ke snížení emisí NH3, činí 54, tzn. 5,1 % všech podniků podpořených v rámci operace 4.1.1. Vzhledem k tomu, že převažující počet podpořených investičních projektů vede ke zvyšování počtu zvířat a v jejich důsledku k navyšování emisí NH3, došlo celkově ke zvýšení emisí NH3 o 43,845 t/rok.</w:t>
      </w:r>
    </w:p>
    <w:p w14:paraId="71244B36" w14:textId="77777777" w:rsidR="003E0F58" w:rsidRPr="007C705C" w:rsidRDefault="003E0F58" w:rsidP="005D7EA7">
      <w:pPr>
        <w:pStyle w:val="UZEINormaln"/>
        <w:rPr>
          <w:rFonts w:eastAsiaTheme="minorEastAsia"/>
        </w:rPr>
      </w:pPr>
      <w:r w:rsidRPr="007C705C">
        <w:rPr>
          <w:rFonts w:eastAsiaTheme="minorEastAsia"/>
        </w:rPr>
        <w:t>V této fázi hodnocení lze odpovědět na základě prvotních dat pouze vliv intervence PRV na emise NH</w:t>
      </w:r>
      <w:r w:rsidRPr="007C705C">
        <w:rPr>
          <w:rFonts w:eastAsiaTheme="minorEastAsia"/>
          <w:vertAlign w:val="subscript"/>
        </w:rPr>
        <w:t>3</w:t>
      </w:r>
      <w:r w:rsidRPr="007C705C">
        <w:rPr>
          <w:rFonts w:eastAsiaTheme="minorEastAsia"/>
        </w:rPr>
        <w:t>. U 54 podpořených projektů v ŽV dojde ke snížení emisí amoniaku. Další podpořené projekty, především díky navyšované ustájovací kapacitě a vyššímu počtu zvířat zase emise amoniaku zvýší, takže ve výsledku došlo u podpořených a proplacených projektů k 31. 12. 2017 k navýšení ročního objemu emisí NH</w:t>
      </w:r>
      <w:r w:rsidRPr="007C705C">
        <w:rPr>
          <w:rFonts w:eastAsiaTheme="minorEastAsia"/>
          <w:vertAlign w:val="subscript"/>
        </w:rPr>
        <w:t xml:space="preserve">3 </w:t>
      </w:r>
      <w:r w:rsidRPr="007C705C">
        <w:rPr>
          <w:rFonts w:eastAsiaTheme="minorEastAsia"/>
        </w:rPr>
        <w:t>o 43,845 tun.</w:t>
      </w:r>
    </w:p>
    <w:p w14:paraId="18664391" w14:textId="77777777" w:rsidR="003E0F58" w:rsidRPr="007C705C" w:rsidRDefault="003E0F58" w:rsidP="005D7EA7">
      <w:pPr>
        <w:pStyle w:val="UZEINormaln"/>
        <w:rPr>
          <w:rFonts w:eastAsiaTheme="minorEastAsia"/>
        </w:rPr>
      </w:pPr>
      <w:r w:rsidRPr="007C705C">
        <w:rPr>
          <w:rFonts w:eastAsiaTheme="minorEastAsia"/>
        </w:rPr>
        <w:t>Emise metanu a oxidu dusného nemohly být v této fázi kvantifikovány.</w:t>
      </w:r>
    </w:p>
    <w:p w14:paraId="263AC959" w14:textId="77777777" w:rsidR="003E0F58" w:rsidRPr="007C705C" w:rsidRDefault="003E0F58" w:rsidP="005D7EA7">
      <w:pPr>
        <w:pStyle w:val="UZEINormaln"/>
        <w:rPr>
          <w:rFonts w:eastAsiaTheme="minorEastAsia"/>
        </w:rPr>
      </w:pPr>
      <w:r w:rsidRPr="007C705C">
        <w:rPr>
          <w:rFonts w:eastAsiaTheme="minorEastAsia"/>
        </w:rPr>
        <w:t>Mimo intervence PRV existuje také podpora z národních zdrojů. Ta je zaměřena na plnění závazků týkajících se dobrých životních podmínek zvířat podle pokynů Evropské unie ke státní podpoře v odvětví zemědělství a lesnictví ve venkovských oblastech na období 2014 až 2020. Předmětem dotace na podopatření 20.B.d.) „Podpora zlepšení stájového mikroklimatu drůbeže“ je využívání ověřených biotechnologických přípravků, které se aplikují do krmiva, napájecí vody nebo na podestýlku pro snižování emisí NH</w:t>
      </w:r>
      <w:r w:rsidRPr="007C705C">
        <w:rPr>
          <w:rFonts w:eastAsiaTheme="minorEastAsia"/>
          <w:vertAlign w:val="subscript"/>
        </w:rPr>
        <w:t xml:space="preserve">3 </w:t>
      </w:r>
      <w:r w:rsidRPr="007C705C">
        <w:rPr>
          <w:rFonts w:eastAsiaTheme="minorEastAsia"/>
        </w:rPr>
        <w:t>a dalších nežádoucích plynů.</w:t>
      </w:r>
    </w:p>
    <w:p w14:paraId="1B81363D" w14:textId="77777777" w:rsidR="00DF7D2F" w:rsidRPr="00B96B9F" w:rsidRDefault="003E0F58" w:rsidP="00DF7D2F">
      <w:pPr>
        <w:pStyle w:val="UZEINormaln"/>
      </w:pPr>
      <w:r w:rsidRPr="007C705C">
        <w:rPr>
          <w:rFonts w:eastAsiaTheme="minorEastAsia"/>
        </w:rPr>
        <w:t xml:space="preserve">Nepřímo lze zařadit do aktuálních politik, které řeší mitigaci klimatické změny také opatření zaměřená na ekologické zemědělství. Dle kontextových indikátorů byl v roce 2016 podíl ZPF (obojí) v ekologickém zemědělství na ZPF 12 % (Zdroj ÚZEI), což odpovídá výměře certifikovanému ZPF 443 597 ha (ÚZEI  2016). V přechodném režimu se ve stejném roce nacházelo 62 476 ha (ÚZEI 2016). </w:t>
      </w:r>
      <w:r w:rsidR="00DF7D2F" w:rsidRPr="00B96B9F">
        <w:t>Za posledních 10 let vzrostla celková výměra EZ 1,7krát z původních 312 tis. ha v roce 2007. Roste také poptávka po biopotravinách – v roce 2005 byla spotřeba v České republice ve výši 0,51 mld. Kč, respektive 50 Kč/obyv./rok, a v roce 2016 dosahovala úrovně 2,55 mld. Kč, respektive 241 Kč/obyv./rok.</w:t>
      </w:r>
    </w:p>
    <w:p w14:paraId="38074D5F" w14:textId="470A8C30" w:rsidR="003E0F58" w:rsidRPr="005D7EA7" w:rsidRDefault="003E0F58" w:rsidP="005D7EA7">
      <w:pPr>
        <w:pStyle w:val="UZEINormaln"/>
        <w:rPr>
          <w:rFonts w:eastAsiaTheme="minorEastAsia"/>
        </w:rPr>
      </w:pPr>
      <w:r w:rsidRPr="007C705C">
        <w:rPr>
          <w:rFonts w:eastAsiaTheme="minorEastAsia"/>
        </w:rPr>
        <w:t>Celkové roční emise methanu (CH</w:t>
      </w:r>
      <w:r w:rsidRPr="007C705C">
        <w:rPr>
          <w:rFonts w:eastAsiaTheme="minorEastAsia"/>
          <w:vertAlign w:val="subscript"/>
        </w:rPr>
        <w:t>4</w:t>
      </w:r>
      <w:r w:rsidRPr="007C705C">
        <w:rPr>
          <w:rFonts w:eastAsiaTheme="minorEastAsia"/>
        </w:rPr>
        <w:t>) a oxidu dusného (N</w:t>
      </w:r>
      <w:r w:rsidRPr="007C705C">
        <w:rPr>
          <w:rFonts w:eastAsiaTheme="minorEastAsia"/>
          <w:vertAlign w:val="subscript"/>
        </w:rPr>
        <w:t>2</w:t>
      </w:r>
      <w:r w:rsidRPr="007C705C">
        <w:rPr>
          <w:rFonts w:eastAsiaTheme="minorEastAsia"/>
        </w:rPr>
        <w:t>O) ze zemědělství (UNFCCC sektor 4) v roce 2013 činily 7 263 tis. t CO2ekv. (Eurostat), Podíl zemědělství (včetně půd) na celkových čistých emisích v roce 2013 dosáhl 0,0603 % (Eurostat).</w:t>
      </w:r>
    </w:p>
    <w:p w14:paraId="0B3018B8" w14:textId="77777777" w:rsidR="003E0F58" w:rsidRPr="007C705C" w:rsidRDefault="003E0F58" w:rsidP="008A1AE3">
      <w:pPr>
        <w:pStyle w:val="Odstavecseseznamem"/>
        <w:numPr>
          <w:ilvl w:val="0"/>
          <w:numId w:val="19"/>
        </w:numPr>
        <w:spacing w:before="60" w:line="360" w:lineRule="atLeast"/>
        <w:rPr>
          <w:rFonts w:eastAsiaTheme="minorEastAsia"/>
          <w:b/>
          <w:bCs/>
        </w:rPr>
      </w:pPr>
      <w:r w:rsidRPr="007C705C">
        <w:rPr>
          <w:rFonts w:eastAsiaTheme="minorEastAsia"/>
          <w:b/>
          <w:bCs/>
        </w:rPr>
        <w:t>Nízký obsah organického uhlíku v půdě</w:t>
      </w:r>
    </w:p>
    <w:p w14:paraId="5C0976B2" w14:textId="24B3F097" w:rsidR="004C1517" w:rsidRDefault="003E0F58" w:rsidP="005D7EA7">
      <w:pPr>
        <w:pStyle w:val="UZEINormaln"/>
        <w:rPr>
          <w:rFonts w:eastAsiaTheme="minorEastAsia"/>
        </w:rPr>
        <w:sectPr w:rsidR="004C1517" w:rsidSect="004F257A">
          <w:headerReference w:type="even" r:id="rId39"/>
          <w:headerReference w:type="default" r:id="rId40"/>
          <w:footerReference w:type="even" r:id="rId41"/>
          <w:footerReference w:type="default" r:id="rId42"/>
          <w:headerReference w:type="first" r:id="rId43"/>
          <w:footerReference w:type="first" r:id="rId44"/>
          <w:pgSz w:w="11906" w:h="16838"/>
          <w:pgMar w:top="1417" w:right="1417" w:bottom="1417" w:left="1417" w:header="708" w:footer="708" w:gutter="0"/>
          <w:cols w:space="708"/>
          <w:titlePg/>
          <w:docGrid w:linePitch="360"/>
        </w:sectPr>
      </w:pPr>
      <w:r w:rsidRPr="007C705C">
        <w:rPr>
          <w:rFonts w:eastAsiaTheme="minorEastAsia"/>
        </w:rPr>
        <w:t xml:space="preserve">V rámci SZP problematiku sekvestrace uhlíku částečně řeší dotace na tzv. ozelenění – greening a to jak plochy v ekologickém zájmu (EFA), tak i pěstování meziplodin. Obecně lze shrnout, že tato opatření jdou správným směrem, ale neřeší problematiku komplexně a v řadě případů jsou pravidla nastavena tak, že opatření nesplňují svůj účel. Typickým příkladem je pěstování </w:t>
      </w:r>
      <w:r w:rsidRPr="007C705C">
        <w:rPr>
          <w:rFonts w:eastAsiaTheme="minorEastAsia"/>
        </w:rPr>
        <w:lastRenderedPageBreak/>
        <w:t xml:space="preserve">meziplodin u ozimé varianty výsevu, která v důsledku znamená jen velmi malou tvorbu biomasy, krátkou dobu ochrany před erozí (a to relativně slabou vzhledem k nízké pokryvnosti). Navíc následné zapravení do půdy vede k velmi rychlému rozkladu. V suchých podmínkách zní jednoznačné doporučení pro založení porostů meziplodin do 24 hodin po sklizni. Čím déle to trvá tím, více se ztrácí vody pro vzcházení meziplodin. Vzhledem k tomu, že organizačně může být založení porostů meziplodin do 24 hodin po sklizni obtížné, je akceptovatelný termín do 48 hodin, ale ne více. To je doba, do které poměrně hodně zemědělců provádí podmítky, takže je to v praxi proveditelné. Pokud by se výsev meziplodin prováděl bezorebně, což by </w:t>
      </w:r>
      <w:r w:rsidR="00F075AF" w:rsidRPr="007C705C">
        <w:rPr>
          <w:rFonts w:eastAsiaTheme="minorEastAsia"/>
        </w:rPr>
        <w:t xml:space="preserve">mělo být v našich podmínkách maximálně zvýhodněno, pak je toto možné provést dokonce i rychleji než podmítky. Založení meziplodin bezorebně by nemělo být obligatorní, protože by podporu nedostali ti, kteří sice zasejí meziplodinu včas, ale protože nemají techniku, tak nejdříve zpracují půdu, ale vzhledem k tomu že efekt při zpracování půdy je poloviční, tak by i podpora měla být poloviční. Dále problematiku primárně řeší trvalé travní porosty. Detailní přehled ploch v greeningu poskytuje </w:t>
      </w:r>
      <w:r w:rsidR="00F075AF">
        <w:rPr>
          <w:rFonts w:eastAsiaTheme="minorEastAsia"/>
        </w:rPr>
        <w:fldChar w:fldCharType="begin"/>
      </w:r>
      <w:r w:rsidR="00F075AF">
        <w:rPr>
          <w:rFonts w:eastAsiaTheme="minorEastAsia"/>
        </w:rPr>
        <w:instrText xml:space="preserve"> REF _Ref81337311 \r \h </w:instrText>
      </w:r>
      <w:r w:rsidR="00F075AF">
        <w:rPr>
          <w:rFonts w:eastAsiaTheme="minorEastAsia"/>
        </w:rPr>
      </w:r>
      <w:r w:rsidR="00F075AF">
        <w:rPr>
          <w:rFonts w:eastAsiaTheme="minorEastAsia"/>
        </w:rPr>
        <w:fldChar w:fldCharType="separate"/>
      </w:r>
      <w:r w:rsidR="00F075AF">
        <w:rPr>
          <w:rFonts w:eastAsiaTheme="minorEastAsia"/>
        </w:rPr>
        <w:t>Tabulka 71</w:t>
      </w:r>
      <w:r w:rsidR="00F075AF">
        <w:rPr>
          <w:rFonts w:eastAsiaTheme="minorEastAsia"/>
        </w:rPr>
        <w:fldChar w:fldCharType="end"/>
      </w:r>
      <w:r w:rsidR="00F075AF">
        <w:rPr>
          <w:rFonts w:eastAsiaTheme="minorEastAsia"/>
        </w:rPr>
        <w:t>.</w:t>
      </w:r>
    </w:p>
    <w:p w14:paraId="158D01B5" w14:textId="735F58E6" w:rsidR="003E0F58" w:rsidRDefault="003E0F58" w:rsidP="005D7EA7">
      <w:pPr>
        <w:pStyle w:val="UZEITaB"/>
      </w:pPr>
      <w:bookmarkStart w:id="431" w:name="_Ref81337311"/>
      <w:bookmarkStart w:id="432" w:name="_Toc94181622"/>
      <w:r w:rsidRPr="007C705C">
        <w:lastRenderedPageBreak/>
        <w:t>Kvantifikace ploch v</w:t>
      </w:r>
      <w:r w:rsidR="004F257A">
        <w:t> </w:t>
      </w:r>
      <w:r w:rsidRPr="007C705C">
        <w:t>greeningu</w:t>
      </w:r>
      <w:bookmarkEnd w:id="431"/>
      <w:bookmarkEnd w:id="432"/>
    </w:p>
    <w:tbl>
      <w:tblPr>
        <w:tblW w:w="13585" w:type="dxa"/>
        <w:tblCellMar>
          <w:left w:w="70" w:type="dxa"/>
          <w:right w:w="70" w:type="dxa"/>
        </w:tblCellMar>
        <w:tblLook w:val="04A0" w:firstRow="1" w:lastRow="0" w:firstColumn="1" w:lastColumn="0" w:noHBand="0" w:noVBand="1"/>
      </w:tblPr>
      <w:tblGrid>
        <w:gridCol w:w="4101"/>
        <w:gridCol w:w="1262"/>
        <w:gridCol w:w="1276"/>
        <w:gridCol w:w="1276"/>
        <w:gridCol w:w="1417"/>
        <w:gridCol w:w="1418"/>
        <w:gridCol w:w="1417"/>
        <w:gridCol w:w="1418"/>
      </w:tblGrid>
      <w:tr w:rsidR="004F257A" w:rsidRPr="004F257A" w14:paraId="037A8E7D" w14:textId="77777777" w:rsidTr="004D2249">
        <w:trPr>
          <w:trHeight w:val="645"/>
        </w:trPr>
        <w:tc>
          <w:tcPr>
            <w:tcW w:w="4101" w:type="dxa"/>
            <w:tcBorders>
              <w:top w:val="single" w:sz="8" w:space="0" w:color="auto"/>
              <w:left w:val="single" w:sz="8" w:space="0" w:color="auto"/>
              <w:bottom w:val="single" w:sz="8" w:space="0" w:color="auto"/>
              <w:right w:val="single" w:sz="8" w:space="0" w:color="auto"/>
            </w:tcBorders>
            <w:shd w:val="clear" w:color="000000" w:fill="FFE699"/>
            <w:vAlign w:val="center"/>
            <w:hideMark/>
          </w:tcPr>
          <w:p w14:paraId="2BE26B43" w14:textId="77777777" w:rsidR="004F257A" w:rsidRPr="004F257A" w:rsidRDefault="004F257A" w:rsidP="004D2249">
            <w:pPr>
              <w:jc w:val="center"/>
              <w:rPr>
                <w:rFonts w:cs="Times New Roman"/>
                <w:b/>
                <w:bCs/>
                <w:color w:val="000000"/>
                <w:sz w:val="20"/>
                <w:szCs w:val="20"/>
              </w:rPr>
            </w:pPr>
            <w:r w:rsidRPr="004F257A">
              <w:rPr>
                <w:rFonts w:cs="Times New Roman"/>
                <w:b/>
                <w:bCs/>
                <w:color w:val="000000"/>
                <w:sz w:val="20"/>
                <w:szCs w:val="20"/>
              </w:rPr>
              <w:t>Výměra DPB [ha] deklarovaná v rámci opatření AEKO OTP</w:t>
            </w:r>
          </w:p>
        </w:tc>
        <w:tc>
          <w:tcPr>
            <w:tcW w:w="1262" w:type="dxa"/>
            <w:tcBorders>
              <w:top w:val="single" w:sz="8" w:space="0" w:color="auto"/>
              <w:left w:val="nil"/>
              <w:bottom w:val="single" w:sz="8" w:space="0" w:color="auto"/>
              <w:right w:val="single" w:sz="4" w:space="0" w:color="auto"/>
            </w:tcBorders>
            <w:shd w:val="clear" w:color="000000" w:fill="FFE699"/>
            <w:noWrap/>
            <w:vAlign w:val="center"/>
            <w:hideMark/>
          </w:tcPr>
          <w:p w14:paraId="2839BEFC" w14:textId="77777777" w:rsidR="004F257A" w:rsidRPr="004F257A" w:rsidRDefault="004F257A" w:rsidP="004D2249">
            <w:pPr>
              <w:jc w:val="center"/>
              <w:rPr>
                <w:rFonts w:cs="Times New Roman"/>
                <w:b/>
                <w:bCs/>
                <w:color w:val="000000"/>
                <w:sz w:val="20"/>
                <w:szCs w:val="20"/>
              </w:rPr>
            </w:pPr>
            <w:r w:rsidRPr="004F257A">
              <w:rPr>
                <w:rFonts w:cs="Times New Roman"/>
                <w:b/>
                <w:bCs/>
                <w:color w:val="000000"/>
                <w:sz w:val="20"/>
                <w:szCs w:val="20"/>
              </w:rPr>
              <w:t>2015</w:t>
            </w:r>
          </w:p>
        </w:tc>
        <w:tc>
          <w:tcPr>
            <w:tcW w:w="1276" w:type="dxa"/>
            <w:tcBorders>
              <w:top w:val="single" w:sz="8" w:space="0" w:color="auto"/>
              <w:left w:val="nil"/>
              <w:bottom w:val="single" w:sz="8" w:space="0" w:color="auto"/>
              <w:right w:val="single" w:sz="4" w:space="0" w:color="auto"/>
            </w:tcBorders>
            <w:shd w:val="clear" w:color="000000" w:fill="FFE699"/>
            <w:noWrap/>
            <w:vAlign w:val="center"/>
            <w:hideMark/>
          </w:tcPr>
          <w:p w14:paraId="4A6094A0" w14:textId="77777777" w:rsidR="004F257A" w:rsidRPr="004F257A" w:rsidRDefault="004F257A" w:rsidP="004D2249">
            <w:pPr>
              <w:jc w:val="center"/>
              <w:rPr>
                <w:rFonts w:cs="Times New Roman"/>
                <w:b/>
                <w:bCs/>
                <w:color w:val="000000"/>
                <w:sz w:val="20"/>
                <w:szCs w:val="20"/>
              </w:rPr>
            </w:pPr>
            <w:r w:rsidRPr="004F257A">
              <w:rPr>
                <w:rFonts w:cs="Times New Roman"/>
                <w:b/>
                <w:bCs/>
                <w:color w:val="000000"/>
                <w:sz w:val="20"/>
                <w:szCs w:val="20"/>
              </w:rPr>
              <w:t>2016</w:t>
            </w:r>
          </w:p>
        </w:tc>
        <w:tc>
          <w:tcPr>
            <w:tcW w:w="1276" w:type="dxa"/>
            <w:tcBorders>
              <w:top w:val="single" w:sz="8" w:space="0" w:color="auto"/>
              <w:left w:val="nil"/>
              <w:bottom w:val="single" w:sz="8" w:space="0" w:color="auto"/>
              <w:right w:val="single" w:sz="4" w:space="0" w:color="auto"/>
            </w:tcBorders>
            <w:shd w:val="clear" w:color="000000" w:fill="FFE699"/>
            <w:noWrap/>
            <w:vAlign w:val="center"/>
            <w:hideMark/>
          </w:tcPr>
          <w:p w14:paraId="7632981C" w14:textId="77777777" w:rsidR="004F257A" w:rsidRPr="004F257A" w:rsidRDefault="004F257A" w:rsidP="004D2249">
            <w:pPr>
              <w:jc w:val="center"/>
              <w:rPr>
                <w:rFonts w:cs="Times New Roman"/>
                <w:b/>
                <w:bCs/>
                <w:color w:val="000000"/>
                <w:sz w:val="20"/>
                <w:szCs w:val="20"/>
              </w:rPr>
            </w:pPr>
            <w:r w:rsidRPr="004F257A">
              <w:rPr>
                <w:rFonts w:cs="Times New Roman"/>
                <w:b/>
                <w:bCs/>
                <w:color w:val="000000"/>
                <w:sz w:val="20"/>
                <w:szCs w:val="20"/>
              </w:rPr>
              <w:t>2017</w:t>
            </w:r>
          </w:p>
        </w:tc>
        <w:tc>
          <w:tcPr>
            <w:tcW w:w="1417" w:type="dxa"/>
            <w:tcBorders>
              <w:top w:val="single" w:sz="8" w:space="0" w:color="auto"/>
              <w:left w:val="nil"/>
              <w:bottom w:val="single" w:sz="8" w:space="0" w:color="auto"/>
              <w:right w:val="single" w:sz="4" w:space="0" w:color="auto"/>
            </w:tcBorders>
            <w:shd w:val="clear" w:color="000000" w:fill="FFE699"/>
            <w:noWrap/>
            <w:vAlign w:val="center"/>
            <w:hideMark/>
          </w:tcPr>
          <w:p w14:paraId="0E027026" w14:textId="77777777" w:rsidR="004F257A" w:rsidRPr="004F257A" w:rsidRDefault="004F257A" w:rsidP="004D2249">
            <w:pPr>
              <w:jc w:val="center"/>
              <w:rPr>
                <w:rFonts w:cs="Times New Roman"/>
                <w:b/>
                <w:bCs/>
                <w:color w:val="000000"/>
                <w:sz w:val="20"/>
                <w:szCs w:val="20"/>
              </w:rPr>
            </w:pPr>
            <w:r w:rsidRPr="004F257A">
              <w:rPr>
                <w:rFonts w:cs="Times New Roman"/>
                <w:b/>
                <w:bCs/>
                <w:color w:val="000000"/>
                <w:sz w:val="20"/>
                <w:szCs w:val="20"/>
              </w:rPr>
              <w:t>2018</w:t>
            </w:r>
          </w:p>
        </w:tc>
        <w:tc>
          <w:tcPr>
            <w:tcW w:w="1418" w:type="dxa"/>
            <w:tcBorders>
              <w:top w:val="single" w:sz="8" w:space="0" w:color="auto"/>
              <w:left w:val="nil"/>
              <w:bottom w:val="single" w:sz="8" w:space="0" w:color="auto"/>
              <w:right w:val="single" w:sz="4" w:space="0" w:color="auto"/>
            </w:tcBorders>
            <w:shd w:val="clear" w:color="000000" w:fill="FFE699"/>
            <w:noWrap/>
            <w:vAlign w:val="center"/>
            <w:hideMark/>
          </w:tcPr>
          <w:p w14:paraId="0E950C98" w14:textId="77777777" w:rsidR="004F257A" w:rsidRPr="004F257A" w:rsidRDefault="004F257A" w:rsidP="004D2249">
            <w:pPr>
              <w:jc w:val="center"/>
              <w:rPr>
                <w:rFonts w:cs="Times New Roman"/>
                <w:b/>
                <w:bCs/>
                <w:color w:val="000000"/>
                <w:sz w:val="20"/>
                <w:szCs w:val="20"/>
              </w:rPr>
            </w:pPr>
            <w:r w:rsidRPr="004F257A">
              <w:rPr>
                <w:rFonts w:cs="Times New Roman"/>
                <w:b/>
                <w:bCs/>
                <w:color w:val="000000"/>
                <w:sz w:val="20"/>
                <w:szCs w:val="20"/>
              </w:rPr>
              <w:t>2019</w:t>
            </w:r>
          </w:p>
        </w:tc>
        <w:tc>
          <w:tcPr>
            <w:tcW w:w="1417" w:type="dxa"/>
            <w:tcBorders>
              <w:top w:val="single" w:sz="8" w:space="0" w:color="auto"/>
              <w:left w:val="nil"/>
              <w:bottom w:val="single" w:sz="8" w:space="0" w:color="auto"/>
              <w:right w:val="single" w:sz="4" w:space="0" w:color="auto"/>
            </w:tcBorders>
            <w:shd w:val="clear" w:color="000000" w:fill="FFE699"/>
            <w:noWrap/>
            <w:vAlign w:val="center"/>
            <w:hideMark/>
          </w:tcPr>
          <w:p w14:paraId="0710CBD5" w14:textId="77777777" w:rsidR="004F257A" w:rsidRPr="004F257A" w:rsidRDefault="004F257A" w:rsidP="004D2249">
            <w:pPr>
              <w:jc w:val="center"/>
              <w:rPr>
                <w:rFonts w:cs="Times New Roman"/>
                <w:b/>
                <w:bCs/>
                <w:color w:val="000000"/>
                <w:sz w:val="20"/>
                <w:szCs w:val="20"/>
              </w:rPr>
            </w:pPr>
            <w:r w:rsidRPr="004F257A">
              <w:rPr>
                <w:rFonts w:cs="Times New Roman"/>
                <w:b/>
                <w:bCs/>
                <w:color w:val="000000"/>
                <w:sz w:val="20"/>
                <w:szCs w:val="20"/>
              </w:rPr>
              <w:t>2020</w:t>
            </w:r>
          </w:p>
        </w:tc>
        <w:tc>
          <w:tcPr>
            <w:tcW w:w="1418" w:type="dxa"/>
            <w:tcBorders>
              <w:top w:val="single" w:sz="8" w:space="0" w:color="auto"/>
              <w:left w:val="nil"/>
              <w:bottom w:val="single" w:sz="8" w:space="0" w:color="auto"/>
              <w:right w:val="single" w:sz="8" w:space="0" w:color="auto"/>
            </w:tcBorders>
            <w:shd w:val="clear" w:color="000000" w:fill="FFE699"/>
            <w:noWrap/>
            <w:vAlign w:val="center"/>
            <w:hideMark/>
          </w:tcPr>
          <w:p w14:paraId="2A686F17" w14:textId="77777777" w:rsidR="004F257A" w:rsidRPr="004F257A" w:rsidRDefault="004F257A" w:rsidP="004D2249">
            <w:pPr>
              <w:jc w:val="center"/>
              <w:rPr>
                <w:rFonts w:cs="Times New Roman"/>
                <w:b/>
                <w:bCs/>
                <w:color w:val="000000"/>
                <w:sz w:val="20"/>
                <w:szCs w:val="20"/>
              </w:rPr>
            </w:pPr>
            <w:r w:rsidRPr="004F257A">
              <w:rPr>
                <w:rFonts w:cs="Times New Roman"/>
                <w:b/>
                <w:bCs/>
                <w:color w:val="000000"/>
                <w:sz w:val="20"/>
                <w:szCs w:val="20"/>
              </w:rPr>
              <w:t>2021</w:t>
            </w:r>
          </w:p>
        </w:tc>
      </w:tr>
      <w:tr w:rsidR="004F257A" w:rsidRPr="004F257A" w14:paraId="2E4255BA" w14:textId="77777777" w:rsidTr="004D2249">
        <w:trPr>
          <w:trHeight w:val="300"/>
        </w:trPr>
        <w:tc>
          <w:tcPr>
            <w:tcW w:w="4101" w:type="dxa"/>
            <w:tcBorders>
              <w:top w:val="nil"/>
              <w:left w:val="single" w:sz="8" w:space="0" w:color="auto"/>
              <w:bottom w:val="single" w:sz="4" w:space="0" w:color="auto"/>
              <w:right w:val="single" w:sz="8" w:space="0" w:color="auto"/>
            </w:tcBorders>
            <w:shd w:val="clear" w:color="auto" w:fill="auto"/>
            <w:noWrap/>
            <w:vAlign w:val="center"/>
            <w:hideMark/>
          </w:tcPr>
          <w:p w14:paraId="0FB90FAE" w14:textId="77777777" w:rsidR="004F257A" w:rsidRPr="004F257A" w:rsidRDefault="004F257A" w:rsidP="004D2249">
            <w:pPr>
              <w:jc w:val="center"/>
              <w:rPr>
                <w:rFonts w:cs="Times New Roman"/>
                <w:b/>
                <w:bCs/>
                <w:color w:val="000000"/>
                <w:sz w:val="20"/>
                <w:szCs w:val="20"/>
              </w:rPr>
            </w:pPr>
            <w:r w:rsidRPr="004F257A">
              <w:rPr>
                <w:rFonts w:cs="Times New Roman"/>
                <w:b/>
                <w:bCs/>
                <w:color w:val="000000"/>
                <w:sz w:val="20"/>
                <w:szCs w:val="20"/>
              </w:rPr>
              <w:t>Ochrana chřástala</w:t>
            </w:r>
          </w:p>
        </w:tc>
        <w:tc>
          <w:tcPr>
            <w:tcW w:w="1262" w:type="dxa"/>
            <w:tcBorders>
              <w:top w:val="nil"/>
              <w:left w:val="nil"/>
              <w:bottom w:val="single" w:sz="4" w:space="0" w:color="auto"/>
              <w:right w:val="single" w:sz="4" w:space="0" w:color="auto"/>
            </w:tcBorders>
            <w:shd w:val="clear" w:color="auto" w:fill="auto"/>
            <w:noWrap/>
            <w:vAlign w:val="bottom"/>
            <w:hideMark/>
          </w:tcPr>
          <w:p w14:paraId="499B3783"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9 684,81</w:t>
            </w:r>
          </w:p>
        </w:tc>
        <w:tc>
          <w:tcPr>
            <w:tcW w:w="1276" w:type="dxa"/>
            <w:tcBorders>
              <w:top w:val="nil"/>
              <w:left w:val="nil"/>
              <w:bottom w:val="single" w:sz="4" w:space="0" w:color="auto"/>
              <w:right w:val="single" w:sz="4" w:space="0" w:color="auto"/>
            </w:tcBorders>
            <w:shd w:val="clear" w:color="auto" w:fill="auto"/>
            <w:noWrap/>
            <w:vAlign w:val="bottom"/>
            <w:hideMark/>
          </w:tcPr>
          <w:p w14:paraId="62AD8A5C"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12 074,01</w:t>
            </w:r>
          </w:p>
        </w:tc>
        <w:tc>
          <w:tcPr>
            <w:tcW w:w="1276" w:type="dxa"/>
            <w:tcBorders>
              <w:top w:val="nil"/>
              <w:left w:val="nil"/>
              <w:bottom w:val="single" w:sz="4" w:space="0" w:color="auto"/>
              <w:right w:val="single" w:sz="4" w:space="0" w:color="auto"/>
            </w:tcBorders>
            <w:shd w:val="clear" w:color="auto" w:fill="auto"/>
            <w:noWrap/>
            <w:vAlign w:val="bottom"/>
            <w:hideMark/>
          </w:tcPr>
          <w:p w14:paraId="36A1C93C"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12 028,99</w:t>
            </w:r>
          </w:p>
        </w:tc>
        <w:tc>
          <w:tcPr>
            <w:tcW w:w="1417" w:type="dxa"/>
            <w:tcBorders>
              <w:top w:val="nil"/>
              <w:left w:val="nil"/>
              <w:bottom w:val="single" w:sz="4" w:space="0" w:color="auto"/>
              <w:right w:val="single" w:sz="4" w:space="0" w:color="auto"/>
            </w:tcBorders>
            <w:shd w:val="clear" w:color="auto" w:fill="auto"/>
            <w:noWrap/>
            <w:vAlign w:val="bottom"/>
            <w:hideMark/>
          </w:tcPr>
          <w:p w14:paraId="77B1C628"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12 049,88</w:t>
            </w:r>
          </w:p>
        </w:tc>
        <w:tc>
          <w:tcPr>
            <w:tcW w:w="1418" w:type="dxa"/>
            <w:tcBorders>
              <w:top w:val="nil"/>
              <w:left w:val="nil"/>
              <w:bottom w:val="single" w:sz="4" w:space="0" w:color="auto"/>
              <w:right w:val="single" w:sz="4" w:space="0" w:color="auto"/>
            </w:tcBorders>
            <w:shd w:val="clear" w:color="auto" w:fill="auto"/>
            <w:noWrap/>
            <w:vAlign w:val="bottom"/>
            <w:hideMark/>
          </w:tcPr>
          <w:p w14:paraId="7A0BD1AE"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11 862,26</w:t>
            </w:r>
          </w:p>
        </w:tc>
        <w:tc>
          <w:tcPr>
            <w:tcW w:w="1417" w:type="dxa"/>
            <w:tcBorders>
              <w:top w:val="nil"/>
              <w:left w:val="nil"/>
              <w:bottom w:val="single" w:sz="4" w:space="0" w:color="auto"/>
              <w:right w:val="single" w:sz="4" w:space="0" w:color="auto"/>
            </w:tcBorders>
            <w:shd w:val="clear" w:color="auto" w:fill="auto"/>
            <w:noWrap/>
            <w:vAlign w:val="bottom"/>
            <w:hideMark/>
          </w:tcPr>
          <w:p w14:paraId="327808CE"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11 150,22</w:t>
            </w:r>
          </w:p>
        </w:tc>
        <w:tc>
          <w:tcPr>
            <w:tcW w:w="1418" w:type="dxa"/>
            <w:tcBorders>
              <w:top w:val="nil"/>
              <w:left w:val="nil"/>
              <w:bottom w:val="single" w:sz="4" w:space="0" w:color="auto"/>
              <w:right w:val="single" w:sz="8" w:space="0" w:color="auto"/>
            </w:tcBorders>
            <w:shd w:val="clear" w:color="auto" w:fill="auto"/>
            <w:noWrap/>
            <w:vAlign w:val="bottom"/>
            <w:hideMark/>
          </w:tcPr>
          <w:p w14:paraId="41F6A5C5"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11 097,20</w:t>
            </w:r>
          </w:p>
        </w:tc>
      </w:tr>
      <w:tr w:rsidR="004F257A" w:rsidRPr="004F257A" w14:paraId="00AB0D37" w14:textId="77777777" w:rsidTr="004D2249">
        <w:trPr>
          <w:trHeight w:val="300"/>
        </w:trPr>
        <w:tc>
          <w:tcPr>
            <w:tcW w:w="4101" w:type="dxa"/>
            <w:tcBorders>
              <w:top w:val="nil"/>
              <w:left w:val="single" w:sz="8" w:space="0" w:color="auto"/>
              <w:bottom w:val="single" w:sz="4" w:space="0" w:color="auto"/>
              <w:right w:val="single" w:sz="8" w:space="0" w:color="auto"/>
            </w:tcBorders>
            <w:shd w:val="clear" w:color="000000" w:fill="EDEDED"/>
            <w:noWrap/>
            <w:vAlign w:val="center"/>
            <w:hideMark/>
          </w:tcPr>
          <w:p w14:paraId="41DF8E45" w14:textId="77777777" w:rsidR="004F257A" w:rsidRPr="004F257A" w:rsidRDefault="004F257A" w:rsidP="004D2249">
            <w:pPr>
              <w:jc w:val="center"/>
              <w:rPr>
                <w:rFonts w:cs="Times New Roman"/>
                <w:b/>
                <w:bCs/>
                <w:color w:val="000000"/>
                <w:sz w:val="20"/>
                <w:szCs w:val="20"/>
              </w:rPr>
            </w:pPr>
            <w:r w:rsidRPr="004F257A">
              <w:rPr>
                <w:rFonts w:cs="Times New Roman"/>
                <w:b/>
                <w:bCs/>
                <w:color w:val="000000"/>
                <w:sz w:val="20"/>
                <w:szCs w:val="20"/>
              </w:rPr>
              <w:t>Druhově bohaté louky</w:t>
            </w:r>
          </w:p>
        </w:tc>
        <w:tc>
          <w:tcPr>
            <w:tcW w:w="1262" w:type="dxa"/>
            <w:tcBorders>
              <w:top w:val="nil"/>
              <w:left w:val="nil"/>
              <w:bottom w:val="single" w:sz="4" w:space="0" w:color="auto"/>
              <w:right w:val="single" w:sz="4" w:space="0" w:color="auto"/>
            </w:tcBorders>
            <w:shd w:val="clear" w:color="000000" w:fill="EDEDED"/>
            <w:noWrap/>
            <w:vAlign w:val="bottom"/>
            <w:hideMark/>
          </w:tcPr>
          <w:p w14:paraId="3861D4C5"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68 204,87</w:t>
            </w:r>
          </w:p>
        </w:tc>
        <w:tc>
          <w:tcPr>
            <w:tcW w:w="1276" w:type="dxa"/>
            <w:tcBorders>
              <w:top w:val="nil"/>
              <w:left w:val="nil"/>
              <w:bottom w:val="single" w:sz="4" w:space="0" w:color="auto"/>
              <w:right w:val="single" w:sz="4" w:space="0" w:color="auto"/>
            </w:tcBorders>
            <w:shd w:val="clear" w:color="000000" w:fill="EDEDED"/>
            <w:noWrap/>
            <w:vAlign w:val="bottom"/>
            <w:hideMark/>
          </w:tcPr>
          <w:p w14:paraId="1C2C4C08"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89 483,77</w:t>
            </w:r>
          </w:p>
        </w:tc>
        <w:tc>
          <w:tcPr>
            <w:tcW w:w="1276" w:type="dxa"/>
            <w:tcBorders>
              <w:top w:val="nil"/>
              <w:left w:val="nil"/>
              <w:bottom w:val="single" w:sz="4" w:space="0" w:color="auto"/>
              <w:right w:val="single" w:sz="4" w:space="0" w:color="auto"/>
            </w:tcBorders>
            <w:shd w:val="clear" w:color="000000" w:fill="EDEDED"/>
            <w:noWrap/>
            <w:vAlign w:val="bottom"/>
            <w:hideMark/>
          </w:tcPr>
          <w:p w14:paraId="6A6D86CD"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90 584,93</w:t>
            </w:r>
          </w:p>
        </w:tc>
        <w:tc>
          <w:tcPr>
            <w:tcW w:w="1417" w:type="dxa"/>
            <w:tcBorders>
              <w:top w:val="nil"/>
              <w:left w:val="nil"/>
              <w:bottom w:val="single" w:sz="4" w:space="0" w:color="auto"/>
              <w:right w:val="single" w:sz="4" w:space="0" w:color="auto"/>
            </w:tcBorders>
            <w:shd w:val="clear" w:color="000000" w:fill="EDEDED"/>
            <w:noWrap/>
            <w:vAlign w:val="bottom"/>
            <w:hideMark/>
          </w:tcPr>
          <w:p w14:paraId="06D953A6"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91 239,36</w:t>
            </w:r>
          </w:p>
        </w:tc>
        <w:tc>
          <w:tcPr>
            <w:tcW w:w="1418" w:type="dxa"/>
            <w:tcBorders>
              <w:top w:val="nil"/>
              <w:left w:val="nil"/>
              <w:bottom w:val="single" w:sz="4" w:space="0" w:color="auto"/>
              <w:right w:val="single" w:sz="4" w:space="0" w:color="auto"/>
            </w:tcBorders>
            <w:shd w:val="clear" w:color="000000" w:fill="EDEDED"/>
            <w:noWrap/>
            <w:vAlign w:val="bottom"/>
            <w:hideMark/>
          </w:tcPr>
          <w:p w14:paraId="5A6AAD5E"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91 475,64</w:t>
            </w:r>
          </w:p>
        </w:tc>
        <w:tc>
          <w:tcPr>
            <w:tcW w:w="1417" w:type="dxa"/>
            <w:tcBorders>
              <w:top w:val="nil"/>
              <w:left w:val="nil"/>
              <w:bottom w:val="single" w:sz="4" w:space="0" w:color="auto"/>
              <w:right w:val="single" w:sz="4" w:space="0" w:color="auto"/>
            </w:tcBorders>
            <w:shd w:val="clear" w:color="000000" w:fill="EDEDED"/>
            <w:noWrap/>
            <w:vAlign w:val="bottom"/>
            <w:hideMark/>
          </w:tcPr>
          <w:p w14:paraId="4989D37A"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88 035,93</w:t>
            </w:r>
          </w:p>
        </w:tc>
        <w:tc>
          <w:tcPr>
            <w:tcW w:w="1418" w:type="dxa"/>
            <w:tcBorders>
              <w:top w:val="nil"/>
              <w:left w:val="nil"/>
              <w:bottom w:val="single" w:sz="4" w:space="0" w:color="auto"/>
              <w:right w:val="single" w:sz="8" w:space="0" w:color="auto"/>
            </w:tcBorders>
            <w:shd w:val="clear" w:color="000000" w:fill="EDEDED"/>
            <w:noWrap/>
            <w:vAlign w:val="bottom"/>
            <w:hideMark/>
          </w:tcPr>
          <w:p w14:paraId="4782D17A"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87 791,41</w:t>
            </w:r>
          </w:p>
        </w:tc>
      </w:tr>
      <w:tr w:rsidR="004F257A" w:rsidRPr="004F257A" w14:paraId="243C26F8" w14:textId="77777777" w:rsidTr="004D2249">
        <w:trPr>
          <w:trHeight w:val="300"/>
        </w:trPr>
        <w:tc>
          <w:tcPr>
            <w:tcW w:w="4101" w:type="dxa"/>
            <w:tcBorders>
              <w:top w:val="nil"/>
              <w:left w:val="single" w:sz="8" w:space="0" w:color="auto"/>
              <w:bottom w:val="single" w:sz="4" w:space="0" w:color="auto"/>
              <w:right w:val="single" w:sz="8" w:space="0" w:color="auto"/>
            </w:tcBorders>
            <w:shd w:val="clear" w:color="auto" w:fill="auto"/>
            <w:noWrap/>
            <w:vAlign w:val="center"/>
            <w:hideMark/>
          </w:tcPr>
          <w:p w14:paraId="3D26ACEE" w14:textId="77777777" w:rsidR="004F257A" w:rsidRPr="004F257A" w:rsidRDefault="004F257A" w:rsidP="004D2249">
            <w:pPr>
              <w:jc w:val="center"/>
              <w:rPr>
                <w:rFonts w:cs="Times New Roman"/>
                <w:b/>
                <w:bCs/>
                <w:color w:val="000000"/>
                <w:sz w:val="20"/>
                <w:szCs w:val="20"/>
              </w:rPr>
            </w:pPr>
            <w:r w:rsidRPr="004F257A">
              <w:rPr>
                <w:rFonts w:cs="Times New Roman"/>
                <w:b/>
                <w:bCs/>
                <w:color w:val="000000"/>
                <w:sz w:val="20"/>
                <w:szCs w:val="20"/>
              </w:rPr>
              <w:t>Horské suché louky hnojené</w:t>
            </w:r>
          </w:p>
        </w:tc>
        <w:tc>
          <w:tcPr>
            <w:tcW w:w="1262" w:type="dxa"/>
            <w:tcBorders>
              <w:top w:val="nil"/>
              <w:left w:val="nil"/>
              <w:bottom w:val="single" w:sz="4" w:space="0" w:color="auto"/>
              <w:right w:val="single" w:sz="4" w:space="0" w:color="auto"/>
            </w:tcBorders>
            <w:shd w:val="clear" w:color="auto" w:fill="auto"/>
            <w:noWrap/>
            <w:vAlign w:val="bottom"/>
            <w:hideMark/>
          </w:tcPr>
          <w:p w14:paraId="0FC4F7EA"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3 044,31</w:t>
            </w:r>
          </w:p>
        </w:tc>
        <w:tc>
          <w:tcPr>
            <w:tcW w:w="1276" w:type="dxa"/>
            <w:tcBorders>
              <w:top w:val="nil"/>
              <w:left w:val="nil"/>
              <w:bottom w:val="single" w:sz="4" w:space="0" w:color="auto"/>
              <w:right w:val="single" w:sz="4" w:space="0" w:color="auto"/>
            </w:tcBorders>
            <w:shd w:val="clear" w:color="auto" w:fill="auto"/>
            <w:noWrap/>
            <w:vAlign w:val="bottom"/>
            <w:hideMark/>
          </w:tcPr>
          <w:p w14:paraId="12677599"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3 199,49</w:t>
            </w:r>
          </w:p>
        </w:tc>
        <w:tc>
          <w:tcPr>
            <w:tcW w:w="1276" w:type="dxa"/>
            <w:tcBorders>
              <w:top w:val="nil"/>
              <w:left w:val="nil"/>
              <w:bottom w:val="single" w:sz="4" w:space="0" w:color="auto"/>
              <w:right w:val="single" w:sz="4" w:space="0" w:color="auto"/>
            </w:tcBorders>
            <w:shd w:val="clear" w:color="auto" w:fill="auto"/>
            <w:noWrap/>
            <w:vAlign w:val="bottom"/>
            <w:hideMark/>
          </w:tcPr>
          <w:p w14:paraId="26171ACB"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3 256,81</w:t>
            </w:r>
          </w:p>
        </w:tc>
        <w:tc>
          <w:tcPr>
            <w:tcW w:w="1417" w:type="dxa"/>
            <w:tcBorders>
              <w:top w:val="nil"/>
              <w:left w:val="nil"/>
              <w:bottom w:val="single" w:sz="4" w:space="0" w:color="auto"/>
              <w:right w:val="single" w:sz="4" w:space="0" w:color="auto"/>
            </w:tcBorders>
            <w:shd w:val="clear" w:color="auto" w:fill="auto"/>
            <w:noWrap/>
            <w:vAlign w:val="bottom"/>
            <w:hideMark/>
          </w:tcPr>
          <w:p w14:paraId="5F6B97AA"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3 304,79</w:t>
            </w:r>
          </w:p>
        </w:tc>
        <w:tc>
          <w:tcPr>
            <w:tcW w:w="1418" w:type="dxa"/>
            <w:tcBorders>
              <w:top w:val="nil"/>
              <w:left w:val="nil"/>
              <w:bottom w:val="single" w:sz="4" w:space="0" w:color="auto"/>
              <w:right w:val="single" w:sz="4" w:space="0" w:color="auto"/>
            </w:tcBorders>
            <w:shd w:val="clear" w:color="auto" w:fill="auto"/>
            <w:noWrap/>
            <w:vAlign w:val="bottom"/>
            <w:hideMark/>
          </w:tcPr>
          <w:p w14:paraId="3DA63E42"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3 306,41</w:t>
            </w:r>
          </w:p>
        </w:tc>
        <w:tc>
          <w:tcPr>
            <w:tcW w:w="1417" w:type="dxa"/>
            <w:tcBorders>
              <w:top w:val="nil"/>
              <w:left w:val="nil"/>
              <w:bottom w:val="single" w:sz="4" w:space="0" w:color="auto"/>
              <w:right w:val="single" w:sz="4" w:space="0" w:color="auto"/>
            </w:tcBorders>
            <w:shd w:val="clear" w:color="auto" w:fill="auto"/>
            <w:noWrap/>
            <w:vAlign w:val="bottom"/>
            <w:hideMark/>
          </w:tcPr>
          <w:p w14:paraId="2DAF3A3A"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3 139,86</w:t>
            </w:r>
          </w:p>
        </w:tc>
        <w:tc>
          <w:tcPr>
            <w:tcW w:w="1418" w:type="dxa"/>
            <w:tcBorders>
              <w:top w:val="nil"/>
              <w:left w:val="nil"/>
              <w:bottom w:val="single" w:sz="4" w:space="0" w:color="auto"/>
              <w:right w:val="single" w:sz="8" w:space="0" w:color="auto"/>
            </w:tcBorders>
            <w:shd w:val="clear" w:color="auto" w:fill="auto"/>
            <w:noWrap/>
            <w:vAlign w:val="bottom"/>
            <w:hideMark/>
          </w:tcPr>
          <w:p w14:paraId="36598B27"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3 110,24</w:t>
            </w:r>
          </w:p>
        </w:tc>
      </w:tr>
      <w:tr w:rsidR="004F257A" w:rsidRPr="004F257A" w14:paraId="26246B06" w14:textId="77777777" w:rsidTr="004D2249">
        <w:trPr>
          <w:trHeight w:val="300"/>
        </w:trPr>
        <w:tc>
          <w:tcPr>
            <w:tcW w:w="4101" w:type="dxa"/>
            <w:tcBorders>
              <w:top w:val="nil"/>
              <w:left w:val="single" w:sz="8" w:space="0" w:color="auto"/>
              <w:bottom w:val="single" w:sz="4" w:space="0" w:color="auto"/>
              <w:right w:val="single" w:sz="8" w:space="0" w:color="auto"/>
            </w:tcBorders>
            <w:shd w:val="clear" w:color="000000" w:fill="EDEDED"/>
            <w:noWrap/>
            <w:vAlign w:val="center"/>
            <w:hideMark/>
          </w:tcPr>
          <w:p w14:paraId="32AFBCBB" w14:textId="77777777" w:rsidR="004F257A" w:rsidRPr="004F257A" w:rsidRDefault="004F257A" w:rsidP="004D2249">
            <w:pPr>
              <w:jc w:val="center"/>
              <w:rPr>
                <w:rFonts w:cs="Times New Roman"/>
                <w:b/>
                <w:bCs/>
                <w:color w:val="000000"/>
                <w:sz w:val="20"/>
                <w:szCs w:val="20"/>
              </w:rPr>
            </w:pPr>
            <w:r w:rsidRPr="004F257A">
              <w:rPr>
                <w:rFonts w:cs="Times New Roman"/>
                <w:b/>
                <w:bCs/>
                <w:color w:val="000000"/>
                <w:sz w:val="20"/>
                <w:szCs w:val="20"/>
              </w:rPr>
              <w:t>Horské suché louky nehnojené</w:t>
            </w:r>
          </w:p>
        </w:tc>
        <w:tc>
          <w:tcPr>
            <w:tcW w:w="1262" w:type="dxa"/>
            <w:tcBorders>
              <w:top w:val="nil"/>
              <w:left w:val="nil"/>
              <w:bottom w:val="single" w:sz="4" w:space="0" w:color="auto"/>
              <w:right w:val="single" w:sz="4" w:space="0" w:color="auto"/>
            </w:tcBorders>
            <w:shd w:val="clear" w:color="000000" w:fill="EDEDED"/>
            <w:noWrap/>
            <w:vAlign w:val="bottom"/>
            <w:hideMark/>
          </w:tcPr>
          <w:p w14:paraId="1AE81419"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15 190,35</w:t>
            </w:r>
          </w:p>
        </w:tc>
        <w:tc>
          <w:tcPr>
            <w:tcW w:w="1276" w:type="dxa"/>
            <w:tcBorders>
              <w:top w:val="nil"/>
              <w:left w:val="nil"/>
              <w:bottom w:val="single" w:sz="4" w:space="0" w:color="auto"/>
              <w:right w:val="single" w:sz="4" w:space="0" w:color="auto"/>
            </w:tcBorders>
            <w:shd w:val="clear" w:color="000000" w:fill="EDEDED"/>
            <w:noWrap/>
            <w:vAlign w:val="bottom"/>
            <w:hideMark/>
          </w:tcPr>
          <w:p w14:paraId="5457C578"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18 564,17</w:t>
            </w:r>
          </w:p>
        </w:tc>
        <w:tc>
          <w:tcPr>
            <w:tcW w:w="1276" w:type="dxa"/>
            <w:tcBorders>
              <w:top w:val="nil"/>
              <w:left w:val="nil"/>
              <w:bottom w:val="single" w:sz="4" w:space="0" w:color="auto"/>
              <w:right w:val="single" w:sz="4" w:space="0" w:color="auto"/>
            </w:tcBorders>
            <w:shd w:val="clear" w:color="000000" w:fill="EDEDED"/>
            <w:noWrap/>
            <w:vAlign w:val="bottom"/>
            <w:hideMark/>
          </w:tcPr>
          <w:p w14:paraId="463F63E3"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18 838,04</w:t>
            </w:r>
          </w:p>
        </w:tc>
        <w:tc>
          <w:tcPr>
            <w:tcW w:w="1417" w:type="dxa"/>
            <w:tcBorders>
              <w:top w:val="nil"/>
              <w:left w:val="nil"/>
              <w:bottom w:val="single" w:sz="4" w:space="0" w:color="auto"/>
              <w:right w:val="single" w:sz="4" w:space="0" w:color="auto"/>
            </w:tcBorders>
            <w:shd w:val="clear" w:color="000000" w:fill="EDEDED"/>
            <w:noWrap/>
            <w:vAlign w:val="bottom"/>
            <w:hideMark/>
          </w:tcPr>
          <w:p w14:paraId="08E7C666"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18 921,83</w:t>
            </w:r>
          </w:p>
        </w:tc>
        <w:tc>
          <w:tcPr>
            <w:tcW w:w="1418" w:type="dxa"/>
            <w:tcBorders>
              <w:top w:val="nil"/>
              <w:left w:val="nil"/>
              <w:bottom w:val="single" w:sz="4" w:space="0" w:color="auto"/>
              <w:right w:val="single" w:sz="4" w:space="0" w:color="auto"/>
            </w:tcBorders>
            <w:shd w:val="clear" w:color="000000" w:fill="EDEDED"/>
            <w:noWrap/>
            <w:vAlign w:val="bottom"/>
            <w:hideMark/>
          </w:tcPr>
          <w:p w14:paraId="3EB2DCBE"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18 922,99</w:t>
            </w:r>
          </w:p>
        </w:tc>
        <w:tc>
          <w:tcPr>
            <w:tcW w:w="1417" w:type="dxa"/>
            <w:tcBorders>
              <w:top w:val="nil"/>
              <w:left w:val="nil"/>
              <w:bottom w:val="single" w:sz="4" w:space="0" w:color="auto"/>
              <w:right w:val="single" w:sz="4" w:space="0" w:color="auto"/>
            </w:tcBorders>
            <w:shd w:val="clear" w:color="000000" w:fill="EDEDED"/>
            <w:noWrap/>
            <w:vAlign w:val="bottom"/>
            <w:hideMark/>
          </w:tcPr>
          <w:p w14:paraId="6ECB4CDF"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16 876,95</w:t>
            </w:r>
          </w:p>
        </w:tc>
        <w:tc>
          <w:tcPr>
            <w:tcW w:w="1418" w:type="dxa"/>
            <w:tcBorders>
              <w:top w:val="nil"/>
              <w:left w:val="nil"/>
              <w:bottom w:val="single" w:sz="4" w:space="0" w:color="auto"/>
              <w:right w:val="single" w:sz="8" w:space="0" w:color="auto"/>
            </w:tcBorders>
            <w:shd w:val="clear" w:color="000000" w:fill="EDEDED"/>
            <w:noWrap/>
            <w:vAlign w:val="bottom"/>
            <w:hideMark/>
          </w:tcPr>
          <w:p w14:paraId="0850FDC7"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16 711,94</w:t>
            </w:r>
          </w:p>
        </w:tc>
      </w:tr>
      <w:tr w:rsidR="004F257A" w:rsidRPr="004F257A" w14:paraId="289A2A6A" w14:textId="77777777" w:rsidTr="004D2249">
        <w:trPr>
          <w:trHeight w:val="300"/>
        </w:trPr>
        <w:tc>
          <w:tcPr>
            <w:tcW w:w="4101" w:type="dxa"/>
            <w:tcBorders>
              <w:top w:val="nil"/>
              <w:left w:val="single" w:sz="8" w:space="0" w:color="auto"/>
              <w:bottom w:val="single" w:sz="4" w:space="0" w:color="auto"/>
              <w:right w:val="single" w:sz="8" w:space="0" w:color="auto"/>
            </w:tcBorders>
            <w:shd w:val="clear" w:color="auto" w:fill="auto"/>
            <w:noWrap/>
            <w:vAlign w:val="center"/>
            <w:hideMark/>
          </w:tcPr>
          <w:p w14:paraId="5E2A93B4" w14:textId="77777777" w:rsidR="004F257A" w:rsidRPr="004F257A" w:rsidRDefault="004F257A" w:rsidP="004D2249">
            <w:pPr>
              <w:jc w:val="center"/>
              <w:rPr>
                <w:rFonts w:cs="Times New Roman"/>
                <w:b/>
                <w:bCs/>
                <w:color w:val="000000"/>
                <w:sz w:val="20"/>
                <w:szCs w:val="20"/>
              </w:rPr>
            </w:pPr>
            <w:r w:rsidRPr="004F257A">
              <w:rPr>
                <w:rFonts w:cs="Times New Roman"/>
                <w:b/>
                <w:bCs/>
                <w:color w:val="000000"/>
                <w:sz w:val="20"/>
                <w:szCs w:val="20"/>
              </w:rPr>
              <w:t>Ochrana modrásků</w:t>
            </w:r>
          </w:p>
        </w:tc>
        <w:tc>
          <w:tcPr>
            <w:tcW w:w="1262" w:type="dxa"/>
            <w:tcBorders>
              <w:top w:val="nil"/>
              <w:left w:val="nil"/>
              <w:bottom w:val="single" w:sz="4" w:space="0" w:color="auto"/>
              <w:right w:val="single" w:sz="4" w:space="0" w:color="auto"/>
            </w:tcBorders>
            <w:shd w:val="clear" w:color="auto" w:fill="auto"/>
            <w:noWrap/>
            <w:vAlign w:val="bottom"/>
            <w:hideMark/>
          </w:tcPr>
          <w:p w14:paraId="22714805"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1 848,56</w:t>
            </w:r>
          </w:p>
        </w:tc>
        <w:tc>
          <w:tcPr>
            <w:tcW w:w="1276" w:type="dxa"/>
            <w:tcBorders>
              <w:top w:val="nil"/>
              <w:left w:val="nil"/>
              <w:bottom w:val="single" w:sz="4" w:space="0" w:color="auto"/>
              <w:right w:val="single" w:sz="4" w:space="0" w:color="auto"/>
            </w:tcBorders>
            <w:shd w:val="clear" w:color="auto" w:fill="auto"/>
            <w:noWrap/>
            <w:vAlign w:val="bottom"/>
            <w:hideMark/>
          </w:tcPr>
          <w:p w14:paraId="6EE4A34F"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2 296,86</w:t>
            </w:r>
          </w:p>
        </w:tc>
        <w:tc>
          <w:tcPr>
            <w:tcW w:w="1276" w:type="dxa"/>
            <w:tcBorders>
              <w:top w:val="nil"/>
              <w:left w:val="nil"/>
              <w:bottom w:val="single" w:sz="4" w:space="0" w:color="auto"/>
              <w:right w:val="single" w:sz="4" w:space="0" w:color="auto"/>
            </w:tcBorders>
            <w:shd w:val="clear" w:color="auto" w:fill="auto"/>
            <w:noWrap/>
            <w:vAlign w:val="bottom"/>
            <w:hideMark/>
          </w:tcPr>
          <w:p w14:paraId="5459F014"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2 384,87</w:t>
            </w:r>
          </w:p>
        </w:tc>
        <w:tc>
          <w:tcPr>
            <w:tcW w:w="1417" w:type="dxa"/>
            <w:tcBorders>
              <w:top w:val="nil"/>
              <w:left w:val="nil"/>
              <w:bottom w:val="single" w:sz="4" w:space="0" w:color="auto"/>
              <w:right w:val="single" w:sz="4" w:space="0" w:color="auto"/>
            </w:tcBorders>
            <w:shd w:val="clear" w:color="auto" w:fill="auto"/>
            <w:noWrap/>
            <w:vAlign w:val="bottom"/>
            <w:hideMark/>
          </w:tcPr>
          <w:p w14:paraId="195C1C24"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2 450,62</w:t>
            </w:r>
          </w:p>
        </w:tc>
        <w:tc>
          <w:tcPr>
            <w:tcW w:w="1418" w:type="dxa"/>
            <w:tcBorders>
              <w:top w:val="nil"/>
              <w:left w:val="nil"/>
              <w:bottom w:val="single" w:sz="4" w:space="0" w:color="auto"/>
              <w:right w:val="single" w:sz="4" w:space="0" w:color="auto"/>
            </w:tcBorders>
            <w:shd w:val="clear" w:color="auto" w:fill="auto"/>
            <w:noWrap/>
            <w:vAlign w:val="bottom"/>
            <w:hideMark/>
          </w:tcPr>
          <w:p w14:paraId="7DB041A1"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2 448,69</w:t>
            </w:r>
          </w:p>
        </w:tc>
        <w:tc>
          <w:tcPr>
            <w:tcW w:w="1417" w:type="dxa"/>
            <w:tcBorders>
              <w:top w:val="nil"/>
              <w:left w:val="nil"/>
              <w:bottom w:val="single" w:sz="4" w:space="0" w:color="auto"/>
              <w:right w:val="single" w:sz="4" w:space="0" w:color="auto"/>
            </w:tcBorders>
            <w:shd w:val="clear" w:color="auto" w:fill="auto"/>
            <w:noWrap/>
            <w:vAlign w:val="bottom"/>
            <w:hideMark/>
          </w:tcPr>
          <w:p w14:paraId="6DD2B24D"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2 527,43</w:t>
            </w:r>
          </w:p>
        </w:tc>
        <w:tc>
          <w:tcPr>
            <w:tcW w:w="1418" w:type="dxa"/>
            <w:tcBorders>
              <w:top w:val="nil"/>
              <w:left w:val="nil"/>
              <w:bottom w:val="single" w:sz="4" w:space="0" w:color="auto"/>
              <w:right w:val="single" w:sz="8" w:space="0" w:color="auto"/>
            </w:tcBorders>
            <w:shd w:val="clear" w:color="auto" w:fill="auto"/>
            <w:noWrap/>
            <w:vAlign w:val="bottom"/>
            <w:hideMark/>
          </w:tcPr>
          <w:p w14:paraId="470F14B4"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2 622,58</w:t>
            </w:r>
          </w:p>
        </w:tc>
      </w:tr>
      <w:tr w:rsidR="004F257A" w:rsidRPr="004F257A" w14:paraId="7054DCFB" w14:textId="77777777" w:rsidTr="004D2249">
        <w:trPr>
          <w:trHeight w:val="300"/>
        </w:trPr>
        <w:tc>
          <w:tcPr>
            <w:tcW w:w="4101" w:type="dxa"/>
            <w:tcBorders>
              <w:top w:val="nil"/>
              <w:left w:val="single" w:sz="8" w:space="0" w:color="auto"/>
              <w:bottom w:val="single" w:sz="4" w:space="0" w:color="auto"/>
              <w:right w:val="single" w:sz="8" w:space="0" w:color="auto"/>
            </w:tcBorders>
            <w:shd w:val="clear" w:color="000000" w:fill="EDEDED"/>
            <w:noWrap/>
            <w:vAlign w:val="center"/>
            <w:hideMark/>
          </w:tcPr>
          <w:p w14:paraId="3D59E300" w14:textId="77777777" w:rsidR="004F257A" w:rsidRPr="004F257A" w:rsidRDefault="004F257A" w:rsidP="004D2249">
            <w:pPr>
              <w:jc w:val="center"/>
              <w:rPr>
                <w:rFonts w:cs="Times New Roman"/>
                <w:b/>
                <w:bCs/>
                <w:color w:val="000000"/>
                <w:sz w:val="20"/>
                <w:szCs w:val="20"/>
              </w:rPr>
            </w:pPr>
            <w:r w:rsidRPr="004F257A">
              <w:rPr>
                <w:rFonts w:cs="Times New Roman"/>
                <w:b/>
                <w:bCs/>
                <w:color w:val="000000"/>
                <w:sz w:val="20"/>
                <w:szCs w:val="20"/>
              </w:rPr>
              <w:t>Mezofilní vlhkomilné louky hnojené</w:t>
            </w:r>
          </w:p>
        </w:tc>
        <w:tc>
          <w:tcPr>
            <w:tcW w:w="1262" w:type="dxa"/>
            <w:tcBorders>
              <w:top w:val="nil"/>
              <w:left w:val="nil"/>
              <w:bottom w:val="single" w:sz="4" w:space="0" w:color="auto"/>
              <w:right w:val="single" w:sz="4" w:space="0" w:color="auto"/>
            </w:tcBorders>
            <w:shd w:val="clear" w:color="000000" w:fill="EDEDED"/>
            <w:noWrap/>
            <w:vAlign w:val="bottom"/>
            <w:hideMark/>
          </w:tcPr>
          <w:p w14:paraId="3C663D35"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11 784,13</w:t>
            </w:r>
          </w:p>
        </w:tc>
        <w:tc>
          <w:tcPr>
            <w:tcW w:w="1276" w:type="dxa"/>
            <w:tcBorders>
              <w:top w:val="nil"/>
              <w:left w:val="nil"/>
              <w:bottom w:val="single" w:sz="4" w:space="0" w:color="auto"/>
              <w:right w:val="single" w:sz="4" w:space="0" w:color="auto"/>
            </w:tcBorders>
            <w:shd w:val="clear" w:color="000000" w:fill="EDEDED"/>
            <w:noWrap/>
            <w:vAlign w:val="bottom"/>
            <w:hideMark/>
          </w:tcPr>
          <w:p w14:paraId="3946FBA9"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14 901,78</w:t>
            </w:r>
          </w:p>
        </w:tc>
        <w:tc>
          <w:tcPr>
            <w:tcW w:w="1276" w:type="dxa"/>
            <w:tcBorders>
              <w:top w:val="nil"/>
              <w:left w:val="nil"/>
              <w:bottom w:val="single" w:sz="4" w:space="0" w:color="auto"/>
              <w:right w:val="single" w:sz="4" w:space="0" w:color="auto"/>
            </w:tcBorders>
            <w:shd w:val="clear" w:color="000000" w:fill="EDEDED"/>
            <w:noWrap/>
            <w:vAlign w:val="bottom"/>
            <w:hideMark/>
          </w:tcPr>
          <w:p w14:paraId="73316153"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14 842,91</w:t>
            </w:r>
          </w:p>
        </w:tc>
        <w:tc>
          <w:tcPr>
            <w:tcW w:w="1417" w:type="dxa"/>
            <w:tcBorders>
              <w:top w:val="nil"/>
              <w:left w:val="nil"/>
              <w:bottom w:val="single" w:sz="4" w:space="0" w:color="auto"/>
              <w:right w:val="single" w:sz="4" w:space="0" w:color="auto"/>
            </w:tcBorders>
            <w:shd w:val="clear" w:color="000000" w:fill="EDEDED"/>
            <w:noWrap/>
            <w:vAlign w:val="bottom"/>
            <w:hideMark/>
          </w:tcPr>
          <w:p w14:paraId="486FB2AD"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14 953,73</w:t>
            </w:r>
          </w:p>
        </w:tc>
        <w:tc>
          <w:tcPr>
            <w:tcW w:w="1418" w:type="dxa"/>
            <w:tcBorders>
              <w:top w:val="nil"/>
              <w:left w:val="nil"/>
              <w:bottom w:val="single" w:sz="4" w:space="0" w:color="auto"/>
              <w:right w:val="single" w:sz="4" w:space="0" w:color="auto"/>
            </w:tcBorders>
            <w:shd w:val="clear" w:color="000000" w:fill="EDEDED"/>
            <w:noWrap/>
            <w:vAlign w:val="bottom"/>
            <w:hideMark/>
          </w:tcPr>
          <w:p w14:paraId="002664B4"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15 019,27</w:t>
            </w:r>
          </w:p>
        </w:tc>
        <w:tc>
          <w:tcPr>
            <w:tcW w:w="1417" w:type="dxa"/>
            <w:tcBorders>
              <w:top w:val="nil"/>
              <w:left w:val="nil"/>
              <w:bottom w:val="single" w:sz="4" w:space="0" w:color="auto"/>
              <w:right w:val="single" w:sz="4" w:space="0" w:color="auto"/>
            </w:tcBorders>
            <w:shd w:val="clear" w:color="000000" w:fill="EDEDED"/>
            <w:noWrap/>
            <w:vAlign w:val="bottom"/>
            <w:hideMark/>
          </w:tcPr>
          <w:p w14:paraId="5BF1F64D"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13 983,77</w:t>
            </w:r>
          </w:p>
        </w:tc>
        <w:tc>
          <w:tcPr>
            <w:tcW w:w="1418" w:type="dxa"/>
            <w:tcBorders>
              <w:top w:val="nil"/>
              <w:left w:val="nil"/>
              <w:bottom w:val="single" w:sz="4" w:space="0" w:color="auto"/>
              <w:right w:val="single" w:sz="8" w:space="0" w:color="auto"/>
            </w:tcBorders>
            <w:shd w:val="clear" w:color="000000" w:fill="EDEDED"/>
            <w:noWrap/>
            <w:vAlign w:val="bottom"/>
            <w:hideMark/>
          </w:tcPr>
          <w:p w14:paraId="6C82C88E"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13 526,73</w:t>
            </w:r>
          </w:p>
        </w:tc>
      </w:tr>
      <w:tr w:rsidR="004F257A" w:rsidRPr="004F257A" w14:paraId="52BC0B16" w14:textId="77777777" w:rsidTr="004D2249">
        <w:trPr>
          <w:trHeight w:val="300"/>
        </w:trPr>
        <w:tc>
          <w:tcPr>
            <w:tcW w:w="4101" w:type="dxa"/>
            <w:tcBorders>
              <w:top w:val="nil"/>
              <w:left w:val="single" w:sz="8" w:space="0" w:color="auto"/>
              <w:bottom w:val="single" w:sz="4" w:space="0" w:color="auto"/>
              <w:right w:val="single" w:sz="8" w:space="0" w:color="auto"/>
            </w:tcBorders>
            <w:shd w:val="clear" w:color="auto" w:fill="auto"/>
            <w:noWrap/>
            <w:vAlign w:val="center"/>
            <w:hideMark/>
          </w:tcPr>
          <w:p w14:paraId="02AE6A85" w14:textId="77777777" w:rsidR="004F257A" w:rsidRPr="004F257A" w:rsidRDefault="004F257A" w:rsidP="004D2249">
            <w:pPr>
              <w:jc w:val="center"/>
              <w:rPr>
                <w:rFonts w:cs="Times New Roman"/>
                <w:b/>
                <w:bCs/>
                <w:color w:val="000000"/>
                <w:sz w:val="20"/>
                <w:szCs w:val="20"/>
              </w:rPr>
            </w:pPr>
            <w:r w:rsidRPr="004F257A">
              <w:rPr>
                <w:rFonts w:cs="Times New Roman"/>
                <w:b/>
                <w:bCs/>
                <w:color w:val="000000"/>
                <w:sz w:val="20"/>
                <w:szCs w:val="20"/>
              </w:rPr>
              <w:t>Mezofilní vlhkomilné louky nehnojené</w:t>
            </w:r>
          </w:p>
        </w:tc>
        <w:tc>
          <w:tcPr>
            <w:tcW w:w="1262" w:type="dxa"/>
            <w:tcBorders>
              <w:top w:val="nil"/>
              <w:left w:val="nil"/>
              <w:bottom w:val="single" w:sz="4" w:space="0" w:color="auto"/>
              <w:right w:val="single" w:sz="4" w:space="0" w:color="auto"/>
            </w:tcBorders>
            <w:shd w:val="clear" w:color="auto" w:fill="auto"/>
            <w:noWrap/>
            <w:vAlign w:val="bottom"/>
            <w:hideMark/>
          </w:tcPr>
          <w:p w14:paraId="783921FE"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38 542,89</w:t>
            </w:r>
          </w:p>
        </w:tc>
        <w:tc>
          <w:tcPr>
            <w:tcW w:w="1276" w:type="dxa"/>
            <w:tcBorders>
              <w:top w:val="nil"/>
              <w:left w:val="nil"/>
              <w:bottom w:val="single" w:sz="4" w:space="0" w:color="auto"/>
              <w:right w:val="single" w:sz="4" w:space="0" w:color="auto"/>
            </w:tcBorders>
            <w:shd w:val="clear" w:color="auto" w:fill="auto"/>
            <w:noWrap/>
            <w:vAlign w:val="bottom"/>
            <w:hideMark/>
          </w:tcPr>
          <w:p w14:paraId="42D9F786"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50 915,47</w:t>
            </w:r>
          </w:p>
        </w:tc>
        <w:tc>
          <w:tcPr>
            <w:tcW w:w="1276" w:type="dxa"/>
            <w:tcBorders>
              <w:top w:val="nil"/>
              <w:left w:val="nil"/>
              <w:bottom w:val="single" w:sz="4" w:space="0" w:color="auto"/>
              <w:right w:val="single" w:sz="4" w:space="0" w:color="auto"/>
            </w:tcBorders>
            <w:shd w:val="clear" w:color="auto" w:fill="auto"/>
            <w:noWrap/>
            <w:vAlign w:val="bottom"/>
            <w:hideMark/>
          </w:tcPr>
          <w:p w14:paraId="3EF9AFF7"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51 773,44</w:t>
            </w:r>
          </w:p>
        </w:tc>
        <w:tc>
          <w:tcPr>
            <w:tcW w:w="1417" w:type="dxa"/>
            <w:tcBorders>
              <w:top w:val="nil"/>
              <w:left w:val="nil"/>
              <w:bottom w:val="single" w:sz="4" w:space="0" w:color="auto"/>
              <w:right w:val="single" w:sz="4" w:space="0" w:color="auto"/>
            </w:tcBorders>
            <w:shd w:val="clear" w:color="auto" w:fill="auto"/>
            <w:noWrap/>
            <w:vAlign w:val="bottom"/>
            <w:hideMark/>
          </w:tcPr>
          <w:p w14:paraId="0BE059DF"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52 427,27</w:t>
            </w:r>
          </w:p>
        </w:tc>
        <w:tc>
          <w:tcPr>
            <w:tcW w:w="1418" w:type="dxa"/>
            <w:tcBorders>
              <w:top w:val="nil"/>
              <w:left w:val="nil"/>
              <w:bottom w:val="single" w:sz="4" w:space="0" w:color="auto"/>
              <w:right w:val="single" w:sz="4" w:space="0" w:color="auto"/>
            </w:tcBorders>
            <w:shd w:val="clear" w:color="auto" w:fill="auto"/>
            <w:noWrap/>
            <w:vAlign w:val="bottom"/>
            <w:hideMark/>
          </w:tcPr>
          <w:p w14:paraId="38E469E6"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52 678,81</w:t>
            </w:r>
          </w:p>
        </w:tc>
        <w:tc>
          <w:tcPr>
            <w:tcW w:w="1417" w:type="dxa"/>
            <w:tcBorders>
              <w:top w:val="nil"/>
              <w:left w:val="nil"/>
              <w:bottom w:val="single" w:sz="4" w:space="0" w:color="auto"/>
              <w:right w:val="single" w:sz="4" w:space="0" w:color="auto"/>
            </w:tcBorders>
            <w:shd w:val="clear" w:color="auto" w:fill="auto"/>
            <w:noWrap/>
            <w:vAlign w:val="bottom"/>
            <w:hideMark/>
          </w:tcPr>
          <w:p w14:paraId="2DBF64A3"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51 685,59</w:t>
            </w:r>
          </w:p>
        </w:tc>
        <w:tc>
          <w:tcPr>
            <w:tcW w:w="1418" w:type="dxa"/>
            <w:tcBorders>
              <w:top w:val="nil"/>
              <w:left w:val="nil"/>
              <w:bottom w:val="single" w:sz="4" w:space="0" w:color="auto"/>
              <w:right w:val="single" w:sz="8" w:space="0" w:color="auto"/>
            </w:tcBorders>
            <w:shd w:val="clear" w:color="auto" w:fill="auto"/>
            <w:noWrap/>
            <w:vAlign w:val="bottom"/>
            <w:hideMark/>
          </w:tcPr>
          <w:p w14:paraId="22849104"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51 712,37</w:t>
            </w:r>
          </w:p>
        </w:tc>
      </w:tr>
      <w:tr w:rsidR="004F257A" w:rsidRPr="004F257A" w14:paraId="71A496C1" w14:textId="77777777" w:rsidTr="004D2249">
        <w:trPr>
          <w:trHeight w:val="300"/>
        </w:trPr>
        <w:tc>
          <w:tcPr>
            <w:tcW w:w="4101" w:type="dxa"/>
            <w:tcBorders>
              <w:top w:val="nil"/>
              <w:left w:val="single" w:sz="8" w:space="0" w:color="auto"/>
              <w:bottom w:val="single" w:sz="4" w:space="0" w:color="auto"/>
              <w:right w:val="single" w:sz="8" w:space="0" w:color="auto"/>
            </w:tcBorders>
            <w:shd w:val="clear" w:color="000000" w:fill="EDEDED"/>
            <w:noWrap/>
            <w:vAlign w:val="center"/>
            <w:hideMark/>
          </w:tcPr>
          <w:p w14:paraId="13023385" w14:textId="77777777" w:rsidR="004F257A" w:rsidRPr="004F257A" w:rsidRDefault="004F257A" w:rsidP="004D2249">
            <w:pPr>
              <w:jc w:val="center"/>
              <w:rPr>
                <w:rFonts w:cs="Times New Roman"/>
                <w:b/>
                <w:bCs/>
                <w:color w:val="000000"/>
                <w:sz w:val="20"/>
                <w:szCs w:val="20"/>
              </w:rPr>
            </w:pPr>
            <w:r w:rsidRPr="004F257A">
              <w:rPr>
                <w:rFonts w:cs="Times New Roman"/>
                <w:b/>
                <w:bCs/>
                <w:color w:val="000000"/>
                <w:sz w:val="20"/>
                <w:szCs w:val="20"/>
              </w:rPr>
              <w:t>Podmáčenné rašelinné louky</w:t>
            </w:r>
          </w:p>
        </w:tc>
        <w:tc>
          <w:tcPr>
            <w:tcW w:w="1262" w:type="dxa"/>
            <w:tcBorders>
              <w:top w:val="nil"/>
              <w:left w:val="nil"/>
              <w:bottom w:val="single" w:sz="4" w:space="0" w:color="auto"/>
              <w:right w:val="single" w:sz="4" w:space="0" w:color="auto"/>
            </w:tcBorders>
            <w:shd w:val="clear" w:color="000000" w:fill="EDEDED"/>
            <w:noWrap/>
            <w:vAlign w:val="bottom"/>
            <w:hideMark/>
          </w:tcPr>
          <w:p w14:paraId="567F37B4"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921,24</w:t>
            </w:r>
          </w:p>
        </w:tc>
        <w:tc>
          <w:tcPr>
            <w:tcW w:w="1276" w:type="dxa"/>
            <w:tcBorders>
              <w:top w:val="nil"/>
              <w:left w:val="nil"/>
              <w:bottom w:val="single" w:sz="4" w:space="0" w:color="auto"/>
              <w:right w:val="single" w:sz="4" w:space="0" w:color="auto"/>
            </w:tcBorders>
            <w:shd w:val="clear" w:color="000000" w:fill="EDEDED"/>
            <w:noWrap/>
            <w:vAlign w:val="bottom"/>
            <w:hideMark/>
          </w:tcPr>
          <w:p w14:paraId="6988CBAE"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1 394,03</w:t>
            </w:r>
          </w:p>
        </w:tc>
        <w:tc>
          <w:tcPr>
            <w:tcW w:w="1276" w:type="dxa"/>
            <w:tcBorders>
              <w:top w:val="nil"/>
              <w:left w:val="nil"/>
              <w:bottom w:val="single" w:sz="4" w:space="0" w:color="auto"/>
              <w:right w:val="single" w:sz="4" w:space="0" w:color="auto"/>
            </w:tcBorders>
            <w:shd w:val="clear" w:color="000000" w:fill="EDEDED"/>
            <w:noWrap/>
            <w:vAlign w:val="bottom"/>
            <w:hideMark/>
          </w:tcPr>
          <w:p w14:paraId="3FFAC381"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1 447,67</w:t>
            </w:r>
          </w:p>
        </w:tc>
        <w:tc>
          <w:tcPr>
            <w:tcW w:w="1417" w:type="dxa"/>
            <w:tcBorders>
              <w:top w:val="nil"/>
              <w:left w:val="nil"/>
              <w:bottom w:val="single" w:sz="4" w:space="0" w:color="auto"/>
              <w:right w:val="single" w:sz="4" w:space="0" w:color="auto"/>
            </w:tcBorders>
            <w:shd w:val="clear" w:color="000000" w:fill="EDEDED"/>
            <w:noWrap/>
            <w:vAlign w:val="bottom"/>
            <w:hideMark/>
          </w:tcPr>
          <w:p w14:paraId="122AF7EB"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1 438,64</w:t>
            </w:r>
          </w:p>
        </w:tc>
        <w:tc>
          <w:tcPr>
            <w:tcW w:w="1418" w:type="dxa"/>
            <w:tcBorders>
              <w:top w:val="nil"/>
              <w:left w:val="nil"/>
              <w:bottom w:val="single" w:sz="4" w:space="0" w:color="auto"/>
              <w:right w:val="single" w:sz="4" w:space="0" w:color="auto"/>
            </w:tcBorders>
            <w:shd w:val="clear" w:color="000000" w:fill="EDEDED"/>
            <w:noWrap/>
            <w:vAlign w:val="bottom"/>
            <w:hideMark/>
          </w:tcPr>
          <w:p w14:paraId="1575B3DD"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1 435,17</w:t>
            </w:r>
          </w:p>
        </w:tc>
        <w:tc>
          <w:tcPr>
            <w:tcW w:w="1417" w:type="dxa"/>
            <w:tcBorders>
              <w:top w:val="nil"/>
              <w:left w:val="nil"/>
              <w:bottom w:val="single" w:sz="4" w:space="0" w:color="auto"/>
              <w:right w:val="single" w:sz="4" w:space="0" w:color="auto"/>
            </w:tcBorders>
            <w:shd w:val="clear" w:color="000000" w:fill="EDEDED"/>
            <w:noWrap/>
            <w:vAlign w:val="bottom"/>
            <w:hideMark/>
          </w:tcPr>
          <w:p w14:paraId="5F81CF51"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1 405,71</w:t>
            </w:r>
          </w:p>
        </w:tc>
        <w:tc>
          <w:tcPr>
            <w:tcW w:w="1418" w:type="dxa"/>
            <w:tcBorders>
              <w:top w:val="nil"/>
              <w:left w:val="nil"/>
              <w:bottom w:val="single" w:sz="4" w:space="0" w:color="auto"/>
              <w:right w:val="single" w:sz="8" w:space="0" w:color="auto"/>
            </w:tcBorders>
            <w:shd w:val="clear" w:color="000000" w:fill="EDEDED"/>
            <w:noWrap/>
            <w:vAlign w:val="bottom"/>
            <w:hideMark/>
          </w:tcPr>
          <w:p w14:paraId="11FB52CF"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1 353,42</w:t>
            </w:r>
          </w:p>
        </w:tc>
      </w:tr>
      <w:tr w:rsidR="004F257A" w:rsidRPr="004F257A" w14:paraId="0BB7AE4D" w14:textId="77777777" w:rsidTr="004D2249">
        <w:trPr>
          <w:trHeight w:val="300"/>
        </w:trPr>
        <w:tc>
          <w:tcPr>
            <w:tcW w:w="4101" w:type="dxa"/>
            <w:tcBorders>
              <w:top w:val="nil"/>
              <w:left w:val="single" w:sz="8" w:space="0" w:color="auto"/>
              <w:bottom w:val="single" w:sz="4" w:space="0" w:color="auto"/>
              <w:right w:val="single" w:sz="8" w:space="0" w:color="auto"/>
            </w:tcBorders>
            <w:shd w:val="clear" w:color="auto" w:fill="auto"/>
            <w:noWrap/>
            <w:vAlign w:val="center"/>
            <w:hideMark/>
          </w:tcPr>
          <w:p w14:paraId="523855DC" w14:textId="77777777" w:rsidR="004F257A" w:rsidRPr="004F257A" w:rsidRDefault="004F257A" w:rsidP="004D2249">
            <w:pPr>
              <w:jc w:val="center"/>
              <w:rPr>
                <w:rFonts w:cs="Times New Roman"/>
                <w:b/>
                <w:bCs/>
                <w:color w:val="000000"/>
                <w:sz w:val="20"/>
                <w:szCs w:val="20"/>
              </w:rPr>
            </w:pPr>
            <w:r w:rsidRPr="004F257A">
              <w:rPr>
                <w:rFonts w:cs="Times New Roman"/>
                <w:b/>
                <w:bCs/>
                <w:color w:val="000000"/>
                <w:sz w:val="20"/>
                <w:szCs w:val="20"/>
              </w:rPr>
              <w:t>Stepi a vřesoviště</w:t>
            </w:r>
          </w:p>
        </w:tc>
        <w:tc>
          <w:tcPr>
            <w:tcW w:w="1262" w:type="dxa"/>
            <w:tcBorders>
              <w:top w:val="nil"/>
              <w:left w:val="nil"/>
              <w:bottom w:val="single" w:sz="4" w:space="0" w:color="auto"/>
              <w:right w:val="single" w:sz="4" w:space="0" w:color="auto"/>
            </w:tcBorders>
            <w:shd w:val="clear" w:color="auto" w:fill="auto"/>
            <w:noWrap/>
            <w:vAlign w:val="bottom"/>
            <w:hideMark/>
          </w:tcPr>
          <w:p w14:paraId="5642BA8D"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2 117,53</w:t>
            </w:r>
          </w:p>
        </w:tc>
        <w:tc>
          <w:tcPr>
            <w:tcW w:w="1276" w:type="dxa"/>
            <w:tcBorders>
              <w:top w:val="nil"/>
              <w:left w:val="nil"/>
              <w:bottom w:val="single" w:sz="4" w:space="0" w:color="auto"/>
              <w:right w:val="single" w:sz="4" w:space="0" w:color="auto"/>
            </w:tcBorders>
            <w:shd w:val="clear" w:color="auto" w:fill="auto"/>
            <w:noWrap/>
            <w:vAlign w:val="bottom"/>
            <w:hideMark/>
          </w:tcPr>
          <w:p w14:paraId="58FBA710"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2 529,38</w:t>
            </w:r>
          </w:p>
        </w:tc>
        <w:tc>
          <w:tcPr>
            <w:tcW w:w="1276" w:type="dxa"/>
            <w:tcBorders>
              <w:top w:val="nil"/>
              <w:left w:val="nil"/>
              <w:bottom w:val="single" w:sz="4" w:space="0" w:color="auto"/>
              <w:right w:val="single" w:sz="4" w:space="0" w:color="auto"/>
            </w:tcBorders>
            <w:shd w:val="clear" w:color="auto" w:fill="auto"/>
            <w:noWrap/>
            <w:vAlign w:val="bottom"/>
            <w:hideMark/>
          </w:tcPr>
          <w:p w14:paraId="4944E39C"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2 697,67</w:t>
            </w:r>
          </w:p>
        </w:tc>
        <w:tc>
          <w:tcPr>
            <w:tcW w:w="1417" w:type="dxa"/>
            <w:tcBorders>
              <w:top w:val="nil"/>
              <w:left w:val="nil"/>
              <w:bottom w:val="single" w:sz="4" w:space="0" w:color="auto"/>
              <w:right w:val="single" w:sz="4" w:space="0" w:color="auto"/>
            </w:tcBorders>
            <w:shd w:val="clear" w:color="auto" w:fill="auto"/>
            <w:noWrap/>
            <w:vAlign w:val="bottom"/>
            <w:hideMark/>
          </w:tcPr>
          <w:p w14:paraId="72DCA67E"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2 802,21</w:t>
            </w:r>
          </w:p>
        </w:tc>
        <w:tc>
          <w:tcPr>
            <w:tcW w:w="1418" w:type="dxa"/>
            <w:tcBorders>
              <w:top w:val="nil"/>
              <w:left w:val="nil"/>
              <w:bottom w:val="single" w:sz="4" w:space="0" w:color="auto"/>
              <w:right w:val="single" w:sz="4" w:space="0" w:color="auto"/>
            </w:tcBorders>
            <w:shd w:val="clear" w:color="auto" w:fill="auto"/>
            <w:noWrap/>
            <w:vAlign w:val="bottom"/>
            <w:hideMark/>
          </w:tcPr>
          <w:p w14:paraId="15EC3347"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2 845,88</w:t>
            </w:r>
          </w:p>
        </w:tc>
        <w:tc>
          <w:tcPr>
            <w:tcW w:w="1417" w:type="dxa"/>
            <w:tcBorders>
              <w:top w:val="nil"/>
              <w:left w:val="nil"/>
              <w:bottom w:val="single" w:sz="4" w:space="0" w:color="auto"/>
              <w:right w:val="single" w:sz="4" w:space="0" w:color="auto"/>
            </w:tcBorders>
            <w:shd w:val="clear" w:color="auto" w:fill="auto"/>
            <w:noWrap/>
            <w:vAlign w:val="bottom"/>
            <w:hideMark/>
          </w:tcPr>
          <w:p w14:paraId="2177D5E1"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2 833,04</w:t>
            </w:r>
          </w:p>
        </w:tc>
        <w:tc>
          <w:tcPr>
            <w:tcW w:w="1418" w:type="dxa"/>
            <w:tcBorders>
              <w:top w:val="nil"/>
              <w:left w:val="nil"/>
              <w:bottom w:val="single" w:sz="4" w:space="0" w:color="auto"/>
              <w:right w:val="single" w:sz="8" w:space="0" w:color="auto"/>
            </w:tcBorders>
            <w:shd w:val="clear" w:color="auto" w:fill="auto"/>
            <w:noWrap/>
            <w:vAlign w:val="bottom"/>
            <w:hideMark/>
          </w:tcPr>
          <w:p w14:paraId="0D54DD3A"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3 047,67</w:t>
            </w:r>
          </w:p>
        </w:tc>
      </w:tr>
      <w:tr w:rsidR="004F257A" w:rsidRPr="004F257A" w14:paraId="14B998AF" w14:textId="77777777" w:rsidTr="004D2249">
        <w:trPr>
          <w:trHeight w:val="315"/>
        </w:trPr>
        <w:tc>
          <w:tcPr>
            <w:tcW w:w="4101" w:type="dxa"/>
            <w:tcBorders>
              <w:top w:val="nil"/>
              <w:left w:val="single" w:sz="8" w:space="0" w:color="auto"/>
              <w:bottom w:val="nil"/>
              <w:right w:val="single" w:sz="8" w:space="0" w:color="auto"/>
            </w:tcBorders>
            <w:shd w:val="clear" w:color="000000" w:fill="EDEDED"/>
            <w:noWrap/>
            <w:vAlign w:val="center"/>
            <w:hideMark/>
          </w:tcPr>
          <w:p w14:paraId="20A6643D" w14:textId="77777777" w:rsidR="004F257A" w:rsidRPr="004F257A" w:rsidRDefault="004F257A" w:rsidP="004D2249">
            <w:pPr>
              <w:jc w:val="center"/>
              <w:rPr>
                <w:rFonts w:cs="Times New Roman"/>
                <w:b/>
                <w:bCs/>
                <w:color w:val="000000"/>
                <w:sz w:val="20"/>
                <w:szCs w:val="20"/>
              </w:rPr>
            </w:pPr>
            <w:r w:rsidRPr="004F257A">
              <w:rPr>
                <w:rFonts w:cs="Times New Roman"/>
                <w:b/>
                <w:bCs/>
                <w:color w:val="000000"/>
                <w:sz w:val="20"/>
                <w:szCs w:val="20"/>
              </w:rPr>
              <w:t>Základní louky</w:t>
            </w:r>
          </w:p>
        </w:tc>
        <w:tc>
          <w:tcPr>
            <w:tcW w:w="1262" w:type="dxa"/>
            <w:tcBorders>
              <w:top w:val="nil"/>
              <w:left w:val="nil"/>
              <w:bottom w:val="nil"/>
              <w:right w:val="single" w:sz="4" w:space="0" w:color="auto"/>
            </w:tcBorders>
            <w:shd w:val="clear" w:color="000000" w:fill="EDEDED"/>
            <w:noWrap/>
            <w:vAlign w:val="bottom"/>
            <w:hideMark/>
          </w:tcPr>
          <w:p w14:paraId="2A604EB4"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537 997,31</w:t>
            </w:r>
          </w:p>
        </w:tc>
        <w:tc>
          <w:tcPr>
            <w:tcW w:w="1276" w:type="dxa"/>
            <w:tcBorders>
              <w:top w:val="nil"/>
              <w:left w:val="nil"/>
              <w:bottom w:val="nil"/>
              <w:right w:val="single" w:sz="4" w:space="0" w:color="auto"/>
            </w:tcBorders>
            <w:shd w:val="clear" w:color="000000" w:fill="EDEDED"/>
            <w:noWrap/>
            <w:vAlign w:val="bottom"/>
            <w:hideMark/>
          </w:tcPr>
          <w:p w14:paraId="4BB8215D"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691 039,49</w:t>
            </w:r>
          </w:p>
        </w:tc>
        <w:tc>
          <w:tcPr>
            <w:tcW w:w="1276" w:type="dxa"/>
            <w:tcBorders>
              <w:top w:val="nil"/>
              <w:left w:val="nil"/>
              <w:bottom w:val="nil"/>
              <w:right w:val="single" w:sz="4" w:space="0" w:color="auto"/>
            </w:tcBorders>
            <w:shd w:val="clear" w:color="000000" w:fill="EDEDED"/>
            <w:noWrap/>
            <w:vAlign w:val="bottom"/>
            <w:hideMark/>
          </w:tcPr>
          <w:p w14:paraId="71E4BBAF"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702 512,65</w:t>
            </w:r>
          </w:p>
        </w:tc>
        <w:tc>
          <w:tcPr>
            <w:tcW w:w="1417" w:type="dxa"/>
            <w:tcBorders>
              <w:top w:val="nil"/>
              <w:left w:val="nil"/>
              <w:bottom w:val="nil"/>
              <w:right w:val="single" w:sz="4" w:space="0" w:color="auto"/>
            </w:tcBorders>
            <w:shd w:val="clear" w:color="000000" w:fill="EDEDED"/>
            <w:noWrap/>
            <w:vAlign w:val="bottom"/>
            <w:hideMark/>
          </w:tcPr>
          <w:p w14:paraId="6F010CAD"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710 568,90</w:t>
            </w:r>
          </w:p>
        </w:tc>
        <w:tc>
          <w:tcPr>
            <w:tcW w:w="1418" w:type="dxa"/>
            <w:tcBorders>
              <w:top w:val="nil"/>
              <w:left w:val="nil"/>
              <w:bottom w:val="nil"/>
              <w:right w:val="single" w:sz="4" w:space="0" w:color="auto"/>
            </w:tcBorders>
            <w:shd w:val="clear" w:color="000000" w:fill="EDEDED"/>
            <w:noWrap/>
            <w:vAlign w:val="bottom"/>
            <w:hideMark/>
          </w:tcPr>
          <w:p w14:paraId="16503C77"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713 933,62</w:t>
            </w:r>
          </w:p>
        </w:tc>
        <w:tc>
          <w:tcPr>
            <w:tcW w:w="1417" w:type="dxa"/>
            <w:tcBorders>
              <w:top w:val="nil"/>
              <w:left w:val="nil"/>
              <w:bottom w:val="nil"/>
              <w:right w:val="single" w:sz="4" w:space="0" w:color="auto"/>
            </w:tcBorders>
            <w:shd w:val="clear" w:color="000000" w:fill="EDEDED"/>
            <w:noWrap/>
            <w:vAlign w:val="bottom"/>
            <w:hideMark/>
          </w:tcPr>
          <w:p w14:paraId="1F2C5F33"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709 007,65</w:t>
            </w:r>
          </w:p>
        </w:tc>
        <w:tc>
          <w:tcPr>
            <w:tcW w:w="1418" w:type="dxa"/>
            <w:tcBorders>
              <w:top w:val="nil"/>
              <w:left w:val="nil"/>
              <w:bottom w:val="nil"/>
              <w:right w:val="single" w:sz="8" w:space="0" w:color="auto"/>
            </w:tcBorders>
            <w:shd w:val="clear" w:color="000000" w:fill="EDEDED"/>
            <w:noWrap/>
            <w:vAlign w:val="bottom"/>
            <w:hideMark/>
          </w:tcPr>
          <w:p w14:paraId="044CE353"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709 010,00</w:t>
            </w:r>
          </w:p>
        </w:tc>
      </w:tr>
      <w:tr w:rsidR="004F257A" w:rsidRPr="004F257A" w14:paraId="51FC7880" w14:textId="77777777" w:rsidTr="004D2249">
        <w:trPr>
          <w:trHeight w:val="315"/>
        </w:trPr>
        <w:tc>
          <w:tcPr>
            <w:tcW w:w="4101" w:type="dxa"/>
            <w:tcBorders>
              <w:top w:val="single" w:sz="8" w:space="0" w:color="auto"/>
              <w:left w:val="single" w:sz="8" w:space="0" w:color="auto"/>
              <w:bottom w:val="double" w:sz="6" w:space="0" w:color="auto"/>
              <w:right w:val="single" w:sz="8" w:space="0" w:color="auto"/>
            </w:tcBorders>
            <w:shd w:val="clear" w:color="000000" w:fill="FFFF00"/>
            <w:noWrap/>
            <w:vAlign w:val="center"/>
            <w:hideMark/>
          </w:tcPr>
          <w:p w14:paraId="2F232786" w14:textId="77777777" w:rsidR="004F257A" w:rsidRPr="004F257A" w:rsidRDefault="004F257A" w:rsidP="004D2249">
            <w:pPr>
              <w:jc w:val="center"/>
              <w:rPr>
                <w:rFonts w:cs="Times New Roman"/>
                <w:b/>
                <w:bCs/>
                <w:color w:val="000000"/>
                <w:sz w:val="20"/>
                <w:szCs w:val="20"/>
              </w:rPr>
            </w:pPr>
            <w:r w:rsidRPr="004F257A">
              <w:rPr>
                <w:rFonts w:cs="Times New Roman"/>
                <w:b/>
                <w:bCs/>
                <w:color w:val="000000"/>
                <w:sz w:val="20"/>
                <w:szCs w:val="20"/>
              </w:rPr>
              <w:t>AEKO OTP Celkem</w:t>
            </w:r>
          </w:p>
        </w:tc>
        <w:tc>
          <w:tcPr>
            <w:tcW w:w="1262" w:type="dxa"/>
            <w:tcBorders>
              <w:top w:val="single" w:sz="8" w:space="0" w:color="auto"/>
              <w:left w:val="nil"/>
              <w:bottom w:val="double" w:sz="6" w:space="0" w:color="auto"/>
              <w:right w:val="single" w:sz="4" w:space="0" w:color="auto"/>
            </w:tcBorders>
            <w:shd w:val="clear" w:color="000000" w:fill="FFFF00"/>
            <w:noWrap/>
            <w:vAlign w:val="bottom"/>
            <w:hideMark/>
          </w:tcPr>
          <w:p w14:paraId="72B01120" w14:textId="77777777" w:rsidR="004F257A" w:rsidRPr="004F257A" w:rsidRDefault="004F257A" w:rsidP="004D2249">
            <w:pPr>
              <w:jc w:val="right"/>
              <w:rPr>
                <w:rFonts w:cs="Times New Roman"/>
                <w:b/>
                <w:bCs/>
                <w:color w:val="000000"/>
                <w:sz w:val="20"/>
                <w:szCs w:val="20"/>
              </w:rPr>
            </w:pPr>
            <w:r w:rsidRPr="004F257A">
              <w:rPr>
                <w:rFonts w:cs="Times New Roman"/>
                <w:b/>
                <w:bCs/>
                <w:color w:val="000000"/>
                <w:sz w:val="20"/>
                <w:szCs w:val="20"/>
              </w:rPr>
              <w:t>689 336,00</w:t>
            </w:r>
          </w:p>
        </w:tc>
        <w:tc>
          <w:tcPr>
            <w:tcW w:w="1276" w:type="dxa"/>
            <w:tcBorders>
              <w:top w:val="single" w:sz="8" w:space="0" w:color="auto"/>
              <w:left w:val="nil"/>
              <w:bottom w:val="double" w:sz="6" w:space="0" w:color="auto"/>
              <w:right w:val="single" w:sz="4" w:space="0" w:color="auto"/>
            </w:tcBorders>
            <w:shd w:val="clear" w:color="000000" w:fill="FFFF00"/>
            <w:noWrap/>
            <w:vAlign w:val="bottom"/>
            <w:hideMark/>
          </w:tcPr>
          <w:p w14:paraId="678DE378" w14:textId="77777777" w:rsidR="004F257A" w:rsidRPr="004F257A" w:rsidRDefault="004F257A" w:rsidP="004D2249">
            <w:pPr>
              <w:jc w:val="right"/>
              <w:rPr>
                <w:rFonts w:cs="Times New Roman"/>
                <w:b/>
                <w:bCs/>
                <w:color w:val="000000"/>
                <w:sz w:val="20"/>
                <w:szCs w:val="20"/>
              </w:rPr>
            </w:pPr>
            <w:r w:rsidRPr="004F257A">
              <w:rPr>
                <w:rFonts w:cs="Times New Roman"/>
                <w:b/>
                <w:bCs/>
                <w:color w:val="000000"/>
                <w:sz w:val="20"/>
                <w:szCs w:val="20"/>
              </w:rPr>
              <w:t>886 398,45</w:t>
            </w:r>
          </w:p>
        </w:tc>
        <w:tc>
          <w:tcPr>
            <w:tcW w:w="1276" w:type="dxa"/>
            <w:tcBorders>
              <w:top w:val="single" w:sz="8" w:space="0" w:color="auto"/>
              <w:left w:val="nil"/>
              <w:bottom w:val="double" w:sz="6" w:space="0" w:color="auto"/>
              <w:right w:val="single" w:sz="4" w:space="0" w:color="auto"/>
            </w:tcBorders>
            <w:shd w:val="clear" w:color="000000" w:fill="FFFF00"/>
            <w:noWrap/>
            <w:vAlign w:val="bottom"/>
            <w:hideMark/>
          </w:tcPr>
          <w:p w14:paraId="495C73B2" w14:textId="77777777" w:rsidR="004F257A" w:rsidRPr="004F257A" w:rsidRDefault="004F257A" w:rsidP="004D2249">
            <w:pPr>
              <w:jc w:val="right"/>
              <w:rPr>
                <w:rFonts w:cs="Times New Roman"/>
                <w:b/>
                <w:bCs/>
                <w:color w:val="000000"/>
                <w:sz w:val="20"/>
                <w:szCs w:val="20"/>
              </w:rPr>
            </w:pPr>
            <w:r w:rsidRPr="004F257A">
              <w:rPr>
                <w:rFonts w:cs="Times New Roman"/>
                <w:b/>
                <w:bCs/>
                <w:color w:val="000000"/>
                <w:sz w:val="20"/>
                <w:szCs w:val="20"/>
              </w:rPr>
              <w:t>900 367,98</w:t>
            </w:r>
          </w:p>
        </w:tc>
        <w:tc>
          <w:tcPr>
            <w:tcW w:w="1417" w:type="dxa"/>
            <w:tcBorders>
              <w:top w:val="single" w:sz="8" w:space="0" w:color="auto"/>
              <w:left w:val="nil"/>
              <w:bottom w:val="double" w:sz="6" w:space="0" w:color="auto"/>
              <w:right w:val="single" w:sz="4" w:space="0" w:color="auto"/>
            </w:tcBorders>
            <w:shd w:val="clear" w:color="000000" w:fill="FFFF00"/>
            <w:noWrap/>
            <w:vAlign w:val="bottom"/>
            <w:hideMark/>
          </w:tcPr>
          <w:p w14:paraId="7ACF4C3A" w14:textId="77777777" w:rsidR="004F257A" w:rsidRPr="004F257A" w:rsidRDefault="004F257A" w:rsidP="004D2249">
            <w:pPr>
              <w:jc w:val="right"/>
              <w:rPr>
                <w:rFonts w:cs="Times New Roman"/>
                <w:b/>
                <w:bCs/>
                <w:color w:val="000000"/>
                <w:sz w:val="20"/>
                <w:szCs w:val="20"/>
              </w:rPr>
            </w:pPr>
            <w:r w:rsidRPr="004F257A">
              <w:rPr>
                <w:rFonts w:cs="Times New Roman"/>
                <w:b/>
                <w:bCs/>
                <w:color w:val="000000"/>
                <w:sz w:val="20"/>
                <w:szCs w:val="20"/>
              </w:rPr>
              <w:t>910 157,23</w:t>
            </w:r>
          </w:p>
        </w:tc>
        <w:tc>
          <w:tcPr>
            <w:tcW w:w="1418" w:type="dxa"/>
            <w:tcBorders>
              <w:top w:val="single" w:sz="8" w:space="0" w:color="auto"/>
              <w:left w:val="nil"/>
              <w:bottom w:val="double" w:sz="6" w:space="0" w:color="auto"/>
              <w:right w:val="single" w:sz="4" w:space="0" w:color="auto"/>
            </w:tcBorders>
            <w:shd w:val="clear" w:color="000000" w:fill="FFFF00"/>
            <w:noWrap/>
            <w:vAlign w:val="bottom"/>
            <w:hideMark/>
          </w:tcPr>
          <w:p w14:paraId="7DAC41BB" w14:textId="77777777" w:rsidR="004F257A" w:rsidRPr="004F257A" w:rsidRDefault="004F257A" w:rsidP="004D2249">
            <w:pPr>
              <w:jc w:val="right"/>
              <w:rPr>
                <w:rFonts w:cs="Times New Roman"/>
                <w:b/>
                <w:bCs/>
                <w:color w:val="000000"/>
                <w:sz w:val="20"/>
                <w:szCs w:val="20"/>
              </w:rPr>
            </w:pPr>
            <w:r w:rsidRPr="004F257A">
              <w:rPr>
                <w:rFonts w:cs="Times New Roman"/>
                <w:b/>
                <w:bCs/>
                <w:color w:val="000000"/>
                <w:sz w:val="20"/>
                <w:szCs w:val="20"/>
              </w:rPr>
              <w:t>913 928,74</w:t>
            </w:r>
          </w:p>
        </w:tc>
        <w:tc>
          <w:tcPr>
            <w:tcW w:w="1417" w:type="dxa"/>
            <w:tcBorders>
              <w:top w:val="single" w:sz="8" w:space="0" w:color="auto"/>
              <w:left w:val="nil"/>
              <w:bottom w:val="double" w:sz="6" w:space="0" w:color="auto"/>
              <w:right w:val="single" w:sz="4" w:space="0" w:color="auto"/>
            </w:tcBorders>
            <w:shd w:val="clear" w:color="000000" w:fill="FFFF00"/>
            <w:noWrap/>
            <w:vAlign w:val="bottom"/>
            <w:hideMark/>
          </w:tcPr>
          <w:p w14:paraId="54629C17" w14:textId="77777777" w:rsidR="004F257A" w:rsidRPr="004F257A" w:rsidRDefault="004F257A" w:rsidP="004D2249">
            <w:pPr>
              <w:jc w:val="right"/>
              <w:rPr>
                <w:rFonts w:cs="Times New Roman"/>
                <w:b/>
                <w:bCs/>
                <w:color w:val="000000"/>
                <w:sz w:val="20"/>
                <w:szCs w:val="20"/>
              </w:rPr>
            </w:pPr>
            <w:r w:rsidRPr="004F257A">
              <w:rPr>
                <w:rFonts w:cs="Times New Roman"/>
                <w:b/>
                <w:bCs/>
                <w:color w:val="000000"/>
                <w:sz w:val="20"/>
                <w:szCs w:val="20"/>
              </w:rPr>
              <w:t>900 646,15</w:t>
            </w:r>
          </w:p>
        </w:tc>
        <w:tc>
          <w:tcPr>
            <w:tcW w:w="1418" w:type="dxa"/>
            <w:tcBorders>
              <w:top w:val="single" w:sz="8" w:space="0" w:color="auto"/>
              <w:left w:val="nil"/>
              <w:bottom w:val="double" w:sz="6" w:space="0" w:color="auto"/>
              <w:right w:val="single" w:sz="8" w:space="0" w:color="auto"/>
            </w:tcBorders>
            <w:shd w:val="clear" w:color="000000" w:fill="FFFF00"/>
            <w:noWrap/>
            <w:vAlign w:val="bottom"/>
            <w:hideMark/>
          </w:tcPr>
          <w:p w14:paraId="660B139E" w14:textId="77777777" w:rsidR="004F257A" w:rsidRPr="004F257A" w:rsidRDefault="004F257A" w:rsidP="004D2249">
            <w:pPr>
              <w:jc w:val="right"/>
              <w:rPr>
                <w:rFonts w:cs="Times New Roman"/>
                <w:b/>
                <w:bCs/>
                <w:color w:val="000000"/>
                <w:sz w:val="20"/>
                <w:szCs w:val="20"/>
              </w:rPr>
            </w:pPr>
            <w:r w:rsidRPr="004F257A">
              <w:rPr>
                <w:rFonts w:cs="Times New Roman"/>
                <w:b/>
                <w:bCs/>
                <w:color w:val="000000"/>
                <w:sz w:val="20"/>
                <w:szCs w:val="20"/>
              </w:rPr>
              <w:t>899 983,56</w:t>
            </w:r>
          </w:p>
        </w:tc>
      </w:tr>
      <w:tr w:rsidR="004F257A" w:rsidRPr="004F257A" w14:paraId="47D3CD98" w14:textId="77777777" w:rsidTr="004D2249">
        <w:trPr>
          <w:trHeight w:val="315"/>
        </w:trPr>
        <w:tc>
          <w:tcPr>
            <w:tcW w:w="4101" w:type="dxa"/>
            <w:tcBorders>
              <w:top w:val="nil"/>
              <w:left w:val="single" w:sz="8" w:space="0" w:color="auto"/>
              <w:bottom w:val="single" w:sz="4" w:space="0" w:color="auto"/>
              <w:right w:val="single" w:sz="8" w:space="0" w:color="auto"/>
            </w:tcBorders>
            <w:shd w:val="clear" w:color="000000" w:fill="FFF2CC"/>
            <w:noWrap/>
            <w:vAlign w:val="center"/>
            <w:hideMark/>
          </w:tcPr>
          <w:p w14:paraId="5DA7BA1D" w14:textId="77777777" w:rsidR="004F257A" w:rsidRPr="004F257A" w:rsidRDefault="004F257A" w:rsidP="004D2249">
            <w:pPr>
              <w:jc w:val="center"/>
              <w:rPr>
                <w:rFonts w:cs="Times New Roman"/>
                <w:b/>
                <w:bCs/>
                <w:color w:val="000000"/>
                <w:sz w:val="20"/>
                <w:szCs w:val="20"/>
              </w:rPr>
            </w:pPr>
            <w:r w:rsidRPr="004F257A">
              <w:rPr>
                <w:rFonts w:cs="Times New Roman"/>
                <w:b/>
                <w:bCs/>
                <w:color w:val="000000"/>
                <w:sz w:val="20"/>
                <w:szCs w:val="20"/>
              </w:rPr>
              <w:t>Kultura T Celkem</w:t>
            </w:r>
          </w:p>
        </w:tc>
        <w:tc>
          <w:tcPr>
            <w:tcW w:w="1262" w:type="dxa"/>
            <w:tcBorders>
              <w:top w:val="nil"/>
              <w:left w:val="nil"/>
              <w:bottom w:val="single" w:sz="4" w:space="0" w:color="auto"/>
              <w:right w:val="single" w:sz="4" w:space="0" w:color="auto"/>
            </w:tcBorders>
            <w:shd w:val="clear" w:color="000000" w:fill="FFF2CC"/>
            <w:noWrap/>
            <w:vAlign w:val="bottom"/>
            <w:hideMark/>
          </w:tcPr>
          <w:p w14:paraId="069BCECB"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978 717,51</w:t>
            </w:r>
          </w:p>
        </w:tc>
        <w:tc>
          <w:tcPr>
            <w:tcW w:w="1276" w:type="dxa"/>
            <w:tcBorders>
              <w:top w:val="nil"/>
              <w:left w:val="nil"/>
              <w:bottom w:val="single" w:sz="4" w:space="0" w:color="auto"/>
              <w:right w:val="single" w:sz="4" w:space="0" w:color="auto"/>
            </w:tcBorders>
            <w:shd w:val="clear" w:color="000000" w:fill="FFF2CC"/>
            <w:noWrap/>
            <w:vAlign w:val="bottom"/>
            <w:hideMark/>
          </w:tcPr>
          <w:p w14:paraId="2258F693"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989 967,35</w:t>
            </w:r>
          </w:p>
        </w:tc>
        <w:tc>
          <w:tcPr>
            <w:tcW w:w="1276" w:type="dxa"/>
            <w:tcBorders>
              <w:top w:val="nil"/>
              <w:left w:val="nil"/>
              <w:bottom w:val="single" w:sz="4" w:space="0" w:color="auto"/>
              <w:right w:val="single" w:sz="4" w:space="0" w:color="auto"/>
            </w:tcBorders>
            <w:shd w:val="clear" w:color="000000" w:fill="FFF2CC"/>
            <w:noWrap/>
            <w:vAlign w:val="bottom"/>
            <w:hideMark/>
          </w:tcPr>
          <w:p w14:paraId="49F81B0D"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997 511,81</w:t>
            </w:r>
          </w:p>
        </w:tc>
        <w:tc>
          <w:tcPr>
            <w:tcW w:w="1417" w:type="dxa"/>
            <w:tcBorders>
              <w:top w:val="nil"/>
              <w:left w:val="nil"/>
              <w:bottom w:val="single" w:sz="4" w:space="0" w:color="auto"/>
              <w:right w:val="single" w:sz="4" w:space="0" w:color="auto"/>
            </w:tcBorders>
            <w:shd w:val="clear" w:color="000000" w:fill="FFF2CC"/>
            <w:noWrap/>
            <w:vAlign w:val="bottom"/>
            <w:hideMark/>
          </w:tcPr>
          <w:p w14:paraId="4E329DA9"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1 001 203,04</w:t>
            </w:r>
          </w:p>
        </w:tc>
        <w:tc>
          <w:tcPr>
            <w:tcW w:w="1418" w:type="dxa"/>
            <w:tcBorders>
              <w:top w:val="nil"/>
              <w:left w:val="nil"/>
              <w:bottom w:val="single" w:sz="4" w:space="0" w:color="auto"/>
              <w:right w:val="single" w:sz="4" w:space="0" w:color="auto"/>
            </w:tcBorders>
            <w:shd w:val="clear" w:color="000000" w:fill="FFF2CC"/>
            <w:noWrap/>
            <w:vAlign w:val="bottom"/>
            <w:hideMark/>
          </w:tcPr>
          <w:p w14:paraId="06D7315E"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1 004 524,52</w:t>
            </w:r>
          </w:p>
        </w:tc>
        <w:tc>
          <w:tcPr>
            <w:tcW w:w="1417" w:type="dxa"/>
            <w:tcBorders>
              <w:top w:val="nil"/>
              <w:left w:val="nil"/>
              <w:bottom w:val="single" w:sz="4" w:space="0" w:color="auto"/>
              <w:right w:val="single" w:sz="4" w:space="0" w:color="auto"/>
            </w:tcBorders>
            <w:shd w:val="clear" w:color="000000" w:fill="FFF2CC"/>
            <w:noWrap/>
            <w:vAlign w:val="bottom"/>
            <w:hideMark/>
          </w:tcPr>
          <w:p w14:paraId="088D95E1"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1 005 783,47</w:t>
            </w:r>
          </w:p>
        </w:tc>
        <w:tc>
          <w:tcPr>
            <w:tcW w:w="1418" w:type="dxa"/>
            <w:tcBorders>
              <w:top w:val="nil"/>
              <w:left w:val="nil"/>
              <w:bottom w:val="single" w:sz="4" w:space="0" w:color="auto"/>
              <w:right w:val="single" w:sz="8" w:space="0" w:color="auto"/>
            </w:tcBorders>
            <w:shd w:val="clear" w:color="000000" w:fill="FFF2CC"/>
            <w:noWrap/>
            <w:vAlign w:val="bottom"/>
            <w:hideMark/>
          </w:tcPr>
          <w:p w14:paraId="3ABB8B17"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1 008 514,26</w:t>
            </w:r>
          </w:p>
        </w:tc>
      </w:tr>
      <w:tr w:rsidR="004F257A" w:rsidRPr="004F257A" w14:paraId="493AF2E0" w14:textId="77777777" w:rsidTr="004D2249">
        <w:trPr>
          <w:trHeight w:val="315"/>
        </w:trPr>
        <w:tc>
          <w:tcPr>
            <w:tcW w:w="4101" w:type="dxa"/>
            <w:tcBorders>
              <w:top w:val="nil"/>
              <w:left w:val="single" w:sz="8" w:space="0" w:color="auto"/>
              <w:bottom w:val="single" w:sz="8" w:space="0" w:color="auto"/>
              <w:right w:val="single" w:sz="8" w:space="0" w:color="auto"/>
            </w:tcBorders>
            <w:shd w:val="clear" w:color="000000" w:fill="FFE699"/>
            <w:noWrap/>
            <w:vAlign w:val="center"/>
            <w:hideMark/>
          </w:tcPr>
          <w:p w14:paraId="23830AB3" w14:textId="77777777" w:rsidR="004F257A" w:rsidRPr="004F257A" w:rsidRDefault="004F257A" w:rsidP="004D2249">
            <w:pPr>
              <w:jc w:val="center"/>
              <w:rPr>
                <w:rFonts w:cs="Times New Roman"/>
                <w:b/>
                <w:bCs/>
                <w:color w:val="000000"/>
                <w:sz w:val="20"/>
                <w:szCs w:val="20"/>
              </w:rPr>
            </w:pPr>
            <w:r w:rsidRPr="004F257A">
              <w:rPr>
                <w:rFonts w:cs="Times New Roman"/>
                <w:b/>
                <w:bCs/>
                <w:color w:val="000000"/>
                <w:sz w:val="20"/>
                <w:szCs w:val="20"/>
              </w:rPr>
              <w:t>Kultura T mimo opatření N/AEKO OTP</w:t>
            </w:r>
          </w:p>
        </w:tc>
        <w:tc>
          <w:tcPr>
            <w:tcW w:w="1262" w:type="dxa"/>
            <w:tcBorders>
              <w:top w:val="nil"/>
              <w:left w:val="nil"/>
              <w:bottom w:val="single" w:sz="8" w:space="0" w:color="auto"/>
              <w:right w:val="single" w:sz="4" w:space="0" w:color="auto"/>
            </w:tcBorders>
            <w:shd w:val="clear" w:color="000000" w:fill="FFE699"/>
            <w:noWrap/>
            <w:vAlign w:val="bottom"/>
            <w:hideMark/>
          </w:tcPr>
          <w:p w14:paraId="753E3DA1"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289 381,51</w:t>
            </w:r>
          </w:p>
        </w:tc>
        <w:tc>
          <w:tcPr>
            <w:tcW w:w="1276" w:type="dxa"/>
            <w:tcBorders>
              <w:top w:val="nil"/>
              <w:left w:val="nil"/>
              <w:bottom w:val="single" w:sz="8" w:space="0" w:color="auto"/>
              <w:right w:val="single" w:sz="4" w:space="0" w:color="auto"/>
            </w:tcBorders>
            <w:shd w:val="clear" w:color="000000" w:fill="FFE699"/>
            <w:noWrap/>
            <w:vAlign w:val="bottom"/>
            <w:hideMark/>
          </w:tcPr>
          <w:p w14:paraId="6FCF4A10"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103 568,90</w:t>
            </w:r>
          </w:p>
        </w:tc>
        <w:tc>
          <w:tcPr>
            <w:tcW w:w="1276" w:type="dxa"/>
            <w:tcBorders>
              <w:top w:val="nil"/>
              <w:left w:val="nil"/>
              <w:bottom w:val="single" w:sz="8" w:space="0" w:color="auto"/>
              <w:right w:val="single" w:sz="4" w:space="0" w:color="auto"/>
            </w:tcBorders>
            <w:shd w:val="clear" w:color="000000" w:fill="FFE699"/>
            <w:noWrap/>
            <w:vAlign w:val="bottom"/>
            <w:hideMark/>
          </w:tcPr>
          <w:p w14:paraId="7E593C53"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97 143,83</w:t>
            </w:r>
          </w:p>
        </w:tc>
        <w:tc>
          <w:tcPr>
            <w:tcW w:w="1417" w:type="dxa"/>
            <w:tcBorders>
              <w:top w:val="nil"/>
              <w:left w:val="nil"/>
              <w:bottom w:val="single" w:sz="8" w:space="0" w:color="auto"/>
              <w:right w:val="single" w:sz="4" w:space="0" w:color="auto"/>
            </w:tcBorders>
            <w:shd w:val="clear" w:color="000000" w:fill="FFE699"/>
            <w:noWrap/>
            <w:vAlign w:val="bottom"/>
            <w:hideMark/>
          </w:tcPr>
          <w:p w14:paraId="406C2760"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91 045,81</w:t>
            </w:r>
          </w:p>
        </w:tc>
        <w:tc>
          <w:tcPr>
            <w:tcW w:w="1418" w:type="dxa"/>
            <w:tcBorders>
              <w:top w:val="nil"/>
              <w:left w:val="nil"/>
              <w:bottom w:val="single" w:sz="8" w:space="0" w:color="auto"/>
              <w:right w:val="single" w:sz="4" w:space="0" w:color="auto"/>
            </w:tcBorders>
            <w:shd w:val="clear" w:color="000000" w:fill="FFE699"/>
            <w:noWrap/>
            <w:vAlign w:val="bottom"/>
            <w:hideMark/>
          </w:tcPr>
          <w:p w14:paraId="102F6505"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90 595,78</w:t>
            </w:r>
          </w:p>
        </w:tc>
        <w:tc>
          <w:tcPr>
            <w:tcW w:w="1417" w:type="dxa"/>
            <w:tcBorders>
              <w:top w:val="nil"/>
              <w:left w:val="nil"/>
              <w:bottom w:val="single" w:sz="8" w:space="0" w:color="auto"/>
              <w:right w:val="single" w:sz="4" w:space="0" w:color="auto"/>
            </w:tcBorders>
            <w:shd w:val="clear" w:color="000000" w:fill="FFE699"/>
            <w:noWrap/>
            <w:vAlign w:val="bottom"/>
            <w:hideMark/>
          </w:tcPr>
          <w:p w14:paraId="05432DD0"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105 137,32</w:t>
            </w:r>
          </w:p>
        </w:tc>
        <w:tc>
          <w:tcPr>
            <w:tcW w:w="1418" w:type="dxa"/>
            <w:tcBorders>
              <w:top w:val="nil"/>
              <w:left w:val="nil"/>
              <w:bottom w:val="single" w:sz="8" w:space="0" w:color="auto"/>
              <w:right w:val="single" w:sz="8" w:space="0" w:color="auto"/>
            </w:tcBorders>
            <w:shd w:val="clear" w:color="000000" w:fill="FFE699"/>
            <w:noWrap/>
            <w:vAlign w:val="bottom"/>
            <w:hideMark/>
          </w:tcPr>
          <w:p w14:paraId="7D41327D" w14:textId="77777777" w:rsidR="004F257A" w:rsidRPr="004F257A" w:rsidRDefault="004F257A" w:rsidP="004D2249">
            <w:pPr>
              <w:jc w:val="right"/>
              <w:rPr>
                <w:rFonts w:cs="Times New Roman"/>
                <w:color w:val="000000"/>
                <w:sz w:val="20"/>
                <w:szCs w:val="20"/>
              </w:rPr>
            </w:pPr>
            <w:r w:rsidRPr="004F257A">
              <w:rPr>
                <w:rFonts w:cs="Times New Roman"/>
                <w:color w:val="000000"/>
                <w:sz w:val="20"/>
                <w:szCs w:val="20"/>
              </w:rPr>
              <w:t>108 530,70</w:t>
            </w:r>
          </w:p>
        </w:tc>
      </w:tr>
    </w:tbl>
    <w:p w14:paraId="4FDD1D51" w14:textId="77777777" w:rsidR="003E0F58" w:rsidRPr="007C705C" w:rsidRDefault="003E0F58" w:rsidP="004F257A">
      <w:pPr>
        <w:pStyle w:val="UZEIZdroj"/>
      </w:pPr>
      <w:r w:rsidRPr="007C705C">
        <w:t>pozn. nulové hodnoty znamenají, že v daném roce opatření ještě nebylo administrováno</w:t>
      </w:r>
    </w:p>
    <w:p w14:paraId="0BE417DF" w14:textId="0B81AE7E" w:rsidR="00BD44CA" w:rsidRDefault="003E0F58" w:rsidP="004C1517">
      <w:pPr>
        <w:pStyle w:val="UZEIZdroj"/>
        <w:rPr>
          <w:rFonts w:eastAsiaTheme="minorEastAsia"/>
        </w:rPr>
      </w:pPr>
      <w:r w:rsidRPr="007C705C">
        <w:rPr>
          <w:rFonts w:eastAsiaTheme="minorEastAsia"/>
        </w:rPr>
        <w:t>Zdroj: MZe, odd. registrů (Ing. Dobíhal, 20</w:t>
      </w:r>
      <w:r w:rsidR="004C1517">
        <w:rPr>
          <w:rFonts w:eastAsiaTheme="minorEastAsia"/>
        </w:rPr>
        <w:t>21</w:t>
      </w:r>
    </w:p>
    <w:p w14:paraId="3427C675" w14:textId="77777777" w:rsidR="00D11E3E" w:rsidRDefault="00D11E3E" w:rsidP="004C1517">
      <w:pPr>
        <w:pStyle w:val="UZEIZdroj"/>
        <w:rPr>
          <w:rFonts w:eastAsiaTheme="minorEastAsia"/>
        </w:rPr>
      </w:pPr>
    </w:p>
    <w:p w14:paraId="7FDEEB3E" w14:textId="7E1EFC8C" w:rsidR="00D11E3E" w:rsidRDefault="00D11E3E" w:rsidP="004C1517">
      <w:pPr>
        <w:pStyle w:val="UZEIZdroj"/>
        <w:rPr>
          <w:rFonts w:eastAsiaTheme="minorEastAsia"/>
        </w:rPr>
      </w:pPr>
    </w:p>
    <w:p w14:paraId="05CB7169" w14:textId="1B797F11" w:rsidR="00F075AF" w:rsidRDefault="00F075AF" w:rsidP="004C1517">
      <w:pPr>
        <w:pStyle w:val="UZEIZdroj"/>
        <w:rPr>
          <w:rFonts w:eastAsiaTheme="minorEastAsia"/>
        </w:rPr>
      </w:pPr>
    </w:p>
    <w:p w14:paraId="1F0C6859" w14:textId="12CE85D4" w:rsidR="00F075AF" w:rsidRDefault="00F075AF" w:rsidP="004C1517">
      <w:pPr>
        <w:pStyle w:val="UZEIZdroj"/>
        <w:rPr>
          <w:rFonts w:eastAsiaTheme="minorEastAsia"/>
        </w:rPr>
      </w:pPr>
    </w:p>
    <w:p w14:paraId="17F0E2D2" w14:textId="7C122E6B" w:rsidR="00F075AF" w:rsidRDefault="00F075AF" w:rsidP="004C1517">
      <w:pPr>
        <w:pStyle w:val="UZEIZdroj"/>
        <w:rPr>
          <w:rFonts w:eastAsiaTheme="minorEastAsia"/>
        </w:rPr>
      </w:pPr>
    </w:p>
    <w:p w14:paraId="608BC837" w14:textId="77777777" w:rsidR="00F075AF" w:rsidRDefault="00F075AF" w:rsidP="004C1517">
      <w:pPr>
        <w:pStyle w:val="UZEIZdroj"/>
        <w:rPr>
          <w:rFonts w:eastAsiaTheme="minorEastAsia"/>
        </w:rPr>
      </w:pPr>
    </w:p>
    <w:p w14:paraId="2E76A0E4" w14:textId="77777777" w:rsidR="00D11E3E" w:rsidRDefault="00D11E3E" w:rsidP="004C1517">
      <w:pPr>
        <w:pStyle w:val="UZEIZdroj"/>
        <w:rPr>
          <w:rFonts w:eastAsiaTheme="minorEastAsia"/>
        </w:rPr>
      </w:pPr>
    </w:p>
    <w:p w14:paraId="7E7769AA" w14:textId="77777777" w:rsidR="00D11E3E" w:rsidRDefault="00D11E3E" w:rsidP="004C1517">
      <w:pPr>
        <w:pStyle w:val="UZEIZdroj"/>
        <w:rPr>
          <w:rFonts w:eastAsiaTheme="minorEastAsia"/>
        </w:rPr>
      </w:pPr>
    </w:p>
    <w:p w14:paraId="71088A36" w14:textId="77777777" w:rsidR="00D11E3E" w:rsidRDefault="00D11E3E" w:rsidP="004C1517">
      <w:pPr>
        <w:pStyle w:val="UZEIZdroj"/>
      </w:pPr>
    </w:p>
    <w:p w14:paraId="4AEC7EEC" w14:textId="22896493" w:rsidR="003E0F58" w:rsidRPr="007C705C" w:rsidRDefault="003E0F58" w:rsidP="004F257A">
      <w:pPr>
        <w:pStyle w:val="UZEIGraf"/>
      </w:pPr>
      <w:bookmarkStart w:id="433" w:name="_Toc81342890"/>
      <w:bookmarkStart w:id="434" w:name="_Toc93583612"/>
      <w:r w:rsidRPr="007C705C">
        <w:lastRenderedPageBreak/>
        <w:t>Greening - Vývoj ploch zachování TTP</w:t>
      </w:r>
      <w:bookmarkEnd w:id="433"/>
      <w:bookmarkEnd w:id="434"/>
    </w:p>
    <w:p w14:paraId="6DCE0763" w14:textId="77777777" w:rsidR="003E0F58" w:rsidRPr="007C705C" w:rsidRDefault="003E0F58" w:rsidP="00BD44CA">
      <w:pPr>
        <w:ind w:firstLine="360"/>
        <w:jc w:val="left"/>
        <w:rPr>
          <w:rFonts w:eastAsiaTheme="minorEastAsia" w:cs="Times New Roman"/>
          <w:lang w:val="cs-CZ"/>
        </w:rPr>
      </w:pPr>
      <w:r w:rsidRPr="007C705C">
        <w:rPr>
          <w:rFonts w:cs="Times New Roman"/>
          <w:noProof/>
          <w:lang w:val="cs-CZ" w:eastAsia="cs-CZ"/>
        </w:rPr>
        <w:drawing>
          <wp:inline distT="0" distB="0" distL="0" distR="0" wp14:anchorId="3B58DB52" wp14:editId="5AE2A943">
            <wp:extent cx="4886325" cy="2947987"/>
            <wp:effectExtent l="0" t="0" r="9525" b="5080"/>
            <wp:docPr id="22" name="Graf 22">
              <a:extLst xmlns:a="http://schemas.openxmlformats.org/drawingml/2006/main">
                <a:ext uri="{FF2B5EF4-FFF2-40B4-BE49-F238E27FC236}">
                  <a16:creationId xmlns:a16="http://schemas.microsoft.com/office/drawing/2014/main" id="{77EAAF15-ED37-4188-9A00-3B819072369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1E7B5C0C" w14:textId="4A8DE2E5" w:rsidR="003E0F58" w:rsidRDefault="003E0F58" w:rsidP="004C1517">
      <w:pPr>
        <w:pStyle w:val="UZEIZdroj"/>
      </w:pPr>
      <w:r w:rsidRPr="007C705C">
        <w:t>Zdroj: MZe (Oddělení registrů, Šilháček), Zpracoval ÚZEI (Nesňal)2021</w:t>
      </w:r>
    </w:p>
    <w:p w14:paraId="40464E2C" w14:textId="6D479FFF" w:rsidR="000C297A" w:rsidRDefault="000C297A" w:rsidP="004C1517">
      <w:pPr>
        <w:pStyle w:val="UZEIZdroj"/>
      </w:pPr>
    </w:p>
    <w:p w14:paraId="6FD1D8DE" w14:textId="6079B7C1" w:rsidR="000C297A" w:rsidRDefault="000C297A" w:rsidP="004C1517">
      <w:pPr>
        <w:pStyle w:val="UZEIZdroj"/>
      </w:pPr>
    </w:p>
    <w:p w14:paraId="388B51BD" w14:textId="53CB8558" w:rsidR="000C297A" w:rsidRDefault="000C297A" w:rsidP="004C1517">
      <w:pPr>
        <w:pStyle w:val="UZEIZdroj"/>
      </w:pPr>
    </w:p>
    <w:p w14:paraId="41C757F6" w14:textId="17864DCA" w:rsidR="000C297A" w:rsidRDefault="000C297A" w:rsidP="004C1517">
      <w:pPr>
        <w:pStyle w:val="UZEIZdroj"/>
      </w:pPr>
    </w:p>
    <w:p w14:paraId="1662F48F" w14:textId="6D4CD1EF" w:rsidR="000C297A" w:rsidRDefault="000C297A" w:rsidP="004C1517">
      <w:pPr>
        <w:pStyle w:val="UZEIZdroj"/>
      </w:pPr>
    </w:p>
    <w:p w14:paraId="371EC2AC" w14:textId="321F1C46" w:rsidR="000C297A" w:rsidRDefault="000C297A" w:rsidP="004C1517">
      <w:pPr>
        <w:pStyle w:val="UZEIZdroj"/>
      </w:pPr>
    </w:p>
    <w:p w14:paraId="6E8C7076" w14:textId="1CC34034" w:rsidR="000C297A" w:rsidRDefault="000C297A" w:rsidP="004C1517">
      <w:pPr>
        <w:pStyle w:val="UZEIZdroj"/>
      </w:pPr>
    </w:p>
    <w:p w14:paraId="0982BC92" w14:textId="7788F0EC" w:rsidR="000C297A" w:rsidRDefault="000C297A" w:rsidP="004C1517">
      <w:pPr>
        <w:pStyle w:val="UZEIZdroj"/>
      </w:pPr>
    </w:p>
    <w:p w14:paraId="5B8F7D4D" w14:textId="2AC6DEA5" w:rsidR="000C297A" w:rsidRDefault="000C297A" w:rsidP="004C1517">
      <w:pPr>
        <w:pStyle w:val="UZEIZdroj"/>
      </w:pPr>
    </w:p>
    <w:p w14:paraId="2A583A75" w14:textId="15C75E2B" w:rsidR="000C297A" w:rsidRDefault="000C297A" w:rsidP="004C1517">
      <w:pPr>
        <w:pStyle w:val="UZEIZdroj"/>
      </w:pPr>
    </w:p>
    <w:p w14:paraId="1C744BEC" w14:textId="77777777" w:rsidR="000C297A" w:rsidRPr="007C705C" w:rsidRDefault="000C297A" w:rsidP="004C1517">
      <w:pPr>
        <w:pStyle w:val="UZEIZdroj"/>
      </w:pPr>
    </w:p>
    <w:p w14:paraId="7D86F1E7" w14:textId="25CF3DE8" w:rsidR="003E0F58" w:rsidRPr="007C705C" w:rsidRDefault="004C1517" w:rsidP="004C1517">
      <w:pPr>
        <w:pStyle w:val="UZEITaB"/>
      </w:pPr>
      <w:r>
        <w:lastRenderedPageBreak/>
        <w:t xml:space="preserve">  </w:t>
      </w:r>
      <w:bookmarkStart w:id="435" w:name="_Toc94181623"/>
      <w:r w:rsidR="003E0F58" w:rsidRPr="007C705C">
        <w:t>Typy TTP a jejich kvantifikace</w:t>
      </w:r>
      <w:bookmarkEnd w:id="435"/>
    </w:p>
    <w:tbl>
      <w:tblPr>
        <w:tblW w:w="13585" w:type="dxa"/>
        <w:tblCellMar>
          <w:left w:w="70" w:type="dxa"/>
          <w:right w:w="70" w:type="dxa"/>
        </w:tblCellMar>
        <w:tblLook w:val="04A0" w:firstRow="1" w:lastRow="0" w:firstColumn="1" w:lastColumn="0" w:noHBand="0" w:noVBand="1"/>
      </w:tblPr>
      <w:tblGrid>
        <w:gridCol w:w="4101"/>
        <w:gridCol w:w="1262"/>
        <w:gridCol w:w="1276"/>
        <w:gridCol w:w="1276"/>
        <w:gridCol w:w="1417"/>
        <w:gridCol w:w="1418"/>
        <w:gridCol w:w="1417"/>
        <w:gridCol w:w="1418"/>
      </w:tblGrid>
      <w:tr w:rsidR="003E0F58" w:rsidRPr="004C1517" w14:paraId="6153EB9A" w14:textId="77777777" w:rsidTr="004D2249">
        <w:trPr>
          <w:trHeight w:val="645"/>
        </w:trPr>
        <w:tc>
          <w:tcPr>
            <w:tcW w:w="4101" w:type="dxa"/>
            <w:tcBorders>
              <w:top w:val="single" w:sz="8" w:space="0" w:color="auto"/>
              <w:left w:val="single" w:sz="8" w:space="0" w:color="auto"/>
              <w:bottom w:val="single" w:sz="8" w:space="0" w:color="auto"/>
              <w:right w:val="single" w:sz="8" w:space="0" w:color="auto"/>
            </w:tcBorders>
            <w:shd w:val="clear" w:color="000000" w:fill="FFE699"/>
            <w:vAlign w:val="center"/>
            <w:hideMark/>
          </w:tcPr>
          <w:p w14:paraId="3CFB17F0" w14:textId="77777777" w:rsidR="003E0F58" w:rsidRPr="004C1517" w:rsidRDefault="003E0F58" w:rsidP="004D2249">
            <w:pPr>
              <w:jc w:val="center"/>
              <w:rPr>
                <w:rFonts w:cs="Times New Roman"/>
                <w:b/>
                <w:bCs/>
                <w:color w:val="000000"/>
                <w:sz w:val="20"/>
                <w:szCs w:val="20"/>
                <w:lang w:val="cs-CZ"/>
              </w:rPr>
            </w:pPr>
            <w:r w:rsidRPr="004C1517">
              <w:rPr>
                <w:rFonts w:cs="Times New Roman"/>
                <w:b/>
                <w:bCs/>
                <w:color w:val="000000"/>
                <w:sz w:val="20"/>
                <w:szCs w:val="20"/>
                <w:lang w:val="cs-CZ"/>
              </w:rPr>
              <w:t>Výměra DPB [ha] deklarovaná v rámci opatření AEKO OTP</w:t>
            </w:r>
          </w:p>
        </w:tc>
        <w:tc>
          <w:tcPr>
            <w:tcW w:w="1262" w:type="dxa"/>
            <w:tcBorders>
              <w:top w:val="single" w:sz="8" w:space="0" w:color="auto"/>
              <w:left w:val="nil"/>
              <w:bottom w:val="single" w:sz="8" w:space="0" w:color="auto"/>
              <w:right w:val="single" w:sz="4" w:space="0" w:color="auto"/>
            </w:tcBorders>
            <w:shd w:val="clear" w:color="000000" w:fill="FFE699"/>
            <w:noWrap/>
            <w:vAlign w:val="center"/>
            <w:hideMark/>
          </w:tcPr>
          <w:p w14:paraId="07D2371F" w14:textId="77777777" w:rsidR="003E0F58" w:rsidRPr="004C1517" w:rsidRDefault="003E0F58" w:rsidP="004D2249">
            <w:pPr>
              <w:jc w:val="center"/>
              <w:rPr>
                <w:rFonts w:cs="Times New Roman"/>
                <w:b/>
                <w:bCs/>
                <w:color w:val="000000"/>
                <w:sz w:val="20"/>
                <w:szCs w:val="20"/>
                <w:lang w:val="cs-CZ"/>
              </w:rPr>
            </w:pPr>
            <w:r w:rsidRPr="004C1517">
              <w:rPr>
                <w:rFonts w:cs="Times New Roman"/>
                <w:b/>
                <w:bCs/>
                <w:color w:val="000000"/>
                <w:sz w:val="20"/>
                <w:szCs w:val="20"/>
                <w:lang w:val="cs-CZ"/>
              </w:rPr>
              <w:t>2015</w:t>
            </w:r>
          </w:p>
        </w:tc>
        <w:tc>
          <w:tcPr>
            <w:tcW w:w="1276" w:type="dxa"/>
            <w:tcBorders>
              <w:top w:val="single" w:sz="8" w:space="0" w:color="auto"/>
              <w:left w:val="nil"/>
              <w:bottom w:val="single" w:sz="8" w:space="0" w:color="auto"/>
              <w:right w:val="single" w:sz="4" w:space="0" w:color="auto"/>
            </w:tcBorders>
            <w:shd w:val="clear" w:color="000000" w:fill="FFE699"/>
            <w:noWrap/>
            <w:vAlign w:val="center"/>
            <w:hideMark/>
          </w:tcPr>
          <w:p w14:paraId="26994714" w14:textId="77777777" w:rsidR="003E0F58" w:rsidRPr="004C1517" w:rsidRDefault="003E0F58" w:rsidP="004D2249">
            <w:pPr>
              <w:jc w:val="center"/>
              <w:rPr>
                <w:rFonts w:cs="Times New Roman"/>
                <w:b/>
                <w:bCs/>
                <w:color w:val="000000"/>
                <w:sz w:val="20"/>
                <w:szCs w:val="20"/>
                <w:lang w:val="cs-CZ"/>
              </w:rPr>
            </w:pPr>
            <w:r w:rsidRPr="004C1517">
              <w:rPr>
                <w:rFonts w:cs="Times New Roman"/>
                <w:b/>
                <w:bCs/>
                <w:color w:val="000000"/>
                <w:sz w:val="20"/>
                <w:szCs w:val="20"/>
                <w:lang w:val="cs-CZ"/>
              </w:rPr>
              <w:t>2016</w:t>
            </w:r>
          </w:p>
        </w:tc>
        <w:tc>
          <w:tcPr>
            <w:tcW w:w="1276" w:type="dxa"/>
            <w:tcBorders>
              <w:top w:val="single" w:sz="8" w:space="0" w:color="auto"/>
              <w:left w:val="nil"/>
              <w:bottom w:val="single" w:sz="8" w:space="0" w:color="auto"/>
              <w:right w:val="single" w:sz="4" w:space="0" w:color="auto"/>
            </w:tcBorders>
            <w:shd w:val="clear" w:color="000000" w:fill="FFE699"/>
            <w:noWrap/>
            <w:vAlign w:val="center"/>
            <w:hideMark/>
          </w:tcPr>
          <w:p w14:paraId="61488130" w14:textId="77777777" w:rsidR="003E0F58" w:rsidRPr="004C1517" w:rsidRDefault="003E0F58" w:rsidP="004D2249">
            <w:pPr>
              <w:jc w:val="center"/>
              <w:rPr>
                <w:rFonts w:cs="Times New Roman"/>
                <w:b/>
                <w:bCs/>
                <w:color w:val="000000"/>
                <w:sz w:val="20"/>
                <w:szCs w:val="20"/>
                <w:lang w:val="cs-CZ"/>
              </w:rPr>
            </w:pPr>
            <w:r w:rsidRPr="004C1517">
              <w:rPr>
                <w:rFonts w:cs="Times New Roman"/>
                <w:b/>
                <w:bCs/>
                <w:color w:val="000000"/>
                <w:sz w:val="20"/>
                <w:szCs w:val="20"/>
                <w:lang w:val="cs-CZ"/>
              </w:rPr>
              <w:t>2017</w:t>
            </w:r>
          </w:p>
        </w:tc>
        <w:tc>
          <w:tcPr>
            <w:tcW w:w="1417" w:type="dxa"/>
            <w:tcBorders>
              <w:top w:val="single" w:sz="8" w:space="0" w:color="auto"/>
              <w:left w:val="nil"/>
              <w:bottom w:val="single" w:sz="8" w:space="0" w:color="auto"/>
              <w:right w:val="single" w:sz="4" w:space="0" w:color="auto"/>
            </w:tcBorders>
            <w:shd w:val="clear" w:color="000000" w:fill="FFE699"/>
            <w:noWrap/>
            <w:vAlign w:val="center"/>
            <w:hideMark/>
          </w:tcPr>
          <w:p w14:paraId="3590EDBF" w14:textId="77777777" w:rsidR="003E0F58" w:rsidRPr="004C1517" w:rsidRDefault="003E0F58" w:rsidP="004D2249">
            <w:pPr>
              <w:jc w:val="center"/>
              <w:rPr>
                <w:rFonts w:cs="Times New Roman"/>
                <w:b/>
                <w:bCs/>
                <w:color w:val="000000"/>
                <w:sz w:val="20"/>
                <w:szCs w:val="20"/>
                <w:lang w:val="cs-CZ"/>
              </w:rPr>
            </w:pPr>
            <w:r w:rsidRPr="004C1517">
              <w:rPr>
                <w:rFonts w:cs="Times New Roman"/>
                <w:b/>
                <w:bCs/>
                <w:color w:val="000000"/>
                <w:sz w:val="20"/>
                <w:szCs w:val="20"/>
                <w:lang w:val="cs-CZ"/>
              </w:rPr>
              <w:t>2018</w:t>
            </w:r>
          </w:p>
        </w:tc>
        <w:tc>
          <w:tcPr>
            <w:tcW w:w="1418" w:type="dxa"/>
            <w:tcBorders>
              <w:top w:val="single" w:sz="8" w:space="0" w:color="auto"/>
              <w:left w:val="nil"/>
              <w:bottom w:val="single" w:sz="8" w:space="0" w:color="auto"/>
              <w:right w:val="single" w:sz="4" w:space="0" w:color="auto"/>
            </w:tcBorders>
            <w:shd w:val="clear" w:color="000000" w:fill="FFE699"/>
            <w:noWrap/>
            <w:vAlign w:val="center"/>
            <w:hideMark/>
          </w:tcPr>
          <w:p w14:paraId="13FD9407" w14:textId="77777777" w:rsidR="003E0F58" w:rsidRPr="004C1517" w:rsidRDefault="003E0F58" w:rsidP="004D2249">
            <w:pPr>
              <w:jc w:val="center"/>
              <w:rPr>
                <w:rFonts w:cs="Times New Roman"/>
                <w:b/>
                <w:bCs/>
                <w:color w:val="000000"/>
                <w:sz w:val="20"/>
                <w:szCs w:val="20"/>
                <w:lang w:val="cs-CZ"/>
              </w:rPr>
            </w:pPr>
            <w:r w:rsidRPr="004C1517">
              <w:rPr>
                <w:rFonts w:cs="Times New Roman"/>
                <w:b/>
                <w:bCs/>
                <w:color w:val="000000"/>
                <w:sz w:val="20"/>
                <w:szCs w:val="20"/>
                <w:lang w:val="cs-CZ"/>
              </w:rPr>
              <w:t>2019</w:t>
            </w:r>
          </w:p>
        </w:tc>
        <w:tc>
          <w:tcPr>
            <w:tcW w:w="1417" w:type="dxa"/>
            <w:tcBorders>
              <w:top w:val="single" w:sz="8" w:space="0" w:color="auto"/>
              <w:left w:val="nil"/>
              <w:bottom w:val="single" w:sz="8" w:space="0" w:color="auto"/>
              <w:right w:val="single" w:sz="4" w:space="0" w:color="auto"/>
            </w:tcBorders>
            <w:shd w:val="clear" w:color="000000" w:fill="FFE699"/>
            <w:noWrap/>
            <w:vAlign w:val="center"/>
            <w:hideMark/>
          </w:tcPr>
          <w:p w14:paraId="022489A4" w14:textId="77777777" w:rsidR="003E0F58" w:rsidRPr="004C1517" w:rsidRDefault="003E0F58" w:rsidP="004D2249">
            <w:pPr>
              <w:jc w:val="center"/>
              <w:rPr>
                <w:rFonts w:cs="Times New Roman"/>
                <w:b/>
                <w:bCs/>
                <w:color w:val="000000"/>
                <w:sz w:val="20"/>
                <w:szCs w:val="20"/>
                <w:lang w:val="cs-CZ"/>
              </w:rPr>
            </w:pPr>
            <w:r w:rsidRPr="004C1517">
              <w:rPr>
                <w:rFonts w:cs="Times New Roman"/>
                <w:b/>
                <w:bCs/>
                <w:color w:val="000000"/>
                <w:sz w:val="20"/>
                <w:szCs w:val="20"/>
                <w:lang w:val="cs-CZ"/>
              </w:rPr>
              <w:t>2020</w:t>
            </w:r>
          </w:p>
        </w:tc>
        <w:tc>
          <w:tcPr>
            <w:tcW w:w="1418" w:type="dxa"/>
            <w:tcBorders>
              <w:top w:val="single" w:sz="8" w:space="0" w:color="auto"/>
              <w:left w:val="nil"/>
              <w:bottom w:val="single" w:sz="8" w:space="0" w:color="auto"/>
              <w:right w:val="single" w:sz="8" w:space="0" w:color="auto"/>
            </w:tcBorders>
            <w:shd w:val="clear" w:color="000000" w:fill="FFE699"/>
            <w:noWrap/>
            <w:vAlign w:val="center"/>
            <w:hideMark/>
          </w:tcPr>
          <w:p w14:paraId="4EC11BCA" w14:textId="77777777" w:rsidR="003E0F58" w:rsidRPr="004C1517" w:rsidRDefault="003E0F58" w:rsidP="004D2249">
            <w:pPr>
              <w:jc w:val="center"/>
              <w:rPr>
                <w:rFonts w:cs="Times New Roman"/>
                <w:b/>
                <w:bCs/>
                <w:color w:val="000000"/>
                <w:sz w:val="20"/>
                <w:szCs w:val="20"/>
                <w:lang w:val="cs-CZ"/>
              </w:rPr>
            </w:pPr>
            <w:r w:rsidRPr="004C1517">
              <w:rPr>
                <w:rFonts w:cs="Times New Roman"/>
                <w:b/>
                <w:bCs/>
                <w:color w:val="000000"/>
                <w:sz w:val="20"/>
                <w:szCs w:val="20"/>
                <w:lang w:val="cs-CZ"/>
              </w:rPr>
              <w:t>2021</w:t>
            </w:r>
          </w:p>
        </w:tc>
      </w:tr>
      <w:tr w:rsidR="003E0F58" w:rsidRPr="004C1517" w14:paraId="1DC23632" w14:textId="77777777" w:rsidTr="004D2249">
        <w:trPr>
          <w:trHeight w:val="300"/>
        </w:trPr>
        <w:tc>
          <w:tcPr>
            <w:tcW w:w="4101" w:type="dxa"/>
            <w:tcBorders>
              <w:top w:val="nil"/>
              <w:left w:val="single" w:sz="8" w:space="0" w:color="auto"/>
              <w:bottom w:val="single" w:sz="4" w:space="0" w:color="auto"/>
              <w:right w:val="single" w:sz="8" w:space="0" w:color="auto"/>
            </w:tcBorders>
            <w:shd w:val="clear" w:color="auto" w:fill="auto"/>
            <w:noWrap/>
            <w:vAlign w:val="center"/>
            <w:hideMark/>
          </w:tcPr>
          <w:p w14:paraId="6B824DE8" w14:textId="77777777" w:rsidR="003E0F58" w:rsidRPr="004C1517" w:rsidRDefault="003E0F58" w:rsidP="004D2249">
            <w:pPr>
              <w:jc w:val="center"/>
              <w:rPr>
                <w:rFonts w:cs="Times New Roman"/>
                <w:b/>
                <w:bCs/>
                <w:color w:val="000000"/>
                <w:sz w:val="20"/>
                <w:szCs w:val="20"/>
                <w:lang w:val="cs-CZ"/>
              </w:rPr>
            </w:pPr>
            <w:r w:rsidRPr="004C1517">
              <w:rPr>
                <w:rFonts w:cs="Times New Roman"/>
                <w:b/>
                <w:bCs/>
                <w:color w:val="000000"/>
                <w:sz w:val="20"/>
                <w:szCs w:val="20"/>
                <w:lang w:val="cs-CZ"/>
              </w:rPr>
              <w:t>Ochrana chřástala</w:t>
            </w:r>
          </w:p>
        </w:tc>
        <w:tc>
          <w:tcPr>
            <w:tcW w:w="1262" w:type="dxa"/>
            <w:tcBorders>
              <w:top w:val="nil"/>
              <w:left w:val="nil"/>
              <w:bottom w:val="single" w:sz="4" w:space="0" w:color="auto"/>
              <w:right w:val="single" w:sz="4" w:space="0" w:color="auto"/>
            </w:tcBorders>
            <w:shd w:val="clear" w:color="auto" w:fill="auto"/>
            <w:noWrap/>
            <w:vAlign w:val="bottom"/>
            <w:hideMark/>
          </w:tcPr>
          <w:p w14:paraId="00F3AAC1"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9 684,81</w:t>
            </w:r>
          </w:p>
        </w:tc>
        <w:tc>
          <w:tcPr>
            <w:tcW w:w="1276" w:type="dxa"/>
            <w:tcBorders>
              <w:top w:val="nil"/>
              <w:left w:val="nil"/>
              <w:bottom w:val="single" w:sz="4" w:space="0" w:color="auto"/>
              <w:right w:val="single" w:sz="4" w:space="0" w:color="auto"/>
            </w:tcBorders>
            <w:shd w:val="clear" w:color="auto" w:fill="auto"/>
            <w:noWrap/>
            <w:vAlign w:val="bottom"/>
            <w:hideMark/>
          </w:tcPr>
          <w:p w14:paraId="1EEA7021"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12 074,01</w:t>
            </w:r>
          </w:p>
        </w:tc>
        <w:tc>
          <w:tcPr>
            <w:tcW w:w="1276" w:type="dxa"/>
            <w:tcBorders>
              <w:top w:val="nil"/>
              <w:left w:val="nil"/>
              <w:bottom w:val="single" w:sz="4" w:space="0" w:color="auto"/>
              <w:right w:val="single" w:sz="4" w:space="0" w:color="auto"/>
            </w:tcBorders>
            <w:shd w:val="clear" w:color="auto" w:fill="auto"/>
            <w:noWrap/>
            <w:vAlign w:val="bottom"/>
            <w:hideMark/>
          </w:tcPr>
          <w:p w14:paraId="22DC5671"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12 028,99</w:t>
            </w:r>
          </w:p>
        </w:tc>
        <w:tc>
          <w:tcPr>
            <w:tcW w:w="1417" w:type="dxa"/>
            <w:tcBorders>
              <w:top w:val="nil"/>
              <w:left w:val="nil"/>
              <w:bottom w:val="single" w:sz="4" w:space="0" w:color="auto"/>
              <w:right w:val="single" w:sz="4" w:space="0" w:color="auto"/>
            </w:tcBorders>
            <w:shd w:val="clear" w:color="auto" w:fill="auto"/>
            <w:noWrap/>
            <w:vAlign w:val="bottom"/>
            <w:hideMark/>
          </w:tcPr>
          <w:p w14:paraId="79ECF1B8"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12 049,88</w:t>
            </w:r>
          </w:p>
        </w:tc>
        <w:tc>
          <w:tcPr>
            <w:tcW w:w="1418" w:type="dxa"/>
            <w:tcBorders>
              <w:top w:val="nil"/>
              <w:left w:val="nil"/>
              <w:bottom w:val="single" w:sz="4" w:space="0" w:color="auto"/>
              <w:right w:val="single" w:sz="4" w:space="0" w:color="auto"/>
            </w:tcBorders>
            <w:shd w:val="clear" w:color="auto" w:fill="auto"/>
            <w:noWrap/>
            <w:vAlign w:val="bottom"/>
            <w:hideMark/>
          </w:tcPr>
          <w:p w14:paraId="12021F0A"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11 862,26</w:t>
            </w:r>
          </w:p>
        </w:tc>
        <w:tc>
          <w:tcPr>
            <w:tcW w:w="1417" w:type="dxa"/>
            <w:tcBorders>
              <w:top w:val="nil"/>
              <w:left w:val="nil"/>
              <w:bottom w:val="single" w:sz="4" w:space="0" w:color="auto"/>
              <w:right w:val="single" w:sz="4" w:space="0" w:color="auto"/>
            </w:tcBorders>
            <w:shd w:val="clear" w:color="auto" w:fill="auto"/>
            <w:noWrap/>
            <w:vAlign w:val="bottom"/>
            <w:hideMark/>
          </w:tcPr>
          <w:p w14:paraId="766D6FD0"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11 150,22</w:t>
            </w:r>
          </w:p>
        </w:tc>
        <w:tc>
          <w:tcPr>
            <w:tcW w:w="1418" w:type="dxa"/>
            <w:tcBorders>
              <w:top w:val="nil"/>
              <w:left w:val="nil"/>
              <w:bottom w:val="single" w:sz="4" w:space="0" w:color="auto"/>
              <w:right w:val="single" w:sz="8" w:space="0" w:color="auto"/>
            </w:tcBorders>
            <w:shd w:val="clear" w:color="auto" w:fill="auto"/>
            <w:noWrap/>
            <w:vAlign w:val="bottom"/>
            <w:hideMark/>
          </w:tcPr>
          <w:p w14:paraId="5F676CB5"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11 097,20</w:t>
            </w:r>
          </w:p>
        </w:tc>
      </w:tr>
      <w:tr w:rsidR="003E0F58" w:rsidRPr="004C1517" w14:paraId="7C2B23B2" w14:textId="77777777" w:rsidTr="004D2249">
        <w:trPr>
          <w:trHeight w:val="300"/>
        </w:trPr>
        <w:tc>
          <w:tcPr>
            <w:tcW w:w="4101" w:type="dxa"/>
            <w:tcBorders>
              <w:top w:val="nil"/>
              <w:left w:val="single" w:sz="8" w:space="0" w:color="auto"/>
              <w:bottom w:val="single" w:sz="4" w:space="0" w:color="auto"/>
              <w:right w:val="single" w:sz="8" w:space="0" w:color="auto"/>
            </w:tcBorders>
            <w:shd w:val="clear" w:color="000000" w:fill="EDEDED"/>
            <w:noWrap/>
            <w:vAlign w:val="center"/>
            <w:hideMark/>
          </w:tcPr>
          <w:p w14:paraId="3EA5D8DB" w14:textId="77777777" w:rsidR="003E0F58" w:rsidRPr="004C1517" w:rsidRDefault="003E0F58" w:rsidP="004D2249">
            <w:pPr>
              <w:jc w:val="center"/>
              <w:rPr>
                <w:rFonts w:cs="Times New Roman"/>
                <w:b/>
                <w:bCs/>
                <w:color w:val="000000"/>
                <w:sz w:val="20"/>
                <w:szCs w:val="20"/>
                <w:lang w:val="cs-CZ"/>
              </w:rPr>
            </w:pPr>
            <w:r w:rsidRPr="004C1517">
              <w:rPr>
                <w:rFonts w:cs="Times New Roman"/>
                <w:b/>
                <w:bCs/>
                <w:color w:val="000000"/>
                <w:sz w:val="20"/>
                <w:szCs w:val="20"/>
                <w:lang w:val="cs-CZ"/>
              </w:rPr>
              <w:t>Druhově bohaté louky</w:t>
            </w:r>
          </w:p>
        </w:tc>
        <w:tc>
          <w:tcPr>
            <w:tcW w:w="1262" w:type="dxa"/>
            <w:tcBorders>
              <w:top w:val="nil"/>
              <w:left w:val="nil"/>
              <w:bottom w:val="single" w:sz="4" w:space="0" w:color="auto"/>
              <w:right w:val="single" w:sz="4" w:space="0" w:color="auto"/>
            </w:tcBorders>
            <w:shd w:val="clear" w:color="000000" w:fill="EDEDED"/>
            <w:noWrap/>
            <w:vAlign w:val="bottom"/>
            <w:hideMark/>
          </w:tcPr>
          <w:p w14:paraId="7B7D2857"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68 204,87</w:t>
            </w:r>
          </w:p>
        </w:tc>
        <w:tc>
          <w:tcPr>
            <w:tcW w:w="1276" w:type="dxa"/>
            <w:tcBorders>
              <w:top w:val="nil"/>
              <w:left w:val="nil"/>
              <w:bottom w:val="single" w:sz="4" w:space="0" w:color="auto"/>
              <w:right w:val="single" w:sz="4" w:space="0" w:color="auto"/>
            </w:tcBorders>
            <w:shd w:val="clear" w:color="000000" w:fill="EDEDED"/>
            <w:noWrap/>
            <w:vAlign w:val="bottom"/>
            <w:hideMark/>
          </w:tcPr>
          <w:p w14:paraId="0B818932"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89 483,77</w:t>
            </w:r>
          </w:p>
        </w:tc>
        <w:tc>
          <w:tcPr>
            <w:tcW w:w="1276" w:type="dxa"/>
            <w:tcBorders>
              <w:top w:val="nil"/>
              <w:left w:val="nil"/>
              <w:bottom w:val="single" w:sz="4" w:space="0" w:color="auto"/>
              <w:right w:val="single" w:sz="4" w:space="0" w:color="auto"/>
            </w:tcBorders>
            <w:shd w:val="clear" w:color="000000" w:fill="EDEDED"/>
            <w:noWrap/>
            <w:vAlign w:val="bottom"/>
            <w:hideMark/>
          </w:tcPr>
          <w:p w14:paraId="0378F2BF"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90 584,93</w:t>
            </w:r>
          </w:p>
        </w:tc>
        <w:tc>
          <w:tcPr>
            <w:tcW w:w="1417" w:type="dxa"/>
            <w:tcBorders>
              <w:top w:val="nil"/>
              <w:left w:val="nil"/>
              <w:bottom w:val="single" w:sz="4" w:space="0" w:color="auto"/>
              <w:right w:val="single" w:sz="4" w:space="0" w:color="auto"/>
            </w:tcBorders>
            <w:shd w:val="clear" w:color="000000" w:fill="EDEDED"/>
            <w:noWrap/>
            <w:vAlign w:val="bottom"/>
            <w:hideMark/>
          </w:tcPr>
          <w:p w14:paraId="520549F9"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91 239,36</w:t>
            </w:r>
          </w:p>
        </w:tc>
        <w:tc>
          <w:tcPr>
            <w:tcW w:w="1418" w:type="dxa"/>
            <w:tcBorders>
              <w:top w:val="nil"/>
              <w:left w:val="nil"/>
              <w:bottom w:val="single" w:sz="4" w:space="0" w:color="auto"/>
              <w:right w:val="single" w:sz="4" w:space="0" w:color="auto"/>
            </w:tcBorders>
            <w:shd w:val="clear" w:color="000000" w:fill="EDEDED"/>
            <w:noWrap/>
            <w:vAlign w:val="bottom"/>
            <w:hideMark/>
          </w:tcPr>
          <w:p w14:paraId="2FF3C554"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91 475,64</w:t>
            </w:r>
          </w:p>
        </w:tc>
        <w:tc>
          <w:tcPr>
            <w:tcW w:w="1417" w:type="dxa"/>
            <w:tcBorders>
              <w:top w:val="nil"/>
              <w:left w:val="nil"/>
              <w:bottom w:val="single" w:sz="4" w:space="0" w:color="auto"/>
              <w:right w:val="single" w:sz="4" w:space="0" w:color="auto"/>
            </w:tcBorders>
            <w:shd w:val="clear" w:color="000000" w:fill="EDEDED"/>
            <w:noWrap/>
            <w:vAlign w:val="bottom"/>
            <w:hideMark/>
          </w:tcPr>
          <w:p w14:paraId="35E5E243"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88 035,93</w:t>
            </w:r>
          </w:p>
        </w:tc>
        <w:tc>
          <w:tcPr>
            <w:tcW w:w="1418" w:type="dxa"/>
            <w:tcBorders>
              <w:top w:val="nil"/>
              <w:left w:val="nil"/>
              <w:bottom w:val="single" w:sz="4" w:space="0" w:color="auto"/>
              <w:right w:val="single" w:sz="8" w:space="0" w:color="auto"/>
            </w:tcBorders>
            <w:shd w:val="clear" w:color="000000" w:fill="EDEDED"/>
            <w:noWrap/>
            <w:vAlign w:val="bottom"/>
            <w:hideMark/>
          </w:tcPr>
          <w:p w14:paraId="4F25E766"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87 791,41</w:t>
            </w:r>
          </w:p>
        </w:tc>
      </w:tr>
      <w:tr w:rsidR="003E0F58" w:rsidRPr="004C1517" w14:paraId="757CD12A" w14:textId="77777777" w:rsidTr="004D2249">
        <w:trPr>
          <w:trHeight w:val="300"/>
        </w:trPr>
        <w:tc>
          <w:tcPr>
            <w:tcW w:w="4101" w:type="dxa"/>
            <w:tcBorders>
              <w:top w:val="nil"/>
              <w:left w:val="single" w:sz="8" w:space="0" w:color="auto"/>
              <w:bottom w:val="single" w:sz="4" w:space="0" w:color="auto"/>
              <w:right w:val="single" w:sz="8" w:space="0" w:color="auto"/>
            </w:tcBorders>
            <w:shd w:val="clear" w:color="auto" w:fill="auto"/>
            <w:noWrap/>
            <w:vAlign w:val="center"/>
            <w:hideMark/>
          </w:tcPr>
          <w:p w14:paraId="1E05563B" w14:textId="77777777" w:rsidR="003E0F58" w:rsidRPr="004C1517" w:rsidRDefault="003E0F58" w:rsidP="004D2249">
            <w:pPr>
              <w:jc w:val="center"/>
              <w:rPr>
                <w:rFonts w:cs="Times New Roman"/>
                <w:b/>
                <w:bCs/>
                <w:color w:val="000000"/>
                <w:sz w:val="20"/>
                <w:szCs w:val="20"/>
                <w:lang w:val="cs-CZ"/>
              </w:rPr>
            </w:pPr>
            <w:r w:rsidRPr="004C1517">
              <w:rPr>
                <w:rFonts w:cs="Times New Roman"/>
                <w:b/>
                <w:bCs/>
                <w:color w:val="000000"/>
                <w:sz w:val="20"/>
                <w:szCs w:val="20"/>
                <w:lang w:val="cs-CZ"/>
              </w:rPr>
              <w:t>Horské suché louky hnojené</w:t>
            </w:r>
          </w:p>
        </w:tc>
        <w:tc>
          <w:tcPr>
            <w:tcW w:w="1262" w:type="dxa"/>
            <w:tcBorders>
              <w:top w:val="nil"/>
              <w:left w:val="nil"/>
              <w:bottom w:val="single" w:sz="4" w:space="0" w:color="auto"/>
              <w:right w:val="single" w:sz="4" w:space="0" w:color="auto"/>
            </w:tcBorders>
            <w:shd w:val="clear" w:color="auto" w:fill="auto"/>
            <w:noWrap/>
            <w:vAlign w:val="bottom"/>
            <w:hideMark/>
          </w:tcPr>
          <w:p w14:paraId="4DC9E4EF"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3 044,31</w:t>
            </w:r>
          </w:p>
        </w:tc>
        <w:tc>
          <w:tcPr>
            <w:tcW w:w="1276" w:type="dxa"/>
            <w:tcBorders>
              <w:top w:val="nil"/>
              <w:left w:val="nil"/>
              <w:bottom w:val="single" w:sz="4" w:space="0" w:color="auto"/>
              <w:right w:val="single" w:sz="4" w:space="0" w:color="auto"/>
            </w:tcBorders>
            <w:shd w:val="clear" w:color="auto" w:fill="auto"/>
            <w:noWrap/>
            <w:vAlign w:val="bottom"/>
            <w:hideMark/>
          </w:tcPr>
          <w:p w14:paraId="556073F3"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3 199,49</w:t>
            </w:r>
          </w:p>
        </w:tc>
        <w:tc>
          <w:tcPr>
            <w:tcW w:w="1276" w:type="dxa"/>
            <w:tcBorders>
              <w:top w:val="nil"/>
              <w:left w:val="nil"/>
              <w:bottom w:val="single" w:sz="4" w:space="0" w:color="auto"/>
              <w:right w:val="single" w:sz="4" w:space="0" w:color="auto"/>
            </w:tcBorders>
            <w:shd w:val="clear" w:color="auto" w:fill="auto"/>
            <w:noWrap/>
            <w:vAlign w:val="bottom"/>
            <w:hideMark/>
          </w:tcPr>
          <w:p w14:paraId="704D03EC"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3 256,81</w:t>
            </w:r>
          </w:p>
        </w:tc>
        <w:tc>
          <w:tcPr>
            <w:tcW w:w="1417" w:type="dxa"/>
            <w:tcBorders>
              <w:top w:val="nil"/>
              <w:left w:val="nil"/>
              <w:bottom w:val="single" w:sz="4" w:space="0" w:color="auto"/>
              <w:right w:val="single" w:sz="4" w:space="0" w:color="auto"/>
            </w:tcBorders>
            <w:shd w:val="clear" w:color="auto" w:fill="auto"/>
            <w:noWrap/>
            <w:vAlign w:val="bottom"/>
            <w:hideMark/>
          </w:tcPr>
          <w:p w14:paraId="559C5BFC"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3 304,79</w:t>
            </w:r>
          </w:p>
        </w:tc>
        <w:tc>
          <w:tcPr>
            <w:tcW w:w="1418" w:type="dxa"/>
            <w:tcBorders>
              <w:top w:val="nil"/>
              <w:left w:val="nil"/>
              <w:bottom w:val="single" w:sz="4" w:space="0" w:color="auto"/>
              <w:right w:val="single" w:sz="4" w:space="0" w:color="auto"/>
            </w:tcBorders>
            <w:shd w:val="clear" w:color="auto" w:fill="auto"/>
            <w:noWrap/>
            <w:vAlign w:val="bottom"/>
            <w:hideMark/>
          </w:tcPr>
          <w:p w14:paraId="6A81B813"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3 306,41</w:t>
            </w:r>
          </w:p>
        </w:tc>
        <w:tc>
          <w:tcPr>
            <w:tcW w:w="1417" w:type="dxa"/>
            <w:tcBorders>
              <w:top w:val="nil"/>
              <w:left w:val="nil"/>
              <w:bottom w:val="single" w:sz="4" w:space="0" w:color="auto"/>
              <w:right w:val="single" w:sz="4" w:space="0" w:color="auto"/>
            </w:tcBorders>
            <w:shd w:val="clear" w:color="auto" w:fill="auto"/>
            <w:noWrap/>
            <w:vAlign w:val="bottom"/>
            <w:hideMark/>
          </w:tcPr>
          <w:p w14:paraId="0D7F8F77"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3 139,86</w:t>
            </w:r>
          </w:p>
        </w:tc>
        <w:tc>
          <w:tcPr>
            <w:tcW w:w="1418" w:type="dxa"/>
            <w:tcBorders>
              <w:top w:val="nil"/>
              <w:left w:val="nil"/>
              <w:bottom w:val="single" w:sz="4" w:space="0" w:color="auto"/>
              <w:right w:val="single" w:sz="8" w:space="0" w:color="auto"/>
            </w:tcBorders>
            <w:shd w:val="clear" w:color="auto" w:fill="auto"/>
            <w:noWrap/>
            <w:vAlign w:val="bottom"/>
            <w:hideMark/>
          </w:tcPr>
          <w:p w14:paraId="71AF848C"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3 110,24</w:t>
            </w:r>
          </w:p>
        </w:tc>
      </w:tr>
      <w:tr w:rsidR="003E0F58" w:rsidRPr="004C1517" w14:paraId="433C8ACC" w14:textId="77777777" w:rsidTr="004D2249">
        <w:trPr>
          <w:trHeight w:val="300"/>
        </w:trPr>
        <w:tc>
          <w:tcPr>
            <w:tcW w:w="4101" w:type="dxa"/>
            <w:tcBorders>
              <w:top w:val="nil"/>
              <w:left w:val="single" w:sz="8" w:space="0" w:color="auto"/>
              <w:bottom w:val="single" w:sz="4" w:space="0" w:color="auto"/>
              <w:right w:val="single" w:sz="8" w:space="0" w:color="auto"/>
            </w:tcBorders>
            <w:shd w:val="clear" w:color="000000" w:fill="EDEDED"/>
            <w:noWrap/>
            <w:vAlign w:val="center"/>
            <w:hideMark/>
          </w:tcPr>
          <w:p w14:paraId="50711E16" w14:textId="77777777" w:rsidR="003E0F58" w:rsidRPr="004C1517" w:rsidRDefault="003E0F58" w:rsidP="004D2249">
            <w:pPr>
              <w:jc w:val="center"/>
              <w:rPr>
                <w:rFonts w:cs="Times New Roman"/>
                <w:b/>
                <w:bCs/>
                <w:color w:val="000000"/>
                <w:sz w:val="20"/>
                <w:szCs w:val="20"/>
                <w:lang w:val="cs-CZ"/>
              </w:rPr>
            </w:pPr>
            <w:r w:rsidRPr="004C1517">
              <w:rPr>
                <w:rFonts w:cs="Times New Roman"/>
                <w:b/>
                <w:bCs/>
                <w:color w:val="000000"/>
                <w:sz w:val="20"/>
                <w:szCs w:val="20"/>
                <w:lang w:val="cs-CZ"/>
              </w:rPr>
              <w:t>Horské suché louky nehnojené</w:t>
            </w:r>
          </w:p>
        </w:tc>
        <w:tc>
          <w:tcPr>
            <w:tcW w:w="1262" w:type="dxa"/>
            <w:tcBorders>
              <w:top w:val="nil"/>
              <w:left w:val="nil"/>
              <w:bottom w:val="single" w:sz="4" w:space="0" w:color="auto"/>
              <w:right w:val="single" w:sz="4" w:space="0" w:color="auto"/>
            </w:tcBorders>
            <w:shd w:val="clear" w:color="000000" w:fill="EDEDED"/>
            <w:noWrap/>
            <w:vAlign w:val="bottom"/>
            <w:hideMark/>
          </w:tcPr>
          <w:p w14:paraId="1E9C0624"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15 190,35</w:t>
            </w:r>
          </w:p>
        </w:tc>
        <w:tc>
          <w:tcPr>
            <w:tcW w:w="1276" w:type="dxa"/>
            <w:tcBorders>
              <w:top w:val="nil"/>
              <w:left w:val="nil"/>
              <w:bottom w:val="single" w:sz="4" w:space="0" w:color="auto"/>
              <w:right w:val="single" w:sz="4" w:space="0" w:color="auto"/>
            </w:tcBorders>
            <w:shd w:val="clear" w:color="000000" w:fill="EDEDED"/>
            <w:noWrap/>
            <w:vAlign w:val="bottom"/>
            <w:hideMark/>
          </w:tcPr>
          <w:p w14:paraId="62A445E1"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18 564,17</w:t>
            </w:r>
          </w:p>
        </w:tc>
        <w:tc>
          <w:tcPr>
            <w:tcW w:w="1276" w:type="dxa"/>
            <w:tcBorders>
              <w:top w:val="nil"/>
              <w:left w:val="nil"/>
              <w:bottom w:val="single" w:sz="4" w:space="0" w:color="auto"/>
              <w:right w:val="single" w:sz="4" w:space="0" w:color="auto"/>
            </w:tcBorders>
            <w:shd w:val="clear" w:color="000000" w:fill="EDEDED"/>
            <w:noWrap/>
            <w:vAlign w:val="bottom"/>
            <w:hideMark/>
          </w:tcPr>
          <w:p w14:paraId="5319A86C"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18 838,04</w:t>
            </w:r>
          </w:p>
        </w:tc>
        <w:tc>
          <w:tcPr>
            <w:tcW w:w="1417" w:type="dxa"/>
            <w:tcBorders>
              <w:top w:val="nil"/>
              <w:left w:val="nil"/>
              <w:bottom w:val="single" w:sz="4" w:space="0" w:color="auto"/>
              <w:right w:val="single" w:sz="4" w:space="0" w:color="auto"/>
            </w:tcBorders>
            <w:shd w:val="clear" w:color="000000" w:fill="EDEDED"/>
            <w:noWrap/>
            <w:vAlign w:val="bottom"/>
            <w:hideMark/>
          </w:tcPr>
          <w:p w14:paraId="1A5F0F5A"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18 921,83</w:t>
            </w:r>
          </w:p>
        </w:tc>
        <w:tc>
          <w:tcPr>
            <w:tcW w:w="1418" w:type="dxa"/>
            <w:tcBorders>
              <w:top w:val="nil"/>
              <w:left w:val="nil"/>
              <w:bottom w:val="single" w:sz="4" w:space="0" w:color="auto"/>
              <w:right w:val="single" w:sz="4" w:space="0" w:color="auto"/>
            </w:tcBorders>
            <w:shd w:val="clear" w:color="000000" w:fill="EDEDED"/>
            <w:noWrap/>
            <w:vAlign w:val="bottom"/>
            <w:hideMark/>
          </w:tcPr>
          <w:p w14:paraId="4BDCBA8C"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18 922,99</w:t>
            </w:r>
          </w:p>
        </w:tc>
        <w:tc>
          <w:tcPr>
            <w:tcW w:w="1417" w:type="dxa"/>
            <w:tcBorders>
              <w:top w:val="nil"/>
              <w:left w:val="nil"/>
              <w:bottom w:val="single" w:sz="4" w:space="0" w:color="auto"/>
              <w:right w:val="single" w:sz="4" w:space="0" w:color="auto"/>
            </w:tcBorders>
            <w:shd w:val="clear" w:color="000000" w:fill="EDEDED"/>
            <w:noWrap/>
            <w:vAlign w:val="bottom"/>
            <w:hideMark/>
          </w:tcPr>
          <w:p w14:paraId="6DED784E"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16 876,95</w:t>
            </w:r>
          </w:p>
        </w:tc>
        <w:tc>
          <w:tcPr>
            <w:tcW w:w="1418" w:type="dxa"/>
            <w:tcBorders>
              <w:top w:val="nil"/>
              <w:left w:val="nil"/>
              <w:bottom w:val="single" w:sz="4" w:space="0" w:color="auto"/>
              <w:right w:val="single" w:sz="8" w:space="0" w:color="auto"/>
            </w:tcBorders>
            <w:shd w:val="clear" w:color="000000" w:fill="EDEDED"/>
            <w:noWrap/>
            <w:vAlign w:val="bottom"/>
            <w:hideMark/>
          </w:tcPr>
          <w:p w14:paraId="4A2D344F"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16 711,94</w:t>
            </w:r>
          </w:p>
        </w:tc>
      </w:tr>
      <w:tr w:rsidR="003E0F58" w:rsidRPr="004C1517" w14:paraId="48B4F641" w14:textId="77777777" w:rsidTr="004D2249">
        <w:trPr>
          <w:trHeight w:val="300"/>
        </w:trPr>
        <w:tc>
          <w:tcPr>
            <w:tcW w:w="4101" w:type="dxa"/>
            <w:tcBorders>
              <w:top w:val="nil"/>
              <w:left w:val="single" w:sz="8" w:space="0" w:color="auto"/>
              <w:bottom w:val="single" w:sz="4" w:space="0" w:color="auto"/>
              <w:right w:val="single" w:sz="8" w:space="0" w:color="auto"/>
            </w:tcBorders>
            <w:shd w:val="clear" w:color="auto" w:fill="auto"/>
            <w:noWrap/>
            <w:vAlign w:val="center"/>
            <w:hideMark/>
          </w:tcPr>
          <w:p w14:paraId="04A5949F" w14:textId="77777777" w:rsidR="003E0F58" w:rsidRPr="004C1517" w:rsidRDefault="003E0F58" w:rsidP="004D2249">
            <w:pPr>
              <w:jc w:val="center"/>
              <w:rPr>
                <w:rFonts w:cs="Times New Roman"/>
                <w:b/>
                <w:bCs/>
                <w:color w:val="000000"/>
                <w:sz w:val="20"/>
                <w:szCs w:val="20"/>
                <w:lang w:val="cs-CZ"/>
              </w:rPr>
            </w:pPr>
            <w:r w:rsidRPr="004C1517">
              <w:rPr>
                <w:rFonts w:cs="Times New Roman"/>
                <w:b/>
                <w:bCs/>
                <w:color w:val="000000"/>
                <w:sz w:val="20"/>
                <w:szCs w:val="20"/>
                <w:lang w:val="cs-CZ"/>
              </w:rPr>
              <w:t>Ochrana modrásků</w:t>
            </w:r>
          </w:p>
        </w:tc>
        <w:tc>
          <w:tcPr>
            <w:tcW w:w="1262" w:type="dxa"/>
            <w:tcBorders>
              <w:top w:val="nil"/>
              <w:left w:val="nil"/>
              <w:bottom w:val="single" w:sz="4" w:space="0" w:color="auto"/>
              <w:right w:val="single" w:sz="4" w:space="0" w:color="auto"/>
            </w:tcBorders>
            <w:shd w:val="clear" w:color="auto" w:fill="auto"/>
            <w:noWrap/>
            <w:vAlign w:val="bottom"/>
            <w:hideMark/>
          </w:tcPr>
          <w:p w14:paraId="5F434970"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1 848,56</w:t>
            </w:r>
          </w:p>
        </w:tc>
        <w:tc>
          <w:tcPr>
            <w:tcW w:w="1276" w:type="dxa"/>
            <w:tcBorders>
              <w:top w:val="nil"/>
              <w:left w:val="nil"/>
              <w:bottom w:val="single" w:sz="4" w:space="0" w:color="auto"/>
              <w:right w:val="single" w:sz="4" w:space="0" w:color="auto"/>
            </w:tcBorders>
            <w:shd w:val="clear" w:color="auto" w:fill="auto"/>
            <w:noWrap/>
            <w:vAlign w:val="bottom"/>
            <w:hideMark/>
          </w:tcPr>
          <w:p w14:paraId="336537F0"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2 296,86</w:t>
            </w:r>
          </w:p>
        </w:tc>
        <w:tc>
          <w:tcPr>
            <w:tcW w:w="1276" w:type="dxa"/>
            <w:tcBorders>
              <w:top w:val="nil"/>
              <w:left w:val="nil"/>
              <w:bottom w:val="single" w:sz="4" w:space="0" w:color="auto"/>
              <w:right w:val="single" w:sz="4" w:space="0" w:color="auto"/>
            </w:tcBorders>
            <w:shd w:val="clear" w:color="auto" w:fill="auto"/>
            <w:noWrap/>
            <w:vAlign w:val="bottom"/>
            <w:hideMark/>
          </w:tcPr>
          <w:p w14:paraId="4D1FBB64"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2 384,87</w:t>
            </w:r>
          </w:p>
        </w:tc>
        <w:tc>
          <w:tcPr>
            <w:tcW w:w="1417" w:type="dxa"/>
            <w:tcBorders>
              <w:top w:val="nil"/>
              <w:left w:val="nil"/>
              <w:bottom w:val="single" w:sz="4" w:space="0" w:color="auto"/>
              <w:right w:val="single" w:sz="4" w:space="0" w:color="auto"/>
            </w:tcBorders>
            <w:shd w:val="clear" w:color="auto" w:fill="auto"/>
            <w:noWrap/>
            <w:vAlign w:val="bottom"/>
            <w:hideMark/>
          </w:tcPr>
          <w:p w14:paraId="5564D6ED"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2 450,62</w:t>
            </w:r>
          </w:p>
        </w:tc>
        <w:tc>
          <w:tcPr>
            <w:tcW w:w="1418" w:type="dxa"/>
            <w:tcBorders>
              <w:top w:val="nil"/>
              <w:left w:val="nil"/>
              <w:bottom w:val="single" w:sz="4" w:space="0" w:color="auto"/>
              <w:right w:val="single" w:sz="4" w:space="0" w:color="auto"/>
            </w:tcBorders>
            <w:shd w:val="clear" w:color="auto" w:fill="auto"/>
            <w:noWrap/>
            <w:vAlign w:val="bottom"/>
            <w:hideMark/>
          </w:tcPr>
          <w:p w14:paraId="189615A5"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2 448,69</w:t>
            </w:r>
          </w:p>
        </w:tc>
        <w:tc>
          <w:tcPr>
            <w:tcW w:w="1417" w:type="dxa"/>
            <w:tcBorders>
              <w:top w:val="nil"/>
              <w:left w:val="nil"/>
              <w:bottom w:val="single" w:sz="4" w:space="0" w:color="auto"/>
              <w:right w:val="single" w:sz="4" w:space="0" w:color="auto"/>
            </w:tcBorders>
            <w:shd w:val="clear" w:color="auto" w:fill="auto"/>
            <w:noWrap/>
            <w:vAlign w:val="bottom"/>
            <w:hideMark/>
          </w:tcPr>
          <w:p w14:paraId="50C922B9"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2 527,43</w:t>
            </w:r>
          </w:p>
        </w:tc>
        <w:tc>
          <w:tcPr>
            <w:tcW w:w="1418" w:type="dxa"/>
            <w:tcBorders>
              <w:top w:val="nil"/>
              <w:left w:val="nil"/>
              <w:bottom w:val="single" w:sz="4" w:space="0" w:color="auto"/>
              <w:right w:val="single" w:sz="8" w:space="0" w:color="auto"/>
            </w:tcBorders>
            <w:shd w:val="clear" w:color="auto" w:fill="auto"/>
            <w:noWrap/>
            <w:vAlign w:val="bottom"/>
            <w:hideMark/>
          </w:tcPr>
          <w:p w14:paraId="4F45ED7F"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2 622,58</w:t>
            </w:r>
          </w:p>
        </w:tc>
      </w:tr>
      <w:tr w:rsidR="003E0F58" w:rsidRPr="004C1517" w14:paraId="01F44F01" w14:textId="77777777" w:rsidTr="004D2249">
        <w:trPr>
          <w:trHeight w:val="300"/>
        </w:trPr>
        <w:tc>
          <w:tcPr>
            <w:tcW w:w="4101" w:type="dxa"/>
            <w:tcBorders>
              <w:top w:val="nil"/>
              <w:left w:val="single" w:sz="8" w:space="0" w:color="auto"/>
              <w:bottom w:val="single" w:sz="4" w:space="0" w:color="auto"/>
              <w:right w:val="single" w:sz="8" w:space="0" w:color="auto"/>
            </w:tcBorders>
            <w:shd w:val="clear" w:color="000000" w:fill="EDEDED"/>
            <w:noWrap/>
            <w:vAlign w:val="center"/>
            <w:hideMark/>
          </w:tcPr>
          <w:p w14:paraId="615802A3" w14:textId="77777777" w:rsidR="003E0F58" w:rsidRPr="004C1517" w:rsidRDefault="003E0F58" w:rsidP="004D2249">
            <w:pPr>
              <w:jc w:val="center"/>
              <w:rPr>
                <w:rFonts w:cs="Times New Roman"/>
                <w:b/>
                <w:bCs/>
                <w:color w:val="000000"/>
                <w:sz w:val="20"/>
                <w:szCs w:val="20"/>
                <w:lang w:val="cs-CZ"/>
              </w:rPr>
            </w:pPr>
            <w:r w:rsidRPr="004C1517">
              <w:rPr>
                <w:rFonts w:cs="Times New Roman"/>
                <w:b/>
                <w:bCs/>
                <w:color w:val="000000"/>
                <w:sz w:val="20"/>
                <w:szCs w:val="20"/>
                <w:lang w:val="cs-CZ"/>
              </w:rPr>
              <w:t>Mezofilní vlhkomilné louky hnojené</w:t>
            </w:r>
          </w:p>
        </w:tc>
        <w:tc>
          <w:tcPr>
            <w:tcW w:w="1262" w:type="dxa"/>
            <w:tcBorders>
              <w:top w:val="nil"/>
              <w:left w:val="nil"/>
              <w:bottom w:val="single" w:sz="4" w:space="0" w:color="auto"/>
              <w:right w:val="single" w:sz="4" w:space="0" w:color="auto"/>
            </w:tcBorders>
            <w:shd w:val="clear" w:color="000000" w:fill="EDEDED"/>
            <w:noWrap/>
            <w:vAlign w:val="bottom"/>
            <w:hideMark/>
          </w:tcPr>
          <w:p w14:paraId="086A1E0E"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11 784,13</w:t>
            </w:r>
          </w:p>
        </w:tc>
        <w:tc>
          <w:tcPr>
            <w:tcW w:w="1276" w:type="dxa"/>
            <w:tcBorders>
              <w:top w:val="nil"/>
              <w:left w:val="nil"/>
              <w:bottom w:val="single" w:sz="4" w:space="0" w:color="auto"/>
              <w:right w:val="single" w:sz="4" w:space="0" w:color="auto"/>
            </w:tcBorders>
            <w:shd w:val="clear" w:color="000000" w:fill="EDEDED"/>
            <w:noWrap/>
            <w:vAlign w:val="bottom"/>
            <w:hideMark/>
          </w:tcPr>
          <w:p w14:paraId="6A0FB5B5"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14 901,78</w:t>
            </w:r>
          </w:p>
        </w:tc>
        <w:tc>
          <w:tcPr>
            <w:tcW w:w="1276" w:type="dxa"/>
            <w:tcBorders>
              <w:top w:val="nil"/>
              <w:left w:val="nil"/>
              <w:bottom w:val="single" w:sz="4" w:space="0" w:color="auto"/>
              <w:right w:val="single" w:sz="4" w:space="0" w:color="auto"/>
            </w:tcBorders>
            <w:shd w:val="clear" w:color="000000" w:fill="EDEDED"/>
            <w:noWrap/>
            <w:vAlign w:val="bottom"/>
            <w:hideMark/>
          </w:tcPr>
          <w:p w14:paraId="77BACA8D"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14 842,91</w:t>
            </w:r>
          </w:p>
        </w:tc>
        <w:tc>
          <w:tcPr>
            <w:tcW w:w="1417" w:type="dxa"/>
            <w:tcBorders>
              <w:top w:val="nil"/>
              <w:left w:val="nil"/>
              <w:bottom w:val="single" w:sz="4" w:space="0" w:color="auto"/>
              <w:right w:val="single" w:sz="4" w:space="0" w:color="auto"/>
            </w:tcBorders>
            <w:shd w:val="clear" w:color="000000" w:fill="EDEDED"/>
            <w:noWrap/>
            <w:vAlign w:val="bottom"/>
            <w:hideMark/>
          </w:tcPr>
          <w:p w14:paraId="53F96F58"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14 953,73</w:t>
            </w:r>
          </w:p>
        </w:tc>
        <w:tc>
          <w:tcPr>
            <w:tcW w:w="1418" w:type="dxa"/>
            <w:tcBorders>
              <w:top w:val="nil"/>
              <w:left w:val="nil"/>
              <w:bottom w:val="single" w:sz="4" w:space="0" w:color="auto"/>
              <w:right w:val="single" w:sz="4" w:space="0" w:color="auto"/>
            </w:tcBorders>
            <w:shd w:val="clear" w:color="000000" w:fill="EDEDED"/>
            <w:noWrap/>
            <w:vAlign w:val="bottom"/>
            <w:hideMark/>
          </w:tcPr>
          <w:p w14:paraId="23316101"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15 019,27</w:t>
            </w:r>
          </w:p>
        </w:tc>
        <w:tc>
          <w:tcPr>
            <w:tcW w:w="1417" w:type="dxa"/>
            <w:tcBorders>
              <w:top w:val="nil"/>
              <w:left w:val="nil"/>
              <w:bottom w:val="single" w:sz="4" w:space="0" w:color="auto"/>
              <w:right w:val="single" w:sz="4" w:space="0" w:color="auto"/>
            </w:tcBorders>
            <w:shd w:val="clear" w:color="000000" w:fill="EDEDED"/>
            <w:noWrap/>
            <w:vAlign w:val="bottom"/>
            <w:hideMark/>
          </w:tcPr>
          <w:p w14:paraId="38633BA1"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13 983,77</w:t>
            </w:r>
          </w:p>
        </w:tc>
        <w:tc>
          <w:tcPr>
            <w:tcW w:w="1418" w:type="dxa"/>
            <w:tcBorders>
              <w:top w:val="nil"/>
              <w:left w:val="nil"/>
              <w:bottom w:val="single" w:sz="4" w:space="0" w:color="auto"/>
              <w:right w:val="single" w:sz="8" w:space="0" w:color="auto"/>
            </w:tcBorders>
            <w:shd w:val="clear" w:color="000000" w:fill="EDEDED"/>
            <w:noWrap/>
            <w:vAlign w:val="bottom"/>
            <w:hideMark/>
          </w:tcPr>
          <w:p w14:paraId="51F36847"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13 526,73</w:t>
            </w:r>
          </w:p>
        </w:tc>
      </w:tr>
      <w:tr w:rsidR="003E0F58" w:rsidRPr="004C1517" w14:paraId="18006C08" w14:textId="77777777" w:rsidTr="004D2249">
        <w:trPr>
          <w:trHeight w:val="300"/>
        </w:trPr>
        <w:tc>
          <w:tcPr>
            <w:tcW w:w="4101" w:type="dxa"/>
            <w:tcBorders>
              <w:top w:val="nil"/>
              <w:left w:val="single" w:sz="8" w:space="0" w:color="auto"/>
              <w:bottom w:val="single" w:sz="4" w:space="0" w:color="auto"/>
              <w:right w:val="single" w:sz="8" w:space="0" w:color="auto"/>
            </w:tcBorders>
            <w:shd w:val="clear" w:color="auto" w:fill="auto"/>
            <w:noWrap/>
            <w:vAlign w:val="center"/>
            <w:hideMark/>
          </w:tcPr>
          <w:p w14:paraId="1487795C" w14:textId="77777777" w:rsidR="003E0F58" w:rsidRPr="004C1517" w:rsidRDefault="003E0F58" w:rsidP="004D2249">
            <w:pPr>
              <w:jc w:val="center"/>
              <w:rPr>
                <w:rFonts w:cs="Times New Roman"/>
                <w:b/>
                <w:bCs/>
                <w:color w:val="000000"/>
                <w:sz w:val="20"/>
                <w:szCs w:val="20"/>
                <w:lang w:val="cs-CZ"/>
              </w:rPr>
            </w:pPr>
            <w:r w:rsidRPr="004C1517">
              <w:rPr>
                <w:rFonts w:cs="Times New Roman"/>
                <w:b/>
                <w:bCs/>
                <w:color w:val="000000"/>
                <w:sz w:val="20"/>
                <w:szCs w:val="20"/>
                <w:lang w:val="cs-CZ"/>
              </w:rPr>
              <w:t>Mezofilní vlhkomilné louky nehnojené</w:t>
            </w:r>
          </w:p>
        </w:tc>
        <w:tc>
          <w:tcPr>
            <w:tcW w:w="1262" w:type="dxa"/>
            <w:tcBorders>
              <w:top w:val="nil"/>
              <w:left w:val="nil"/>
              <w:bottom w:val="single" w:sz="4" w:space="0" w:color="auto"/>
              <w:right w:val="single" w:sz="4" w:space="0" w:color="auto"/>
            </w:tcBorders>
            <w:shd w:val="clear" w:color="auto" w:fill="auto"/>
            <w:noWrap/>
            <w:vAlign w:val="bottom"/>
            <w:hideMark/>
          </w:tcPr>
          <w:p w14:paraId="2C478768"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38 542,89</w:t>
            </w:r>
          </w:p>
        </w:tc>
        <w:tc>
          <w:tcPr>
            <w:tcW w:w="1276" w:type="dxa"/>
            <w:tcBorders>
              <w:top w:val="nil"/>
              <w:left w:val="nil"/>
              <w:bottom w:val="single" w:sz="4" w:space="0" w:color="auto"/>
              <w:right w:val="single" w:sz="4" w:space="0" w:color="auto"/>
            </w:tcBorders>
            <w:shd w:val="clear" w:color="auto" w:fill="auto"/>
            <w:noWrap/>
            <w:vAlign w:val="bottom"/>
            <w:hideMark/>
          </w:tcPr>
          <w:p w14:paraId="4F22681D"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50 915,47</w:t>
            </w:r>
          </w:p>
        </w:tc>
        <w:tc>
          <w:tcPr>
            <w:tcW w:w="1276" w:type="dxa"/>
            <w:tcBorders>
              <w:top w:val="nil"/>
              <w:left w:val="nil"/>
              <w:bottom w:val="single" w:sz="4" w:space="0" w:color="auto"/>
              <w:right w:val="single" w:sz="4" w:space="0" w:color="auto"/>
            </w:tcBorders>
            <w:shd w:val="clear" w:color="auto" w:fill="auto"/>
            <w:noWrap/>
            <w:vAlign w:val="bottom"/>
            <w:hideMark/>
          </w:tcPr>
          <w:p w14:paraId="7600F760"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51 773,44</w:t>
            </w:r>
          </w:p>
        </w:tc>
        <w:tc>
          <w:tcPr>
            <w:tcW w:w="1417" w:type="dxa"/>
            <w:tcBorders>
              <w:top w:val="nil"/>
              <w:left w:val="nil"/>
              <w:bottom w:val="single" w:sz="4" w:space="0" w:color="auto"/>
              <w:right w:val="single" w:sz="4" w:space="0" w:color="auto"/>
            </w:tcBorders>
            <w:shd w:val="clear" w:color="auto" w:fill="auto"/>
            <w:noWrap/>
            <w:vAlign w:val="bottom"/>
            <w:hideMark/>
          </w:tcPr>
          <w:p w14:paraId="1E1F0BB9"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52 427,27</w:t>
            </w:r>
          </w:p>
        </w:tc>
        <w:tc>
          <w:tcPr>
            <w:tcW w:w="1418" w:type="dxa"/>
            <w:tcBorders>
              <w:top w:val="nil"/>
              <w:left w:val="nil"/>
              <w:bottom w:val="single" w:sz="4" w:space="0" w:color="auto"/>
              <w:right w:val="single" w:sz="4" w:space="0" w:color="auto"/>
            </w:tcBorders>
            <w:shd w:val="clear" w:color="auto" w:fill="auto"/>
            <w:noWrap/>
            <w:vAlign w:val="bottom"/>
            <w:hideMark/>
          </w:tcPr>
          <w:p w14:paraId="281176C6"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52 678,81</w:t>
            </w:r>
          </w:p>
        </w:tc>
        <w:tc>
          <w:tcPr>
            <w:tcW w:w="1417" w:type="dxa"/>
            <w:tcBorders>
              <w:top w:val="nil"/>
              <w:left w:val="nil"/>
              <w:bottom w:val="single" w:sz="4" w:space="0" w:color="auto"/>
              <w:right w:val="single" w:sz="4" w:space="0" w:color="auto"/>
            </w:tcBorders>
            <w:shd w:val="clear" w:color="auto" w:fill="auto"/>
            <w:noWrap/>
            <w:vAlign w:val="bottom"/>
            <w:hideMark/>
          </w:tcPr>
          <w:p w14:paraId="4106571B"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51 685,59</w:t>
            </w:r>
          </w:p>
        </w:tc>
        <w:tc>
          <w:tcPr>
            <w:tcW w:w="1418" w:type="dxa"/>
            <w:tcBorders>
              <w:top w:val="nil"/>
              <w:left w:val="nil"/>
              <w:bottom w:val="single" w:sz="4" w:space="0" w:color="auto"/>
              <w:right w:val="single" w:sz="8" w:space="0" w:color="auto"/>
            </w:tcBorders>
            <w:shd w:val="clear" w:color="auto" w:fill="auto"/>
            <w:noWrap/>
            <w:vAlign w:val="bottom"/>
            <w:hideMark/>
          </w:tcPr>
          <w:p w14:paraId="2B488419"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51 712,37</w:t>
            </w:r>
          </w:p>
        </w:tc>
      </w:tr>
      <w:tr w:rsidR="003E0F58" w:rsidRPr="004C1517" w14:paraId="07479F35" w14:textId="77777777" w:rsidTr="004D2249">
        <w:trPr>
          <w:trHeight w:val="300"/>
        </w:trPr>
        <w:tc>
          <w:tcPr>
            <w:tcW w:w="4101" w:type="dxa"/>
            <w:tcBorders>
              <w:top w:val="nil"/>
              <w:left w:val="single" w:sz="8" w:space="0" w:color="auto"/>
              <w:bottom w:val="single" w:sz="4" w:space="0" w:color="auto"/>
              <w:right w:val="single" w:sz="8" w:space="0" w:color="auto"/>
            </w:tcBorders>
            <w:shd w:val="clear" w:color="000000" w:fill="EDEDED"/>
            <w:noWrap/>
            <w:vAlign w:val="center"/>
            <w:hideMark/>
          </w:tcPr>
          <w:p w14:paraId="633D242E" w14:textId="77777777" w:rsidR="003E0F58" w:rsidRPr="004C1517" w:rsidRDefault="003E0F58" w:rsidP="004D2249">
            <w:pPr>
              <w:jc w:val="center"/>
              <w:rPr>
                <w:rFonts w:cs="Times New Roman"/>
                <w:b/>
                <w:bCs/>
                <w:color w:val="000000"/>
                <w:sz w:val="20"/>
                <w:szCs w:val="20"/>
                <w:lang w:val="cs-CZ"/>
              </w:rPr>
            </w:pPr>
            <w:r w:rsidRPr="004C1517">
              <w:rPr>
                <w:rFonts w:cs="Times New Roman"/>
                <w:b/>
                <w:bCs/>
                <w:color w:val="000000"/>
                <w:sz w:val="20"/>
                <w:szCs w:val="20"/>
                <w:lang w:val="cs-CZ"/>
              </w:rPr>
              <w:t>Podmáčenné rašelinné louky</w:t>
            </w:r>
          </w:p>
        </w:tc>
        <w:tc>
          <w:tcPr>
            <w:tcW w:w="1262" w:type="dxa"/>
            <w:tcBorders>
              <w:top w:val="nil"/>
              <w:left w:val="nil"/>
              <w:bottom w:val="single" w:sz="4" w:space="0" w:color="auto"/>
              <w:right w:val="single" w:sz="4" w:space="0" w:color="auto"/>
            </w:tcBorders>
            <w:shd w:val="clear" w:color="000000" w:fill="EDEDED"/>
            <w:noWrap/>
            <w:vAlign w:val="bottom"/>
            <w:hideMark/>
          </w:tcPr>
          <w:p w14:paraId="3BA1D82C"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921,24</w:t>
            </w:r>
          </w:p>
        </w:tc>
        <w:tc>
          <w:tcPr>
            <w:tcW w:w="1276" w:type="dxa"/>
            <w:tcBorders>
              <w:top w:val="nil"/>
              <w:left w:val="nil"/>
              <w:bottom w:val="single" w:sz="4" w:space="0" w:color="auto"/>
              <w:right w:val="single" w:sz="4" w:space="0" w:color="auto"/>
            </w:tcBorders>
            <w:shd w:val="clear" w:color="000000" w:fill="EDEDED"/>
            <w:noWrap/>
            <w:vAlign w:val="bottom"/>
            <w:hideMark/>
          </w:tcPr>
          <w:p w14:paraId="4AEED332"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1 394,03</w:t>
            </w:r>
          </w:p>
        </w:tc>
        <w:tc>
          <w:tcPr>
            <w:tcW w:w="1276" w:type="dxa"/>
            <w:tcBorders>
              <w:top w:val="nil"/>
              <w:left w:val="nil"/>
              <w:bottom w:val="single" w:sz="4" w:space="0" w:color="auto"/>
              <w:right w:val="single" w:sz="4" w:space="0" w:color="auto"/>
            </w:tcBorders>
            <w:shd w:val="clear" w:color="000000" w:fill="EDEDED"/>
            <w:noWrap/>
            <w:vAlign w:val="bottom"/>
            <w:hideMark/>
          </w:tcPr>
          <w:p w14:paraId="4728FC61"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1 447,67</w:t>
            </w:r>
          </w:p>
        </w:tc>
        <w:tc>
          <w:tcPr>
            <w:tcW w:w="1417" w:type="dxa"/>
            <w:tcBorders>
              <w:top w:val="nil"/>
              <w:left w:val="nil"/>
              <w:bottom w:val="single" w:sz="4" w:space="0" w:color="auto"/>
              <w:right w:val="single" w:sz="4" w:space="0" w:color="auto"/>
            </w:tcBorders>
            <w:shd w:val="clear" w:color="000000" w:fill="EDEDED"/>
            <w:noWrap/>
            <w:vAlign w:val="bottom"/>
            <w:hideMark/>
          </w:tcPr>
          <w:p w14:paraId="0A66FF91"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1 438,64</w:t>
            </w:r>
          </w:p>
        </w:tc>
        <w:tc>
          <w:tcPr>
            <w:tcW w:w="1418" w:type="dxa"/>
            <w:tcBorders>
              <w:top w:val="nil"/>
              <w:left w:val="nil"/>
              <w:bottom w:val="single" w:sz="4" w:space="0" w:color="auto"/>
              <w:right w:val="single" w:sz="4" w:space="0" w:color="auto"/>
            </w:tcBorders>
            <w:shd w:val="clear" w:color="000000" w:fill="EDEDED"/>
            <w:noWrap/>
            <w:vAlign w:val="bottom"/>
            <w:hideMark/>
          </w:tcPr>
          <w:p w14:paraId="2C67077D"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1 435,17</w:t>
            </w:r>
          </w:p>
        </w:tc>
        <w:tc>
          <w:tcPr>
            <w:tcW w:w="1417" w:type="dxa"/>
            <w:tcBorders>
              <w:top w:val="nil"/>
              <w:left w:val="nil"/>
              <w:bottom w:val="single" w:sz="4" w:space="0" w:color="auto"/>
              <w:right w:val="single" w:sz="4" w:space="0" w:color="auto"/>
            </w:tcBorders>
            <w:shd w:val="clear" w:color="000000" w:fill="EDEDED"/>
            <w:noWrap/>
            <w:vAlign w:val="bottom"/>
            <w:hideMark/>
          </w:tcPr>
          <w:p w14:paraId="07970787"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1 405,71</w:t>
            </w:r>
          </w:p>
        </w:tc>
        <w:tc>
          <w:tcPr>
            <w:tcW w:w="1418" w:type="dxa"/>
            <w:tcBorders>
              <w:top w:val="nil"/>
              <w:left w:val="nil"/>
              <w:bottom w:val="single" w:sz="4" w:space="0" w:color="auto"/>
              <w:right w:val="single" w:sz="8" w:space="0" w:color="auto"/>
            </w:tcBorders>
            <w:shd w:val="clear" w:color="000000" w:fill="EDEDED"/>
            <w:noWrap/>
            <w:vAlign w:val="bottom"/>
            <w:hideMark/>
          </w:tcPr>
          <w:p w14:paraId="48087399"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1 353,42</w:t>
            </w:r>
          </w:p>
        </w:tc>
      </w:tr>
      <w:tr w:rsidR="003E0F58" w:rsidRPr="004C1517" w14:paraId="1495E9E8" w14:textId="77777777" w:rsidTr="004D2249">
        <w:trPr>
          <w:trHeight w:val="300"/>
        </w:trPr>
        <w:tc>
          <w:tcPr>
            <w:tcW w:w="4101" w:type="dxa"/>
            <w:tcBorders>
              <w:top w:val="nil"/>
              <w:left w:val="single" w:sz="8" w:space="0" w:color="auto"/>
              <w:bottom w:val="single" w:sz="4" w:space="0" w:color="auto"/>
              <w:right w:val="single" w:sz="8" w:space="0" w:color="auto"/>
            </w:tcBorders>
            <w:shd w:val="clear" w:color="auto" w:fill="auto"/>
            <w:noWrap/>
            <w:vAlign w:val="center"/>
            <w:hideMark/>
          </w:tcPr>
          <w:p w14:paraId="61B379EF" w14:textId="77777777" w:rsidR="003E0F58" w:rsidRPr="004C1517" w:rsidRDefault="003E0F58" w:rsidP="004D2249">
            <w:pPr>
              <w:jc w:val="center"/>
              <w:rPr>
                <w:rFonts w:cs="Times New Roman"/>
                <w:b/>
                <w:bCs/>
                <w:color w:val="000000"/>
                <w:sz w:val="20"/>
                <w:szCs w:val="20"/>
                <w:lang w:val="cs-CZ"/>
              </w:rPr>
            </w:pPr>
            <w:r w:rsidRPr="004C1517">
              <w:rPr>
                <w:rFonts w:cs="Times New Roman"/>
                <w:b/>
                <w:bCs/>
                <w:color w:val="000000"/>
                <w:sz w:val="20"/>
                <w:szCs w:val="20"/>
                <w:lang w:val="cs-CZ"/>
              </w:rPr>
              <w:t>Stepi a vřesoviště</w:t>
            </w:r>
          </w:p>
        </w:tc>
        <w:tc>
          <w:tcPr>
            <w:tcW w:w="1262" w:type="dxa"/>
            <w:tcBorders>
              <w:top w:val="nil"/>
              <w:left w:val="nil"/>
              <w:bottom w:val="single" w:sz="4" w:space="0" w:color="auto"/>
              <w:right w:val="single" w:sz="4" w:space="0" w:color="auto"/>
            </w:tcBorders>
            <w:shd w:val="clear" w:color="auto" w:fill="auto"/>
            <w:noWrap/>
            <w:vAlign w:val="bottom"/>
            <w:hideMark/>
          </w:tcPr>
          <w:p w14:paraId="3D59C32E"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2 117,53</w:t>
            </w:r>
          </w:p>
        </w:tc>
        <w:tc>
          <w:tcPr>
            <w:tcW w:w="1276" w:type="dxa"/>
            <w:tcBorders>
              <w:top w:val="nil"/>
              <w:left w:val="nil"/>
              <w:bottom w:val="single" w:sz="4" w:space="0" w:color="auto"/>
              <w:right w:val="single" w:sz="4" w:space="0" w:color="auto"/>
            </w:tcBorders>
            <w:shd w:val="clear" w:color="auto" w:fill="auto"/>
            <w:noWrap/>
            <w:vAlign w:val="bottom"/>
            <w:hideMark/>
          </w:tcPr>
          <w:p w14:paraId="37A19121"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2 529,38</w:t>
            </w:r>
          </w:p>
        </w:tc>
        <w:tc>
          <w:tcPr>
            <w:tcW w:w="1276" w:type="dxa"/>
            <w:tcBorders>
              <w:top w:val="nil"/>
              <w:left w:val="nil"/>
              <w:bottom w:val="single" w:sz="4" w:space="0" w:color="auto"/>
              <w:right w:val="single" w:sz="4" w:space="0" w:color="auto"/>
            </w:tcBorders>
            <w:shd w:val="clear" w:color="auto" w:fill="auto"/>
            <w:noWrap/>
            <w:vAlign w:val="bottom"/>
            <w:hideMark/>
          </w:tcPr>
          <w:p w14:paraId="4C497B86"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2 697,67</w:t>
            </w:r>
          </w:p>
        </w:tc>
        <w:tc>
          <w:tcPr>
            <w:tcW w:w="1417" w:type="dxa"/>
            <w:tcBorders>
              <w:top w:val="nil"/>
              <w:left w:val="nil"/>
              <w:bottom w:val="single" w:sz="4" w:space="0" w:color="auto"/>
              <w:right w:val="single" w:sz="4" w:space="0" w:color="auto"/>
            </w:tcBorders>
            <w:shd w:val="clear" w:color="auto" w:fill="auto"/>
            <w:noWrap/>
            <w:vAlign w:val="bottom"/>
            <w:hideMark/>
          </w:tcPr>
          <w:p w14:paraId="3A14AA08"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2 802,21</w:t>
            </w:r>
          </w:p>
        </w:tc>
        <w:tc>
          <w:tcPr>
            <w:tcW w:w="1418" w:type="dxa"/>
            <w:tcBorders>
              <w:top w:val="nil"/>
              <w:left w:val="nil"/>
              <w:bottom w:val="single" w:sz="4" w:space="0" w:color="auto"/>
              <w:right w:val="single" w:sz="4" w:space="0" w:color="auto"/>
            </w:tcBorders>
            <w:shd w:val="clear" w:color="auto" w:fill="auto"/>
            <w:noWrap/>
            <w:vAlign w:val="bottom"/>
            <w:hideMark/>
          </w:tcPr>
          <w:p w14:paraId="45CBD364"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2 845,88</w:t>
            </w:r>
          </w:p>
        </w:tc>
        <w:tc>
          <w:tcPr>
            <w:tcW w:w="1417" w:type="dxa"/>
            <w:tcBorders>
              <w:top w:val="nil"/>
              <w:left w:val="nil"/>
              <w:bottom w:val="single" w:sz="4" w:space="0" w:color="auto"/>
              <w:right w:val="single" w:sz="4" w:space="0" w:color="auto"/>
            </w:tcBorders>
            <w:shd w:val="clear" w:color="auto" w:fill="auto"/>
            <w:noWrap/>
            <w:vAlign w:val="bottom"/>
            <w:hideMark/>
          </w:tcPr>
          <w:p w14:paraId="37797F0B"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2 833,04</w:t>
            </w:r>
          </w:p>
        </w:tc>
        <w:tc>
          <w:tcPr>
            <w:tcW w:w="1418" w:type="dxa"/>
            <w:tcBorders>
              <w:top w:val="nil"/>
              <w:left w:val="nil"/>
              <w:bottom w:val="single" w:sz="4" w:space="0" w:color="auto"/>
              <w:right w:val="single" w:sz="8" w:space="0" w:color="auto"/>
            </w:tcBorders>
            <w:shd w:val="clear" w:color="auto" w:fill="auto"/>
            <w:noWrap/>
            <w:vAlign w:val="bottom"/>
            <w:hideMark/>
          </w:tcPr>
          <w:p w14:paraId="4B0B890F"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3 047,67</w:t>
            </w:r>
          </w:p>
        </w:tc>
      </w:tr>
      <w:tr w:rsidR="003E0F58" w:rsidRPr="004C1517" w14:paraId="6651036D" w14:textId="77777777" w:rsidTr="004D2249">
        <w:trPr>
          <w:trHeight w:val="315"/>
        </w:trPr>
        <w:tc>
          <w:tcPr>
            <w:tcW w:w="4101" w:type="dxa"/>
            <w:tcBorders>
              <w:top w:val="nil"/>
              <w:left w:val="single" w:sz="8" w:space="0" w:color="auto"/>
              <w:bottom w:val="nil"/>
              <w:right w:val="single" w:sz="8" w:space="0" w:color="auto"/>
            </w:tcBorders>
            <w:shd w:val="clear" w:color="000000" w:fill="EDEDED"/>
            <w:noWrap/>
            <w:vAlign w:val="center"/>
            <w:hideMark/>
          </w:tcPr>
          <w:p w14:paraId="563B1A82" w14:textId="77777777" w:rsidR="003E0F58" w:rsidRPr="004C1517" w:rsidRDefault="003E0F58" w:rsidP="004D2249">
            <w:pPr>
              <w:jc w:val="center"/>
              <w:rPr>
                <w:rFonts w:cs="Times New Roman"/>
                <w:b/>
                <w:bCs/>
                <w:color w:val="000000"/>
                <w:sz w:val="20"/>
                <w:szCs w:val="20"/>
                <w:lang w:val="cs-CZ"/>
              </w:rPr>
            </w:pPr>
            <w:r w:rsidRPr="004C1517">
              <w:rPr>
                <w:rFonts w:cs="Times New Roman"/>
                <w:b/>
                <w:bCs/>
                <w:color w:val="000000"/>
                <w:sz w:val="20"/>
                <w:szCs w:val="20"/>
                <w:lang w:val="cs-CZ"/>
              </w:rPr>
              <w:t>Základní louky</w:t>
            </w:r>
          </w:p>
        </w:tc>
        <w:tc>
          <w:tcPr>
            <w:tcW w:w="1262" w:type="dxa"/>
            <w:tcBorders>
              <w:top w:val="nil"/>
              <w:left w:val="nil"/>
              <w:bottom w:val="nil"/>
              <w:right w:val="single" w:sz="4" w:space="0" w:color="auto"/>
            </w:tcBorders>
            <w:shd w:val="clear" w:color="000000" w:fill="EDEDED"/>
            <w:noWrap/>
            <w:vAlign w:val="bottom"/>
            <w:hideMark/>
          </w:tcPr>
          <w:p w14:paraId="3474D407"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537 997,31</w:t>
            </w:r>
          </w:p>
        </w:tc>
        <w:tc>
          <w:tcPr>
            <w:tcW w:w="1276" w:type="dxa"/>
            <w:tcBorders>
              <w:top w:val="nil"/>
              <w:left w:val="nil"/>
              <w:bottom w:val="nil"/>
              <w:right w:val="single" w:sz="4" w:space="0" w:color="auto"/>
            </w:tcBorders>
            <w:shd w:val="clear" w:color="000000" w:fill="EDEDED"/>
            <w:noWrap/>
            <w:vAlign w:val="bottom"/>
            <w:hideMark/>
          </w:tcPr>
          <w:p w14:paraId="00F6F27A"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691 039,49</w:t>
            </w:r>
          </w:p>
        </w:tc>
        <w:tc>
          <w:tcPr>
            <w:tcW w:w="1276" w:type="dxa"/>
            <w:tcBorders>
              <w:top w:val="nil"/>
              <w:left w:val="nil"/>
              <w:bottom w:val="nil"/>
              <w:right w:val="single" w:sz="4" w:space="0" w:color="auto"/>
            </w:tcBorders>
            <w:shd w:val="clear" w:color="000000" w:fill="EDEDED"/>
            <w:noWrap/>
            <w:vAlign w:val="bottom"/>
            <w:hideMark/>
          </w:tcPr>
          <w:p w14:paraId="1CC0F54F"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702 512,65</w:t>
            </w:r>
          </w:p>
        </w:tc>
        <w:tc>
          <w:tcPr>
            <w:tcW w:w="1417" w:type="dxa"/>
            <w:tcBorders>
              <w:top w:val="nil"/>
              <w:left w:val="nil"/>
              <w:bottom w:val="nil"/>
              <w:right w:val="single" w:sz="4" w:space="0" w:color="auto"/>
            </w:tcBorders>
            <w:shd w:val="clear" w:color="000000" w:fill="EDEDED"/>
            <w:noWrap/>
            <w:vAlign w:val="bottom"/>
            <w:hideMark/>
          </w:tcPr>
          <w:p w14:paraId="318F9A03"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710 568,90</w:t>
            </w:r>
          </w:p>
        </w:tc>
        <w:tc>
          <w:tcPr>
            <w:tcW w:w="1418" w:type="dxa"/>
            <w:tcBorders>
              <w:top w:val="nil"/>
              <w:left w:val="nil"/>
              <w:bottom w:val="nil"/>
              <w:right w:val="single" w:sz="4" w:space="0" w:color="auto"/>
            </w:tcBorders>
            <w:shd w:val="clear" w:color="000000" w:fill="EDEDED"/>
            <w:noWrap/>
            <w:vAlign w:val="bottom"/>
            <w:hideMark/>
          </w:tcPr>
          <w:p w14:paraId="6D1440E9"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713 933,62</w:t>
            </w:r>
          </w:p>
        </w:tc>
        <w:tc>
          <w:tcPr>
            <w:tcW w:w="1417" w:type="dxa"/>
            <w:tcBorders>
              <w:top w:val="nil"/>
              <w:left w:val="nil"/>
              <w:bottom w:val="nil"/>
              <w:right w:val="single" w:sz="4" w:space="0" w:color="auto"/>
            </w:tcBorders>
            <w:shd w:val="clear" w:color="000000" w:fill="EDEDED"/>
            <w:noWrap/>
            <w:vAlign w:val="bottom"/>
            <w:hideMark/>
          </w:tcPr>
          <w:p w14:paraId="3D0B2EB5"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709 007,65</w:t>
            </w:r>
          </w:p>
        </w:tc>
        <w:tc>
          <w:tcPr>
            <w:tcW w:w="1418" w:type="dxa"/>
            <w:tcBorders>
              <w:top w:val="nil"/>
              <w:left w:val="nil"/>
              <w:bottom w:val="nil"/>
              <w:right w:val="single" w:sz="8" w:space="0" w:color="auto"/>
            </w:tcBorders>
            <w:shd w:val="clear" w:color="000000" w:fill="EDEDED"/>
            <w:noWrap/>
            <w:vAlign w:val="bottom"/>
            <w:hideMark/>
          </w:tcPr>
          <w:p w14:paraId="710BA1F4"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709 010,00</w:t>
            </w:r>
          </w:p>
        </w:tc>
      </w:tr>
      <w:tr w:rsidR="003E0F58" w:rsidRPr="004C1517" w14:paraId="5DDA680E" w14:textId="77777777" w:rsidTr="004D2249">
        <w:trPr>
          <w:trHeight w:val="315"/>
        </w:trPr>
        <w:tc>
          <w:tcPr>
            <w:tcW w:w="4101" w:type="dxa"/>
            <w:tcBorders>
              <w:top w:val="single" w:sz="8" w:space="0" w:color="auto"/>
              <w:left w:val="single" w:sz="8" w:space="0" w:color="auto"/>
              <w:bottom w:val="double" w:sz="6" w:space="0" w:color="auto"/>
              <w:right w:val="single" w:sz="8" w:space="0" w:color="auto"/>
            </w:tcBorders>
            <w:shd w:val="clear" w:color="000000" w:fill="FFFF00"/>
            <w:noWrap/>
            <w:vAlign w:val="center"/>
            <w:hideMark/>
          </w:tcPr>
          <w:p w14:paraId="4CFD5B1E" w14:textId="77777777" w:rsidR="003E0F58" w:rsidRPr="004C1517" w:rsidRDefault="003E0F58" w:rsidP="004D2249">
            <w:pPr>
              <w:jc w:val="center"/>
              <w:rPr>
                <w:rFonts w:cs="Times New Roman"/>
                <w:b/>
                <w:bCs/>
                <w:color w:val="000000"/>
                <w:sz w:val="20"/>
                <w:szCs w:val="20"/>
                <w:lang w:val="cs-CZ"/>
              </w:rPr>
            </w:pPr>
            <w:r w:rsidRPr="004C1517">
              <w:rPr>
                <w:rFonts w:cs="Times New Roman"/>
                <w:b/>
                <w:bCs/>
                <w:color w:val="000000"/>
                <w:sz w:val="20"/>
                <w:szCs w:val="20"/>
                <w:lang w:val="cs-CZ"/>
              </w:rPr>
              <w:t>AEKO OTP Celkem</w:t>
            </w:r>
          </w:p>
        </w:tc>
        <w:tc>
          <w:tcPr>
            <w:tcW w:w="1262" w:type="dxa"/>
            <w:tcBorders>
              <w:top w:val="single" w:sz="8" w:space="0" w:color="auto"/>
              <w:left w:val="nil"/>
              <w:bottom w:val="double" w:sz="6" w:space="0" w:color="auto"/>
              <w:right w:val="single" w:sz="4" w:space="0" w:color="auto"/>
            </w:tcBorders>
            <w:shd w:val="clear" w:color="000000" w:fill="FFFF00"/>
            <w:noWrap/>
            <w:vAlign w:val="bottom"/>
            <w:hideMark/>
          </w:tcPr>
          <w:p w14:paraId="2E9D64AB" w14:textId="77777777" w:rsidR="003E0F58" w:rsidRPr="004C1517" w:rsidRDefault="003E0F58" w:rsidP="004D2249">
            <w:pPr>
              <w:jc w:val="right"/>
              <w:rPr>
                <w:rFonts w:cs="Times New Roman"/>
                <w:b/>
                <w:bCs/>
                <w:color w:val="000000"/>
                <w:sz w:val="20"/>
                <w:szCs w:val="20"/>
                <w:lang w:val="cs-CZ"/>
              </w:rPr>
            </w:pPr>
            <w:r w:rsidRPr="004C1517">
              <w:rPr>
                <w:rFonts w:cs="Times New Roman"/>
                <w:b/>
                <w:bCs/>
                <w:color w:val="000000"/>
                <w:sz w:val="20"/>
                <w:szCs w:val="20"/>
                <w:lang w:val="cs-CZ"/>
              </w:rPr>
              <w:t>689 336,00</w:t>
            </w:r>
          </w:p>
        </w:tc>
        <w:tc>
          <w:tcPr>
            <w:tcW w:w="1276" w:type="dxa"/>
            <w:tcBorders>
              <w:top w:val="single" w:sz="8" w:space="0" w:color="auto"/>
              <w:left w:val="nil"/>
              <w:bottom w:val="double" w:sz="6" w:space="0" w:color="auto"/>
              <w:right w:val="single" w:sz="4" w:space="0" w:color="auto"/>
            </w:tcBorders>
            <w:shd w:val="clear" w:color="000000" w:fill="FFFF00"/>
            <w:noWrap/>
            <w:vAlign w:val="bottom"/>
            <w:hideMark/>
          </w:tcPr>
          <w:p w14:paraId="672BB4A2" w14:textId="77777777" w:rsidR="003E0F58" w:rsidRPr="004C1517" w:rsidRDefault="003E0F58" w:rsidP="004D2249">
            <w:pPr>
              <w:jc w:val="right"/>
              <w:rPr>
                <w:rFonts w:cs="Times New Roman"/>
                <w:b/>
                <w:bCs/>
                <w:color w:val="000000"/>
                <w:sz w:val="20"/>
                <w:szCs w:val="20"/>
                <w:lang w:val="cs-CZ"/>
              </w:rPr>
            </w:pPr>
            <w:r w:rsidRPr="004C1517">
              <w:rPr>
                <w:rFonts w:cs="Times New Roman"/>
                <w:b/>
                <w:bCs/>
                <w:color w:val="000000"/>
                <w:sz w:val="20"/>
                <w:szCs w:val="20"/>
                <w:lang w:val="cs-CZ"/>
              </w:rPr>
              <w:t>886 398,45</w:t>
            </w:r>
          </w:p>
        </w:tc>
        <w:tc>
          <w:tcPr>
            <w:tcW w:w="1276" w:type="dxa"/>
            <w:tcBorders>
              <w:top w:val="single" w:sz="8" w:space="0" w:color="auto"/>
              <w:left w:val="nil"/>
              <w:bottom w:val="double" w:sz="6" w:space="0" w:color="auto"/>
              <w:right w:val="single" w:sz="4" w:space="0" w:color="auto"/>
            </w:tcBorders>
            <w:shd w:val="clear" w:color="000000" w:fill="FFFF00"/>
            <w:noWrap/>
            <w:vAlign w:val="bottom"/>
            <w:hideMark/>
          </w:tcPr>
          <w:p w14:paraId="12BD93C1" w14:textId="77777777" w:rsidR="003E0F58" w:rsidRPr="004C1517" w:rsidRDefault="003E0F58" w:rsidP="004D2249">
            <w:pPr>
              <w:jc w:val="right"/>
              <w:rPr>
                <w:rFonts w:cs="Times New Roman"/>
                <w:b/>
                <w:bCs/>
                <w:color w:val="000000"/>
                <w:sz w:val="20"/>
                <w:szCs w:val="20"/>
                <w:lang w:val="cs-CZ"/>
              </w:rPr>
            </w:pPr>
            <w:r w:rsidRPr="004C1517">
              <w:rPr>
                <w:rFonts w:cs="Times New Roman"/>
                <w:b/>
                <w:bCs/>
                <w:color w:val="000000"/>
                <w:sz w:val="20"/>
                <w:szCs w:val="20"/>
                <w:lang w:val="cs-CZ"/>
              </w:rPr>
              <w:t>900 367,98</w:t>
            </w:r>
          </w:p>
        </w:tc>
        <w:tc>
          <w:tcPr>
            <w:tcW w:w="1417" w:type="dxa"/>
            <w:tcBorders>
              <w:top w:val="single" w:sz="8" w:space="0" w:color="auto"/>
              <w:left w:val="nil"/>
              <w:bottom w:val="double" w:sz="6" w:space="0" w:color="auto"/>
              <w:right w:val="single" w:sz="4" w:space="0" w:color="auto"/>
            </w:tcBorders>
            <w:shd w:val="clear" w:color="000000" w:fill="FFFF00"/>
            <w:noWrap/>
            <w:vAlign w:val="bottom"/>
            <w:hideMark/>
          </w:tcPr>
          <w:p w14:paraId="0DDA11FB" w14:textId="77777777" w:rsidR="003E0F58" w:rsidRPr="004C1517" w:rsidRDefault="003E0F58" w:rsidP="004D2249">
            <w:pPr>
              <w:jc w:val="right"/>
              <w:rPr>
                <w:rFonts w:cs="Times New Roman"/>
                <w:b/>
                <w:bCs/>
                <w:color w:val="000000"/>
                <w:sz w:val="20"/>
                <w:szCs w:val="20"/>
                <w:lang w:val="cs-CZ"/>
              </w:rPr>
            </w:pPr>
            <w:r w:rsidRPr="004C1517">
              <w:rPr>
                <w:rFonts w:cs="Times New Roman"/>
                <w:b/>
                <w:bCs/>
                <w:color w:val="000000"/>
                <w:sz w:val="20"/>
                <w:szCs w:val="20"/>
                <w:lang w:val="cs-CZ"/>
              </w:rPr>
              <w:t>910 157,23</w:t>
            </w:r>
          </w:p>
        </w:tc>
        <w:tc>
          <w:tcPr>
            <w:tcW w:w="1418" w:type="dxa"/>
            <w:tcBorders>
              <w:top w:val="single" w:sz="8" w:space="0" w:color="auto"/>
              <w:left w:val="nil"/>
              <w:bottom w:val="double" w:sz="6" w:space="0" w:color="auto"/>
              <w:right w:val="single" w:sz="4" w:space="0" w:color="auto"/>
            </w:tcBorders>
            <w:shd w:val="clear" w:color="000000" w:fill="FFFF00"/>
            <w:noWrap/>
            <w:vAlign w:val="bottom"/>
            <w:hideMark/>
          </w:tcPr>
          <w:p w14:paraId="01F08CE0" w14:textId="77777777" w:rsidR="003E0F58" w:rsidRPr="004C1517" w:rsidRDefault="003E0F58" w:rsidP="004D2249">
            <w:pPr>
              <w:jc w:val="right"/>
              <w:rPr>
                <w:rFonts w:cs="Times New Roman"/>
                <w:b/>
                <w:bCs/>
                <w:color w:val="000000"/>
                <w:sz w:val="20"/>
                <w:szCs w:val="20"/>
                <w:lang w:val="cs-CZ"/>
              </w:rPr>
            </w:pPr>
            <w:r w:rsidRPr="004C1517">
              <w:rPr>
                <w:rFonts w:cs="Times New Roman"/>
                <w:b/>
                <w:bCs/>
                <w:color w:val="000000"/>
                <w:sz w:val="20"/>
                <w:szCs w:val="20"/>
                <w:lang w:val="cs-CZ"/>
              </w:rPr>
              <w:t>913 928,74</w:t>
            </w:r>
          </w:p>
        </w:tc>
        <w:tc>
          <w:tcPr>
            <w:tcW w:w="1417" w:type="dxa"/>
            <w:tcBorders>
              <w:top w:val="single" w:sz="8" w:space="0" w:color="auto"/>
              <w:left w:val="nil"/>
              <w:bottom w:val="double" w:sz="6" w:space="0" w:color="auto"/>
              <w:right w:val="single" w:sz="4" w:space="0" w:color="auto"/>
            </w:tcBorders>
            <w:shd w:val="clear" w:color="000000" w:fill="FFFF00"/>
            <w:noWrap/>
            <w:vAlign w:val="bottom"/>
            <w:hideMark/>
          </w:tcPr>
          <w:p w14:paraId="045913D1" w14:textId="77777777" w:rsidR="003E0F58" w:rsidRPr="004C1517" w:rsidRDefault="003E0F58" w:rsidP="004D2249">
            <w:pPr>
              <w:jc w:val="right"/>
              <w:rPr>
                <w:rFonts w:cs="Times New Roman"/>
                <w:b/>
                <w:bCs/>
                <w:color w:val="000000"/>
                <w:sz w:val="20"/>
                <w:szCs w:val="20"/>
                <w:lang w:val="cs-CZ"/>
              </w:rPr>
            </w:pPr>
            <w:r w:rsidRPr="004C1517">
              <w:rPr>
                <w:rFonts w:cs="Times New Roman"/>
                <w:b/>
                <w:bCs/>
                <w:color w:val="000000"/>
                <w:sz w:val="20"/>
                <w:szCs w:val="20"/>
                <w:lang w:val="cs-CZ"/>
              </w:rPr>
              <w:t>900 646,15</w:t>
            </w:r>
          </w:p>
        </w:tc>
        <w:tc>
          <w:tcPr>
            <w:tcW w:w="1418" w:type="dxa"/>
            <w:tcBorders>
              <w:top w:val="single" w:sz="8" w:space="0" w:color="auto"/>
              <w:left w:val="nil"/>
              <w:bottom w:val="double" w:sz="6" w:space="0" w:color="auto"/>
              <w:right w:val="single" w:sz="8" w:space="0" w:color="auto"/>
            </w:tcBorders>
            <w:shd w:val="clear" w:color="000000" w:fill="FFFF00"/>
            <w:noWrap/>
            <w:vAlign w:val="bottom"/>
            <w:hideMark/>
          </w:tcPr>
          <w:p w14:paraId="6859F35F" w14:textId="77777777" w:rsidR="003E0F58" w:rsidRPr="004C1517" w:rsidRDefault="003E0F58" w:rsidP="004D2249">
            <w:pPr>
              <w:jc w:val="right"/>
              <w:rPr>
                <w:rFonts w:cs="Times New Roman"/>
                <w:b/>
                <w:bCs/>
                <w:color w:val="000000"/>
                <w:sz w:val="20"/>
                <w:szCs w:val="20"/>
                <w:lang w:val="cs-CZ"/>
              </w:rPr>
            </w:pPr>
            <w:r w:rsidRPr="004C1517">
              <w:rPr>
                <w:rFonts w:cs="Times New Roman"/>
                <w:b/>
                <w:bCs/>
                <w:color w:val="000000"/>
                <w:sz w:val="20"/>
                <w:szCs w:val="20"/>
                <w:lang w:val="cs-CZ"/>
              </w:rPr>
              <w:t>899 983,56</w:t>
            </w:r>
          </w:p>
        </w:tc>
      </w:tr>
      <w:tr w:rsidR="003E0F58" w:rsidRPr="004C1517" w14:paraId="63B521BD" w14:textId="77777777" w:rsidTr="004D2249">
        <w:trPr>
          <w:trHeight w:val="315"/>
        </w:trPr>
        <w:tc>
          <w:tcPr>
            <w:tcW w:w="4101" w:type="dxa"/>
            <w:tcBorders>
              <w:top w:val="nil"/>
              <w:left w:val="single" w:sz="8" w:space="0" w:color="auto"/>
              <w:bottom w:val="single" w:sz="4" w:space="0" w:color="auto"/>
              <w:right w:val="single" w:sz="8" w:space="0" w:color="auto"/>
            </w:tcBorders>
            <w:shd w:val="clear" w:color="000000" w:fill="FFF2CC"/>
            <w:noWrap/>
            <w:vAlign w:val="center"/>
            <w:hideMark/>
          </w:tcPr>
          <w:p w14:paraId="1ED6C8DD" w14:textId="77777777" w:rsidR="003E0F58" w:rsidRPr="004C1517" w:rsidRDefault="003E0F58" w:rsidP="004D2249">
            <w:pPr>
              <w:jc w:val="center"/>
              <w:rPr>
                <w:rFonts w:cs="Times New Roman"/>
                <w:b/>
                <w:bCs/>
                <w:color w:val="000000"/>
                <w:sz w:val="20"/>
                <w:szCs w:val="20"/>
                <w:lang w:val="cs-CZ"/>
              </w:rPr>
            </w:pPr>
            <w:r w:rsidRPr="004C1517">
              <w:rPr>
                <w:rFonts w:cs="Times New Roman"/>
                <w:b/>
                <w:bCs/>
                <w:color w:val="000000"/>
                <w:sz w:val="20"/>
                <w:szCs w:val="20"/>
                <w:lang w:val="cs-CZ"/>
              </w:rPr>
              <w:t>Kultura T Celkem</w:t>
            </w:r>
          </w:p>
        </w:tc>
        <w:tc>
          <w:tcPr>
            <w:tcW w:w="1262" w:type="dxa"/>
            <w:tcBorders>
              <w:top w:val="nil"/>
              <w:left w:val="nil"/>
              <w:bottom w:val="single" w:sz="4" w:space="0" w:color="auto"/>
              <w:right w:val="single" w:sz="4" w:space="0" w:color="auto"/>
            </w:tcBorders>
            <w:shd w:val="clear" w:color="000000" w:fill="FFF2CC"/>
            <w:noWrap/>
            <w:vAlign w:val="bottom"/>
            <w:hideMark/>
          </w:tcPr>
          <w:p w14:paraId="30E48FB7"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978 717,51</w:t>
            </w:r>
          </w:p>
        </w:tc>
        <w:tc>
          <w:tcPr>
            <w:tcW w:w="1276" w:type="dxa"/>
            <w:tcBorders>
              <w:top w:val="nil"/>
              <w:left w:val="nil"/>
              <w:bottom w:val="single" w:sz="4" w:space="0" w:color="auto"/>
              <w:right w:val="single" w:sz="4" w:space="0" w:color="auto"/>
            </w:tcBorders>
            <w:shd w:val="clear" w:color="000000" w:fill="FFF2CC"/>
            <w:noWrap/>
            <w:vAlign w:val="bottom"/>
            <w:hideMark/>
          </w:tcPr>
          <w:p w14:paraId="4B6A399E"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989 967,35</w:t>
            </w:r>
          </w:p>
        </w:tc>
        <w:tc>
          <w:tcPr>
            <w:tcW w:w="1276" w:type="dxa"/>
            <w:tcBorders>
              <w:top w:val="nil"/>
              <w:left w:val="nil"/>
              <w:bottom w:val="single" w:sz="4" w:space="0" w:color="auto"/>
              <w:right w:val="single" w:sz="4" w:space="0" w:color="auto"/>
            </w:tcBorders>
            <w:shd w:val="clear" w:color="000000" w:fill="FFF2CC"/>
            <w:noWrap/>
            <w:vAlign w:val="bottom"/>
            <w:hideMark/>
          </w:tcPr>
          <w:p w14:paraId="45314FF2"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997 511,81</w:t>
            </w:r>
          </w:p>
        </w:tc>
        <w:tc>
          <w:tcPr>
            <w:tcW w:w="1417" w:type="dxa"/>
            <w:tcBorders>
              <w:top w:val="nil"/>
              <w:left w:val="nil"/>
              <w:bottom w:val="single" w:sz="4" w:space="0" w:color="auto"/>
              <w:right w:val="single" w:sz="4" w:space="0" w:color="auto"/>
            </w:tcBorders>
            <w:shd w:val="clear" w:color="000000" w:fill="FFF2CC"/>
            <w:noWrap/>
            <w:vAlign w:val="bottom"/>
            <w:hideMark/>
          </w:tcPr>
          <w:p w14:paraId="0FD4BFD3"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1 001 203,04</w:t>
            </w:r>
          </w:p>
        </w:tc>
        <w:tc>
          <w:tcPr>
            <w:tcW w:w="1418" w:type="dxa"/>
            <w:tcBorders>
              <w:top w:val="nil"/>
              <w:left w:val="nil"/>
              <w:bottom w:val="single" w:sz="4" w:space="0" w:color="auto"/>
              <w:right w:val="single" w:sz="4" w:space="0" w:color="auto"/>
            </w:tcBorders>
            <w:shd w:val="clear" w:color="000000" w:fill="FFF2CC"/>
            <w:noWrap/>
            <w:vAlign w:val="bottom"/>
            <w:hideMark/>
          </w:tcPr>
          <w:p w14:paraId="6FCFAB03"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1 004 524,52</w:t>
            </w:r>
          </w:p>
        </w:tc>
        <w:tc>
          <w:tcPr>
            <w:tcW w:w="1417" w:type="dxa"/>
            <w:tcBorders>
              <w:top w:val="nil"/>
              <w:left w:val="nil"/>
              <w:bottom w:val="single" w:sz="4" w:space="0" w:color="auto"/>
              <w:right w:val="single" w:sz="4" w:space="0" w:color="auto"/>
            </w:tcBorders>
            <w:shd w:val="clear" w:color="000000" w:fill="FFF2CC"/>
            <w:noWrap/>
            <w:vAlign w:val="bottom"/>
            <w:hideMark/>
          </w:tcPr>
          <w:p w14:paraId="0CE0761F"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1 005 783,47</w:t>
            </w:r>
          </w:p>
        </w:tc>
        <w:tc>
          <w:tcPr>
            <w:tcW w:w="1418" w:type="dxa"/>
            <w:tcBorders>
              <w:top w:val="nil"/>
              <w:left w:val="nil"/>
              <w:bottom w:val="single" w:sz="4" w:space="0" w:color="auto"/>
              <w:right w:val="single" w:sz="8" w:space="0" w:color="auto"/>
            </w:tcBorders>
            <w:shd w:val="clear" w:color="000000" w:fill="FFF2CC"/>
            <w:noWrap/>
            <w:vAlign w:val="bottom"/>
            <w:hideMark/>
          </w:tcPr>
          <w:p w14:paraId="1A20499F"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1 008 514,26</w:t>
            </w:r>
          </w:p>
        </w:tc>
      </w:tr>
      <w:tr w:rsidR="003E0F58" w:rsidRPr="004C1517" w14:paraId="5995A2D9" w14:textId="77777777" w:rsidTr="004D2249">
        <w:trPr>
          <w:trHeight w:val="315"/>
        </w:trPr>
        <w:tc>
          <w:tcPr>
            <w:tcW w:w="4101" w:type="dxa"/>
            <w:tcBorders>
              <w:top w:val="nil"/>
              <w:left w:val="single" w:sz="8" w:space="0" w:color="auto"/>
              <w:bottom w:val="single" w:sz="8" w:space="0" w:color="auto"/>
              <w:right w:val="single" w:sz="8" w:space="0" w:color="auto"/>
            </w:tcBorders>
            <w:shd w:val="clear" w:color="000000" w:fill="FFE699"/>
            <w:noWrap/>
            <w:vAlign w:val="center"/>
            <w:hideMark/>
          </w:tcPr>
          <w:p w14:paraId="36DC4CB7" w14:textId="77777777" w:rsidR="003E0F58" w:rsidRPr="004C1517" w:rsidRDefault="003E0F58" w:rsidP="004D2249">
            <w:pPr>
              <w:jc w:val="center"/>
              <w:rPr>
                <w:rFonts w:cs="Times New Roman"/>
                <w:b/>
                <w:bCs/>
                <w:color w:val="000000"/>
                <w:sz w:val="20"/>
                <w:szCs w:val="20"/>
                <w:lang w:val="cs-CZ"/>
              </w:rPr>
            </w:pPr>
            <w:r w:rsidRPr="004C1517">
              <w:rPr>
                <w:rFonts w:cs="Times New Roman"/>
                <w:b/>
                <w:bCs/>
                <w:color w:val="000000"/>
                <w:sz w:val="20"/>
                <w:szCs w:val="20"/>
                <w:lang w:val="cs-CZ"/>
              </w:rPr>
              <w:t>Kultura T mimo opatření N/AEKO OTP</w:t>
            </w:r>
          </w:p>
        </w:tc>
        <w:tc>
          <w:tcPr>
            <w:tcW w:w="1262" w:type="dxa"/>
            <w:tcBorders>
              <w:top w:val="nil"/>
              <w:left w:val="nil"/>
              <w:bottom w:val="single" w:sz="8" w:space="0" w:color="auto"/>
              <w:right w:val="single" w:sz="4" w:space="0" w:color="auto"/>
            </w:tcBorders>
            <w:shd w:val="clear" w:color="000000" w:fill="FFE699"/>
            <w:noWrap/>
            <w:vAlign w:val="bottom"/>
            <w:hideMark/>
          </w:tcPr>
          <w:p w14:paraId="3C77E864"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289 381,51</w:t>
            </w:r>
          </w:p>
        </w:tc>
        <w:tc>
          <w:tcPr>
            <w:tcW w:w="1276" w:type="dxa"/>
            <w:tcBorders>
              <w:top w:val="nil"/>
              <w:left w:val="nil"/>
              <w:bottom w:val="single" w:sz="8" w:space="0" w:color="auto"/>
              <w:right w:val="single" w:sz="4" w:space="0" w:color="auto"/>
            </w:tcBorders>
            <w:shd w:val="clear" w:color="000000" w:fill="FFE699"/>
            <w:noWrap/>
            <w:vAlign w:val="bottom"/>
            <w:hideMark/>
          </w:tcPr>
          <w:p w14:paraId="5F1B0AFC"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103 568,90</w:t>
            </w:r>
          </w:p>
        </w:tc>
        <w:tc>
          <w:tcPr>
            <w:tcW w:w="1276" w:type="dxa"/>
            <w:tcBorders>
              <w:top w:val="nil"/>
              <w:left w:val="nil"/>
              <w:bottom w:val="single" w:sz="8" w:space="0" w:color="auto"/>
              <w:right w:val="single" w:sz="4" w:space="0" w:color="auto"/>
            </w:tcBorders>
            <w:shd w:val="clear" w:color="000000" w:fill="FFE699"/>
            <w:noWrap/>
            <w:vAlign w:val="bottom"/>
            <w:hideMark/>
          </w:tcPr>
          <w:p w14:paraId="2B814A67"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97 143,83</w:t>
            </w:r>
          </w:p>
        </w:tc>
        <w:tc>
          <w:tcPr>
            <w:tcW w:w="1417" w:type="dxa"/>
            <w:tcBorders>
              <w:top w:val="nil"/>
              <w:left w:val="nil"/>
              <w:bottom w:val="single" w:sz="8" w:space="0" w:color="auto"/>
              <w:right w:val="single" w:sz="4" w:space="0" w:color="auto"/>
            </w:tcBorders>
            <w:shd w:val="clear" w:color="000000" w:fill="FFE699"/>
            <w:noWrap/>
            <w:vAlign w:val="bottom"/>
            <w:hideMark/>
          </w:tcPr>
          <w:p w14:paraId="1A1017A1"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91 045,81</w:t>
            </w:r>
          </w:p>
        </w:tc>
        <w:tc>
          <w:tcPr>
            <w:tcW w:w="1418" w:type="dxa"/>
            <w:tcBorders>
              <w:top w:val="nil"/>
              <w:left w:val="nil"/>
              <w:bottom w:val="single" w:sz="8" w:space="0" w:color="auto"/>
              <w:right w:val="single" w:sz="4" w:space="0" w:color="auto"/>
            </w:tcBorders>
            <w:shd w:val="clear" w:color="000000" w:fill="FFE699"/>
            <w:noWrap/>
            <w:vAlign w:val="bottom"/>
            <w:hideMark/>
          </w:tcPr>
          <w:p w14:paraId="76673687"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90 595,78</w:t>
            </w:r>
          </w:p>
        </w:tc>
        <w:tc>
          <w:tcPr>
            <w:tcW w:w="1417" w:type="dxa"/>
            <w:tcBorders>
              <w:top w:val="nil"/>
              <w:left w:val="nil"/>
              <w:bottom w:val="single" w:sz="8" w:space="0" w:color="auto"/>
              <w:right w:val="single" w:sz="4" w:space="0" w:color="auto"/>
            </w:tcBorders>
            <w:shd w:val="clear" w:color="000000" w:fill="FFE699"/>
            <w:noWrap/>
            <w:vAlign w:val="bottom"/>
            <w:hideMark/>
          </w:tcPr>
          <w:p w14:paraId="70A3DE56"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105 137,32</w:t>
            </w:r>
          </w:p>
        </w:tc>
        <w:tc>
          <w:tcPr>
            <w:tcW w:w="1418" w:type="dxa"/>
            <w:tcBorders>
              <w:top w:val="nil"/>
              <w:left w:val="nil"/>
              <w:bottom w:val="single" w:sz="8" w:space="0" w:color="auto"/>
              <w:right w:val="single" w:sz="8" w:space="0" w:color="auto"/>
            </w:tcBorders>
            <w:shd w:val="clear" w:color="000000" w:fill="FFE699"/>
            <w:noWrap/>
            <w:vAlign w:val="bottom"/>
            <w:hideMark/>
          </w:tcPr>
          <w:p w14:paraId="59958ED7" w14:textId="77777777" w:rsidR="003E0F58" w:rsidRPr="004C1517" w:rsidRDefault="003E0F58" w:rsidP="004D2249">
            <w:pPr>
              <w:jc w:val="right"/>
              <w:rPr>
                <w:rFonts w:cs="Times New Roman"/>
                <w:color w:val="000000"/>
                <w:sz w:val="20"/>
                <w:szCs w:val="20"/>
                <w:lang w:val="cs-CZ"/>
              </w:rPr>
            </w:pPr>
            <w:r w:rsidRPr="004C1517">
              <w:rPr>
                <w:rFonts w:cs="Times New Roman"/>
                <w:color w:val="000000"/>
                <w:sz w:val="20"/>
                <w:szCs w:val="20"/>
                <w:lang w:val="cs-CZ"/>
              </w:rPr>
              <w:t>108 530,70</w:t>
            </w:r>
          </w:p>
        </w:tc>
      </w:tr>
    </w:tbl>
    <w:p w14:paraId="1575280B" w14:textId="1C8EB746" w:rsidR="000C297A" w:rsidRPr="000C297A" w:rsidRDefault="003E0F58" w:rsidP="00D11E3E">
      <w:pPr>
        <w:pStyle w:val="UZEIZdroj"/>
        <w:sectPr w:rsidR="000C297A" w:rsidRPr="000C297A" w:rsidSect="004C1517">
          <w:pgSz w:w="16838" w:h="11906" w:orient="landscape"/>
          <w:pgMar w:top="1417" w:right="1417" w:bottom="1417" w:left="1417" w:header="708" w:footer="708" w:gutter="0"/>
          <w:cols w:space="708"/>
          <w:titlePg/>
          <w:docGrid w:linePitch="360"/>
        </w:sectPr>
      </w:pPr>
      <w:r w:rsidRPr="007C705C">
        <w:t>Zdroj: LPIS odd. registrů MZe (Ing. Dobíhal, 2021)</w:t>
      </w:r>
    </w:p>
    <w:p w14:paraId="662CF351" w14:textId="77777777" w:rsidR="003E0F58" w:rsidRPr="007C705C" w:rsidRDefault="003E0F58" w:rsidP="00D11E3E">
      <w:pPr>
        <w:rPr>
          <w:rFonts w:eastAsiaTheme="minorEastAsia" w:cs="Times New Roman"/>
          <w:lang w:val="cs-CZ"/>
        </w:rPr>
      </w:pPr>
    </w:p>
    <w:p w14:paraId="5E9B942D" w14:textId="26297497" w:rsidR="003E0F58" w:rsidRPr="000C297A" w:rsidRDefault="003E0F58" w:rsidP="000C297A">
      <w:pPr>
        <w:pStyle w:val="UZEINormaln"/>
        <w:rPr>
          <w:rFonts w:eastAsiaTheme="minorEastAsia"/>
        </w:rPr>
      </w:pPr>
      <w:r w:rsidRPr="007C705C">
        <w:rPr>
          <w:rFonts w:eastAsiaTheme="minorEastAsia"/>
        </w:rPr>
        <w:t>V současném PRV 14+ cílí na jmenované problémy základní podmínky pro hospodaření DZES 1, 10 a PO 5E Podpora ukládání a pohlcování uhlíku v zemědělství a lesnictví opatřením M08 INVESTICE DO ROZVOJE LESNÍCH OBLASTÍ A ZLEPŠOVÁNÍ ŽIVOTASCHOPNOSTI LESŮ</w:t>
      </w:r>
      <w:r w:rsidR="00F075AF">
        <w:rPr>
          <w:rFonts w:eastAsiaTheme="minorEastAsia"/>
        </w:rPr>
        <w:t>,</w:t>
      </w:r>
      <w:r w:rsidRPr="007C705C">
        <w:rPr>
          <w:rFonts w:eastAsiaTheme="minorEastAsia"/>
        </w:rPr>
        <w:t xml:space="preserve"> a to operací 8.1.1 a opatřeními s vedlejšími účinky na oblast M10 AGROENVIRONMENTÁLNĚ-KLIMATICKÉ OPATŘENÍ (AEKO) (operace 10.1.5, 10.1.8) a M02 – Poradenské, řídicí a pomocné služby pro zemědělství (operace 2.1.1) (Průběžná hodnotící zpráva Naviga4, 31.</w:t>
      </w:r>
      <w:r w:rsidR="00F075AF">
        <w:rPr>
          <w:rFonts w:eastAsiaTheme="minorEastAsia"/>
        </w:rPr>
        <w:t xml:space="preserve"> </w:t>
      </w:r>
      <w:r w:rsidRPr="007C705C">
        <w:rPr>
          <w:rFonts w:eastAsiaTheme="minorEastAsia"/>
        </w:rPr>
        <w:t>12.</w:t>
      </w:r>
      <w:r w:rsidR="00F075AF">
        <w:rPr>
          <w:rFonts w:eastAsiaTheme="minorEastAsia"/>
        </w:rPr>
        <w:t xml:space="preserve"> </w:t>
      </w:r>
      <w:r w:rsidRPr="007C705C">
        <w:rPr>
          <w:rFonts w:eastAsiaTheme="minorEastAsia"/>
        </w:rPr>
        <w:t>2017).</w:t>
      </w:r>
    </w:p>
    <w:p w14:paraId="11906269" w14:textId="77777777" w:rsidR="003E0F58" w:rsidRPr="007C705C" w:rsidRDefault="003E0F58" w:rsidP="000C297A">
      <w:pPr>
        <w:pStyle w:val="UZEINormaln"/>
        <w:rPr>
          <w:rFonts w:eastAsiaTheme="minorEastAsia"/>
          <w:b/>
          <w:bCs/>
        </w:rPr>
      </w:pPr>
      <w:r w:rsidRPr="007C705C">
        <w:rPr>
          <w:rFonts w:eastAsiaTheme="minorEastAsia"/>
        </w:rPr>
        <w:t>Přehled kódů a názvů operací uvedených v textu výše:</w:t>
      </w:r>
    </w:p>
    <w:p w14:paraId="6B1C045F" w14:textId="450A9404" w:rsidR="003E0F58" w:rsidRPr="007C705C" w:rsidRDefault="003E0F58" w:rsidP="000C297A">
      <w:pPr>
        <w:pStyle w:val="UZEINormaln"/>
        <w:ind w:left="720"/>
        <w:rPr>
          <w:rFonts w:eastAsiaTheme="minorEastAsia"/>
        </w:rPr>
      </w:pPr>
      <w:r w:rsidRPr="007C705C">
        <w:rPr>
          <w:rFonts w:eastAsiaTheme="minorEastAsia"/>
        </w:rPr>
        <w:t xml:space="preserve">8.1.1 </w:t>
      </w:r>
      <w:r w:rsidR="00601C1D" w:rsidRPr="00601C1D">
        <w:rPr>
          <w:rFonts w:eastAsiaTheme="minorEastAsia"/>
        </w:rPr>
        <w:t>ZALESŇOVÁNÍ A ZAKLÁDÁNÍ LESŮ</w:t>
      </w:r>
    </w:p>
    <w:p w14:paraId="2CE0B37D" w14:textId="5A9642D2" w:rsidR="003E0F58" w:rsidRPr="007C705C" w:rsidRDefault="003E0F58" w:rsidP="000C297A">
      <w:pPr>
        <w:pStyle w:val="UZEINormaln"/>
        <w:ind w:firstLine="720"/>
        <w:rPr>
          <w:rFonts w:eastAsiaTheme="minorEastAsia"/>
        </w:rPr>
      </w:pPr>
      <w:r w:rsidRPr="007C705C">
        <w:rPr>
          <w:rFonts w:eastAsiaTheme="minorEastAsia"/>
        </w:rPr>
        <w:t xml:space="preserve">10.1.5 </w:t>
      </w:r>
      <w:r w:rsidR="00601C1D" w:rsidRPr="007C705C">
        <w:rPr>
          <w:rFonts w:eastAsiaTheme="minorEastAsia"/>
        </w:rPr>
        <w:t>ZATRAVŇOVÁNÍ ORNÉ PŮDY</w:t>
      </w:r>
    </w:p>
    <w:p w14:paraId="4352895E" w14:textId="50D45608" w:rsidR="003E0F58" w:rsidRPr="007C705C" w:rsidRDefault="003E0F58" w:rsidP="000C297A">
      <w:pPr>
        <w:pStyle w:val="UZEINormaln"/>
        <w:ind w:firstLine="720"/>
      </w:pPr>
      <w:r w:rsidRPr="007C705C">
        <w:t xml:space="preserve">10.1.8 </w:t>
      </w:r>
      <w:r w:rsidR="00601C1D" w:rsidRPr="007C705C">
        <w:t>ZATRAVŇOVÁNÍ DRAH SOUSTŘEDĚNÉHO ODTOKU</w:t>
      </w:r>
    </w:p>
    <w:p w14:paraId="506CB583" w14:textId="77777777" w:rsidR="003E0F58" w:rsidRPr="007C705C" w:rsidRDefault="003E0F58" w:rsidP="000C297A">
      <w:pPr>
        <w:pStyle w:val="UZEINormaln"/>
        <w:rPr>
          <w:rFonts w:eastAsiaTheme="minorEastAsia"/>
        </w:rPr>
      </w:pPr>
      <w:r w:rsidRPr="007C705C">
        <w:rPr>
          <w:rFonts w:eastAsiaTheme="minorEastAsia"/>
        </w:rPr>
        <w:t>V následujících tabulkách je znázorněna struktura čerpání prostředků z uvedených opatření.</w:t>
      </w:r>
    </w:p>
    <w:p w14:paraId="757C3EAC" w14:textId="77777777" w:rsidR="003E0F58" w:rsidRPr="000C297A" w:rsidRDefault="003E0F58" w:rsidP="000C297A">
      <w:pPr>
        <w:rPr>
          <w:rFonts w:eastAsiaTheme="minorEastAsia"/>
        </w:rPr>
      </w:pPr>
    </w:p>
    <w:p w14:paraId="3A7D55C1" w14:textId="18DA47E4" w:rsidR="003E0F58" w:rsidRPr="007C705C" w:rsidRDefault="000C297A" w:rsidP="000C297A">
      <w:pPr>
        <w:pStyle w:val="UZEITaB"/>
      </w:pPr>
      <w:bookmarkStart w:id="436" w:name="_Toc77245857"/>
      <w:r>
        <w:t xml:space="preserve"> </w:t>
      </w:r>
      <w:bookmarkStart w:id="437" w:name="_Toc94181624"/>
      <w:r w:rsidR="003E0F58" w:rsidRPr="007C705C">
        <w:t>Přehled o čerpání podpor přispívajících k odolnosti zemědělských podniků vůči klimatickým změnám v rámci opatření 8 PRV (2014-2020)</w:t>
      </w:r>
      <w:bookmarkEnd w:id="436"/>
      <w:bookmarkEnd w:id="437"/>
    </w:p>
    <w:tbl>
      <w:tblPr>
        <w:tblW w:w="10279" w:type="dxa"/>
        <w:tblInd w:w="-567" w:type="dxa"/>
        <w:tblCellMar>
          <w:left w:w="0" w:type="dxa"/>
          <w:right w:w="0" w:type="dxa"/>
        </w:tblCellMar>
        <w:tblLook w:val="04A0" w:firstRow="1" w:lastRow="0" w:firstColumn="1" w:lastColumn="0" w:noHBand="0" w:noVBand="1"/>
      </w:tblPr>
      <w:tblGrid>
        <w:gridCol w:w="2413"/>
        <w:gridCol w:w="590"/>
        <w:gridCol w:w="878"/>
        <w:gridCol w:w="1290"/>
        <w:gridCol w:w="690"/>
        <w:gridCol w:w="540"/>
        <w:gridCol w:w="1225"/>
        <w:gridCol w:w="790"/>
        <w:gridCol w:w="540"/>
        <w:gridCol w:w="1323"/>
      </w:tblGrid>
      <w:tr w:rsidR="003E0F58" w:rsidRPr="000C297A" w14:paraId="0A6BBFD6" w14:textId="77777777" w:rsidTr="004D2249">
        <w:trPr>
          <w:trHeight w:val="319"/>
        </w:trPr>
        <w:tc>
          <w:tcPr>
            <w:tcW w:w="0" w:type="auto"/>
            <w:gridSpan w:val="10"/>
            <w:noWrap/>
            <w:tcMar>
              <w:top w:w="0" w:type="dxa"/>
              <w:left w:w="70" w:type="dxa"/>
              <w:bottom w:w="0" w:type="dxa"/>
              <w:right w:w="70" w:type="dxa"/>
            </w:tcMar>
            <w:vAlign w:val="bottom"/>
            <w:hideMark/>
          </w:tcPr>
          <w:p w14:paraId="754F9DF5" w14:textId="77777777" w:rsidR="003E0F58" w:rsidRPr="000C297A" w:rsidRDefault="003E0F58" w:rsidP="004D2249">
            <w:pPr>
              <w:ind w:left="-75"/>
              <w:jc w:val="left"/>
              <w:rPr>
                <w:rFonts w:cs="Times New Roman"/>
                <w:sz w:val="20"/>
                <w:szCs w:val="20"/>
                <w:lang w:val="cs-CZ"/>
              </w:rPr>
            </w:pPr>
            <w:r w:rsidRPr="000C297A">
              <w:rPr>
                <w:rFonts w:eastAsia="Calibri" w:cs="Times New Roman"/>
                <w:b/>
                <w:bCs/>
                <w:color w:val="000000" w:themeColor="text1"/>
                <w:sz w:val="20"/>
                <w:szCs w:val="20"/>
                <w:lang w:val="cs-CZ"/>
              </w:rPr>
              <w:t>8.1.1. Zalesňování a zakládání lesů</w:t>
            </w:r>
          </w:p>
        </w:tc>
      </w:tr>
      <w:tr w:rsidR="003E0F58" w:rsidRPr="000C297A" w14:paraId="608C3246" w14:textId="77777777" w:rsidTr="004D2249">
        <w:trPr>
          <w:trHeight w:val="699"/>
        </w:trPr>
        <w:tc>
          <w:tcPr>
            <w:tcW w:w="0" w:type="auto"/>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70" w:type="dxa"/>
              <w:bottom w:w="0" w:type="dxa"/>
              <w:right w:w="70" w:type="dxa"/>
            </w:tcMar>
            <w:vAlign w:val="center"/>
            <w:hideMark/>
          </w:tcPr>
          <w:p w14:paraId="62AB23B8" w14:textId="77777777" w:rsidR="003E0F58" w:rsidRPr="000C297A" w:rsidRDefault="003E0F58" w:rsidP="004D2249">
            <w:pPr>
              <w:jc w:val="center"/>
              <w:rPr>
                <w:rFonts w:eastAsia="Calibri" w:cs="Times New Roman"/>
                <w:sz w:val="20"/>
                <w:szCs w:val="20"/>
                <w:lang w:val="cs-CZ"/>
              </w:rPr>
            </w:pPr>
          </w:p>
        </w:tc>
        <w:tc>
          <w:tcPr>
            <w:tcW w:w="0" w:type="auto"/>
            <w:gridSpan w:val="3"/>
            <w:tcBorders>
              <w:top w:val="single" w:sz="8" w:space="0" w:color="auto"/>
              <w:left w:val="nil"/>
              <w:bottom w:val="single" w:sz="8" w:space="0" w:color="auto"/>
              <w:right w:val="single" w:sz="8" w:space="0" w:color="000000" w:themeColor="text1"/>
            </w:tcBorders>
            <w:shd w:val="clear" w:color="auto" w:fill="D9D9D9" w:themeFill="background1" w:themeFillShade="D9"/>
            <w:tcMar>
              <w:top w:w="0" w:type="dxa"/>
              <w:left w:w="70" w:type="dxa"/>
              <w:bottom w:w="0" w:type="dxa"/>
              <w:right w:w="70" w:type="dxa"/>
            </w:tcMar>
            <w:vAlign w:val="center"/>
            <w:hideMark/>
          </w:tcPr>
          <w:p w14:paraId="5A8645C6" w14:textId="77777777" w:rsidR="003E0F58" w:rsidRPr="000C297A" w:rsidRDefault="003E0F58" w:rsidP="004D2249">
            <w:pPr>
              <w:jc w:val="center"/>
              <w:rPr>
                <w:rFonts w:eastAsia="Calibri" w:cs="Times New Roman"/>
                <w:sz w:val="20"/>
                <w:szCs w:val="20"/>
                <w:lang w:val="cs-CZ"/>
              </w:rPr>
            </w:pPr>
            <w:r w:rsidRPr="000C297A">
              <w:rPr>
                <w:rFonts w:eastAsia="Calibri" w:cs="Times New Roman"/>
                <w:b/>
                <w:bCs/>
                <w:color w:val="000000" w:themeColor="text1"/>
                <w:sz w:val="20"/>
                <w:szCs w:val="20"/>
                <w:lang w:val="cs-CZ"/>
              </w:rPr>
              <w:t>2015</w:t>
            </w:r>
          </w:p>
        </w:tc>
        <w:tc>
          <w:tcPr>
            <w:tcW w:w="0" w:type="auto"/>
            <w:gridSpan w:val="3"/>
            <w:tcBorders>
              <w:top w:val="single" w:sz="8" w:space="0" w:color="auto"/>
              <w:left w:val="nil"/>
              <w:bottom w:val="single" w:sz="8" w:space="0" w:color="auto"/>
              <w:right w:val="single" w:sz="8" w:space="0" w:color="000000" w:themeColor="text1"/>
            </w:tcBorders>
            <w:shd w:val="clear" w:color="auto" w:fill="D9D9D9" w:themeFill="background1" w:themeFillShade="D9"/>
            <w:tcMar>
              <w:top w:w="0" w:type="dxa"/>
              <w:left w:w="70" w:type="dxa"/>
              <w:bottom w:w="0" w:type="dxa"/>
              <w:right w:w="70" w:type="dxa"/>
            </w:tcMar>
            <w:vAlign w:val="center"/>
            <w:hideMark/>
          </w:tcPr>
          <w:p w14:paraId="6C2FA767" w14:textId="77777777" w:rsidR="003E0F58" w:rsidRPr="000C297A" w:rsidRDefault="003E0F58" w:rsidP="004D2249">
            <w:pPr>
              <w:jc w:val="center"/>
              <w:rPr>
                <w:rFonts w:eastAsia="Calibri" w:cs="Times New Roman"/>
                <w:sz w:val="20"/>
                <w:szCs w:val="20"/>
                <w:lang w:val="cs-CZ"/>
              </w:rPr>
            </w:pPr>
            <w:r w:rsidRPr="000C297A">
              <w:rPr>
                <w:rFonts w:eastAsia="Calibri" w:cs="Times New Roman"/>
                <w:b/>
                <w:bCs/>
                <w:color w:val="000000" w:themeColor="text1"/>
                <w:sz w:val="20"/>
                <w:szCs w:val="20"/>
                <w:lang w:val="cs-CZ"/>
              </w:rPr>
              <w:t>2016</w:t>
            </w:r>
          </w:p>
        </w:tc>
        <w:tc>
          <w:tcPr>
            <w:tcW w:w="2561" w:type="dxa"/>
            <w:gridSpan w:val="3"/>
            <w:tcBorders>
              <w:top w:val="single" w:sz="8" w:space="0" w:color="auto"/>
              <w:left w:val="nil"/>
              <w:bottom w:val="single" w:sz="8" w:space="0" w:color="auto"/>
              <w:right w:val="single" w:sz="8" w:space="0" w:color="000000" w:themeColor="text1"/>
            </w:tcBorders>
            <w:shd w:val="clear" w:color="auto" w:fill="D9D9D9" w:themeFill="background1" w:themeFillShade="D9"/>
            <w:tcMar>
              <w:top w:w="0" w:type="dxa"/>
              <w:left w:w="70" w:type="dxa"/>
              <w:bottom w:w="0" w:type="dxa"/>
              <w:right w:w="70" w:type="dxa"/>
            </w:tcMar>
            <w:vAlign w:val="center"/>
            <w:hideMark/>
          </w:tcPr>
          <w:p w14:paraId="7B35F886" w14:textId="77777777" w:rsidR="003E0F58" w:rsidRPr="000C297A" w:rsidRDefault="003E0F58" w:rsidP="004D2249">
            <w:pPr>
              <w:jc w:val="center"/>
              <w:rPr>
                <w:rFonts w:eastAsia="Calibri" w:cs="Times New Roman"/>
                <w:sz w:val="20"/>
                <w:szCs w:val="20"/>
                <w:lang w:val="cs-CZ"/>
              </w:rPr>
            </w:pPr>
            <w:r w:rsidRPr="000C297A">
              <w:rPr>
                <w:rFonts w:eastAsia="Calibri" w:cs="Times New Roman"/>
                <w:b/>
                <w:bCs/>
                <w:color w:val="000000" w:themeColor="text1"/>
                <w:sz w:val="20"/>
                <w:szCs w:val="20"/>
                <w:lang w:val="cs-CZ"/>
              </w:rPr>
              <w:t>2017</w:t>
            </w:r>
          </w:p>
        </w:tc>
      </w:tr>
      <w:tr w:rsidR="003E0F58" w:rsidRPr="000C297A" w14:paraId="180C3C5E" w14:textId="77777777" w:rsidTr="004D2249">
        <w:trPr>
          <w:trHeight w:val="319"/>
        </w:trPr>
        <w:tc>
          <w:tcPr>
            <w:tcW w:w="0" w:type="auto"/>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7D71A289" w14:textId="77777777" w:rsidR="003E0F58" w:rsidRPr="000C297A" w:rsidRDefault="003E0F58" w:rsidP="004D2249">
            <w:pPr>
              <w:jc w:val="center"/>
              <w:rPr>
                <w:rFonts w:eastAsia="Calibri" w:cs="Times New Roman"/>
                <w:sz w:val="20"/>
                <w:szCs w:val="20"/>
                <w:lang w:val="cs-CZ"/>
              </w:rPr>
            </w:pP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0B754C52" w14:textId="77777777" w:rsidR="003E0F58" w:rsidRPr="000C297A" w:rsidRDefault="003E0F58" w:rsidP="004D2249">
            <w:pPr>
              <w:jc w:val="center"/>
              <w:rPr>
                <w:rFonts w:eastAsia="Calibri" w:cs="Times New Roman"/>
                <w:sz w:val="20"/>
                <w:szCs w:val="20"/>
                <w:lang w:val="cs-CZ"/>
              </w:rPr>
            </w:pPr>
            <w:r w:rsidRPr="000C297A">
              <w:rPr>
                <w:rFonts w:eastAsia="Calibri" w:cs="Times New Roman"/>
                <w:color w:val="000000" w:themeColor="text1"/>
                <w:sz w:val="20"/>
                <w:szCs w:val="20"/>
                <w:lang w:val="cs-CZ"/>
              </w:rPr>
              <w:t>ha</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2DFDA4A8" w14:textId="77777777" w:rsidR="003E0F58" w:rsidRPr="000C297A" w:rsidRDefault="003E0F58" w:rsidP="004D2249">
            <w:pPr>
              <w:jc w:val="center"/>
              <w:rPr>
                <w:rFonts w:eastAsia="Calibri" w:cs="Times New Roman"/>
                <w:sz w:val="20"/>
                <w:szCs w:val="20"/>
                <w:lang w:val="cs-CZ"/>
              </w:rPr>
            </w:pPr>
            <w:r w:rsidRPr="000C297A">
              <w:rPr>
                <w:rFonts w:eastAsia="Calibri" w:cs="Times New Roman"/>
                <w:color w:val="000000" w:themeColor="text1"/>
                <w:sz w:val="20"/>
                <w:szCs w:val="20"/>
                <w:lang w:val="cs-CZ"/>
              </w:rPr>
              <w:t>počet žádostí</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76A283B7" w14:textId="77777777" w:rsidR="003E0F58" w:rsidRPr="000C297A" w:rsidRDefault="003E0F58" w:rsidP="004D2249">
            <w:pPr>
              <w:jc w:val="center"/>
              <w:rPr>
                <w:rFonts w:eastAsia="Calibri" w:cs="Times New Roman"/>
                <w:sz w:val="20"/>
                <w:szCs w:val="20"/>
                <w:lang w:val="cs-CZ"/>
              </w:rPr>
            </w:pPr>
            <w:r w:rsidRPr="000C297A">
              <w:rPr>
                <w:rFonts w:eastAsia="Calibri" w:cs="Times New Roman"/>
                <w:color w:val="000000" w:themeColor="text1"/>
                <w:sz w:val="20"/>
                <w:szCs w:val="20"/>
                <w:lang w:val="cs-CZ"/>
              </w:rPr>
              <w:t>Kč</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53A3F6A5" w14:textId="77777777" w:rsidR="003E0F58" w:rsidRPr="000C297A" w:rsidRDefault="003E0F58" w:rsidP="004D2249">
            <w:pPr>
              <w:jc w:val="center"/>
              <w:rPr>
                <w:rFonts w:eastAsia="Calibri" w:cs="Times New Roman"/>
                <w:sz w:val="20"/>
                <w:szCs w:val="20"/>
                <w:lang w:val="cs-CZ"/>
              </w:rPr>
            </w:pPr>
            <w:r w:rsidRPr="000C297A">
              <w:rPr>
                <w:rFonts w:eastAsia="Calibri" w:cs="Times New Roman"/>
                <w:color w:val="000000" w:themeColor="text1"/>
                <w:sz w:val="20"/>
                <w:szCs w:val="20"/>
                <w:lang w:val="cs-CZ"/>
              </w:rPr>
              <w:t>ha</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5439F8D3" w14:textId="77777777" w:rsidR="003E0F58" w:rsidRPr="000C297A" w:rsidRDefault="003E0F58" w:rsidP="004D2249">
            <w:pPr>
              <w:jc w:val="center"/>
              <w:rPr>
                <w:rFonts w:eastAsia="Calibri" w:cs="Times New Roman"/>
                <w:sz w:val="20"/>
                <w:szCs w:val="20"/>
                <w:lang w:val="cs-CZ"/>
              </w:rPr>
            </w:pPr>
            <w:r w:rsidRPr="000C297A">
              <w:rPr>
                <w:rFonts w:eastAsia="Calibri" w:cs="Times New Roman"/>
                <w:color w:val="000000" w:themeColor="text1"/>
                <w:sz w:val="20"/>
                <w:szCs w:val="20"/>
                <w:lang w:val="cs-CZ"/>
              </w:rPr>
              <w:t>ks</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4F0B8B2C" w14:textId="77777777" w:rsidR="003E0F58" w:rsidRPr="000C297A" w:rsidRDefault="003E0F58" w:rsidP="004D2249">
            <w:pPr>
              <w:jc w:val="center"/>
              <w:rPr>
                <w:rFonts w:eastAsia="Calibri" w:cs="Times New Roman"/>
                <w:sz w:val="20"/>
                <w:szCs w:val="20"/>
                <w:lang w:val="cs-CZ"/>
              </w:rPr>
            </w:pP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08E6ECA2" w14:textId="77777777" w:rsidR="003E0F58" w:rsidRPr="000C297A" w:rsidRDefault="003E0F58" w:rsidP="004D2249">
            <w:pPr>
              <w:jc w:val="center"/>
              <w:rPr>
                <w:rFonts w:eastAsia="Calibri" w:cs="Times New Roman"/>
                <w:sz w:val="20"/>
                <w:szCs w:val="20"/>
                <w:lang w:val="cs-CZ"/>
              </w:rPr>
            </w:pPr>
            <w:r w:rsidRPr="000C297A">
              <w:rPr>
                <w:rFonts w:eastAsia="Calibri" w:cs="Times New Roman"/>
                <w:color w:val="000000" w:themeColor="text1"/>
                <w:sz w:val="20"/>
                <w:szCs w:val="20"/>
                <w:lang w:val="cs-CZ"/>
              </w:rPr>
              <w:t>ha</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1E10A792" w14:textId="77777777" w:rsidR="003E0F58" w:rsidRPr="000C297A" w:rsidRDefault="003E0F58" w:rsidP="004D2249">
            <w:pPr>
              <w:jc w:val="center"/>
              <w:rPr>
                <w:rFonts w:eastAsia="Calibri" w:cs="Times New Roman"/>
                <w:sz w:val="20"/>
                <w:szCs w:val="20"/>
                <w:lang w:val="cs-CZ"/>
              </w:rPr>
            </w:pPr>
            <w:r w:rsidRPr="000C297A">
              <w:rPr>
                <w:rFonts w:eastAsia="Calibri" w:cs="Times New Roman"/>
                <w:color w:val="000000" w:themeColor="text1"/>
                <w:sz w:val="20"/>
                <w:szCs w:val="20"/>
                <w:lang w:val="cs-CZ"/>
              </w:rPr>
              <w:t>ks</w:t>
            </w:r>
          </w:p>
        </w:tc>
        <w:tc>
          <w:tcPr>
            <w:tcW w:w="1323"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7FF93FA9" w14:textId="77777777" w:rsidR="003E0F58" w:rsidRPr="000C297A" w:rsidRDefault="003E0F58" w:rsidP="004D2249">
            <w:pPr>
              <w:jc w:val="center"/>
              <w:rPr>
                <w:rFonts w:eastAsia="Calibri" w:cs="Times New Roman"/>
                <w:sz w:val="20"/>
                <w:szCs w:val="20"/>
                <w:lang w:val="cs-CZ"/>
              </w:rPr>
            </w:pPr>
            <w:r w:rsidRPr="000C297A">
              <w:rPr>
                <w:rFonts w:eastAsia="Calibri" w:cs="Times New Roman"/>
                <w:color w:val="000000" w:themeColor="text1"/>
                <w:sz w:val="20"/>
                <w:szCs w:val="20"/>
                <w:lang w:val="cs-CZ"/>
              </w:rPr>
              <w:t>Kč</w:t>
            </w:r>
          </w:p>
        </w:tc>
      </w:tr>
      <w:tr w:rsidR="003E0F58" w:rsidRPr="000C297A" w14:paraId="39D4BDEF" w14:textId="77777777" w:rsidTr="004D2249">
        <w:trPr>
          <w:trHeight w:val="319"/>
        </w:trPr>
        <w:tc>
          <w:tcPr>
            <w:tcW w:w="0" w:type="auto"/>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2874B34C" w14:textId="77777777" w:rsidR="003E0F58" w:rsidRPr="000C297A" w:rsidRDefault="003E0F58" w:rsidP="004D2249">
            <w:pPr>
              <w:jc w:val="center"/>
              <w:rPr>
                <w:rFonts w:eastAsia="Calibri" w:cs="Times New Roman"/>
                <w:sz w:val="20"/>
                <w:szCs w:val="20"/>
                <w:lang w:val="cs-CZ"/>
              </w:rPr>
            </w:pPr>
            <w:r w:rsidRPr="000C297A">
              <w:rPr>
                <w:rFonts w:eastAsia="Calibri" w:cs="Times New Roman"/>
                <w:b/>
                <w:bCs/>
                <w:color w:val="000000" w:themeColor="text1"/>
                <w:sz w:val="20"/>
                <w:szCs w:val="20"/>
                <w:lang w:val="cs-CZ"/>
              </w:rPr>
              <w:t>Ohlášeno</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200F3996"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71,1</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0320F435"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39</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22453806"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x</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5482FC72"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212,3</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401B9015"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89</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7C735A54"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x</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705D4D83"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136,089</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46738450"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85</w:t>
            </w:r>
          </w:p>
        </w:tc>
        <w:tc>
          <w:tcPr>
            <w:tcW w:w="1323"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58A7D64A"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x</w:t>
            </w:r>
          </w:p>
        </w:tc>
      </w:tr>
      <w:tr w:rsidR="003E0F58" w:rsidRPr="000C297A" w14:paraId="290E4B15" w14:textId="77777777" w:rsidTr="004D2249">
        <w:trPr>
          <w:trHeight w:val="623"/>
        </w:trPr>
        <w:tc>
          <w:tcPr>
            <w:tcW w:w="0" w:type="auto"/>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318746A0" w14:textId="77777777" w:rsidR="003E0F58" w:rsidRPr="000C297A" w:rsidRDefault="003E0F58" w:rsidP="004D2249">
            <w:pPr>
              <w:jc w:val="center"/>
              <w:rPr>
                <w:rFonts w:eastAsia="Calibri" w:cs="Times New Roman"/>
                <w:sz w:val="20"/>
                <w:szCs w:val="20"/>
                <w:lang w:val="cs-CZ"/>
              </w:rPr>
            </w:pPr>
            <w:r w:rsidRPr="000C297A">
              <w:rPr>
                <w:rFonts w:eastAsia="Calibri" w:cs="Times New Roman"/>
                <w:b/>
                <w:bCs/>
                <w:color w:val="000000" w:themeColor="text1"/>
                <w:sz w:val="20"/>
                <w:szCs w:val="20"/>
                <w:lang w:val="cs-CZ"/>
              </w:rPr>
              <w:t>Nově zalesněno - požadováno</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2DAD48EF"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39,64</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6BD3C65F"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36</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366E2AA4"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3 418 841,00</w:t>
            </w:r>
          </w:p>
        </w:tc>
        <w:tc>
          <w:tcPr>
            <w:tcW w:w="0" w:type="auto"/>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3B66A06F"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30,569</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6B258768"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48</w:t>
            </w:r>
          </w:p>
        </w:tc>
        <w:tc>
          <w:tcPr>
            <w:tcW w:w="0" w:type="auto"/>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19C88CC1"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3 796 696,13</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3DCC9836"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47,514</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6CF8301F"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44</w:t>
            </w:r>
          </w:p>
        </w:tc>
        <w:tc>
          <w:tcPr>
            <w:tcW w:w="1323"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085B13AB"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3 507 030,28</w:t>
            </w:r>
          </w:p>
        </w:tc>
      </w:tr>
      <w:tr w:rsidR="003E0F58" w:rsidRPr="000C297A" w14:paraId="0A4A6228" w14:textId="77777777" w:rsidTr="004D2249">
        <w:trPr>
          <w:trHeight w:val="319"/>
        </w:trPr>
        <w:tc>
          <w:tcPr>
            <w:tcW w:w="0" w:type="auto"/>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246334CE" w14:textId="77777777" w:rsidR="003E0F58" w:rsidRPr="000C297A" w:rsidRDefault="003E0F58" w:rsidP="004D2249">
            <w:pPr>
              <w:jc w:val="center"/>
              <w:rPr>
                <w:rFonts w:eastAsia="Calibri" w:cs="Times New Roman"/>
                <w:sz w:val="20"/>
                <w:szCs w:val="20"/>
                <w:lang w:val="cs-CZ"/>
              </w:rPr>
            </w:pPr>
            <w:r w:rsidRPr="000C297A">
              <w:rPr>
                <w:rFonts w:eastAsia="Calibri" w:cs="Times New Roman"/>
                <w:b/>
                <w:bCs/>
                <w:color w:val="000000" w:themeColor="text1"/>
                <w:sz w:val="20"/>
                <w:szCs w:val="20"/>
                <w:lang w:val="cs-CZ"/>
              </w:rPr>
              <w:t>Vyplaceno na zalesnění</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0CED83F4"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33,81</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0EEBD533"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32</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085EC9CA"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2 507 876,00</w:t>
            </w:r>
          </w:p>
        </w:tc>
        <w:tc>
          <w:tcPr>
            <w:tcW w:w="0" w:type="auto"/>
            <w:tcBorders>
              <w:top w:val="nil"/>
              <w:left w:val="nil"/>
              <w:bottom w:val="single" w:sz="8" w:space="0" w:color="auto"/>
              <w:right w:val="nil"/>
            </w:tcBorders>
            <w:noWrap/>
            <w:tcMar>
              <w:top w:w="0" w:type="dxa"/>
              <w:left w:w="70" w:type="dxa"/>
              <w:bottom w:w="0" w:type="dxa"/>
              <w:right w:w="70" w:type="dxa"/>
            </w:tcMar>
            <w:vAlign w:val="center"/>
            <w:hideMark/>
          </w:tcPr>
          <w:p w14:paraId="37701011"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22,584</w:t>
            </w:r>
          </w:p>
        </w:tc>
        <w:tc>
          <w:tcPr>
            <w:tcW w:w="0" w:type="auto"/>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6125332A"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21</w:t>
            </w:r>
          </w:p>
        </w:tc>
        <w:tc>
          <w:tcPr>
            <w:tcW w:w="0" w:type="auto"/>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6B28CE09"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1 628 791,17</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1775322C" w14:textId="77777777" w:rsidR="003E0F58" w:rsidRPr="000C297A" w:rsidRDefault="003E0F58" w:rsidP="004D2249">
            <w:pPr>
              <w:jc w:val="right"/>
              <w:rPr>
                <w:rFonts w:eastAsia="Calibri" w:cs="Times New Roman"/>
                <w:sz w:val="20"/>
                <w:szCs w:val="20"/>
                <w:lang w:val="cs-CZ"/>
              </w:rPr>
            </w:pP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0612820D" w14:textId="77777777" w:rsidR="003E0F58" w:rsidRPr="000C297A" w:rsidRDefault="003E0F58" w:rsidP="004D2249">
            <w:pPr>
              <w:jc w:val="right"/>
              <w:rPr>
                <w:rFonts w:eastAsia="Calibri" w:cs="Times New Roman"/>
                <w:sz w:val="20"/>
                <w:szCs w:val="20"/>
                <w:lang w:val="cs-CZ"/>
              </w:rPr>
            </w:pPr>
          </w:p>
        </w:tc>
        <w:tc>
          <w:tcPr>
            <w:tcW w:w="1323"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0F13EBD1" w14:textId="77777777" w:rsidR="003E0F58" w:rsidRPr="000C297A" w:rsidRDefault="003E0F58" w:rsidP="004D2249">
            <w:pPr>
              <w:jc w:val="right"/>
              <w:rPr>
                <w:rFonts w:eastAsia="Calibri" w:cs="Times New Roman"/>
                <w:sz w:val="20"/>
                <w:szCs w:val="20"/>
                <w:lang w:val="cs-CZ"/>
              </w:rPr>
            </w:pPr>
          </w:p>
        </w:tc>
      </w:tr>
      <w:tr w:rsidR="003E0F58" w:rsidRPr="000C297A" w14:paraId="5CFCAB4A" w14:textId="77777777" w:rsidTr="004D2249">
        <w:trPr>
          <w:trHeight w:val="623"/>
        </w:trPr>
        <w:tc>
          <w:tcPr>
            <w:tcW w:w="0" w:type="auto"/>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62A458F8" w14:textId="77777777" w:rsidR="003E0F58" w:rsidRPr="000C297A" w:rsidRDefault="003E0F58" w:rsidP="004D2249">
            <w:pPr>
              <w:jc w:val="center"/>
              <w:rPr>
                <w:rFonts w:eastAsia="Calibri" w:cs="Times New Roman"/>
                <w:sz w:val="20"/>
                <w:szCs w:val="20"/>
                <w:lang w:val="cs-CZ"/>
              </w:rPr>
            </w:pPr>
            <w:r w:rsidRPr="000C297A">
              <w:rPr>
                <w:rFonts w:eastAsia="Calibri" w:cs="Times New Roman"/>
                <w:b/>
                <w:bCs/>
                <w:color w:val="000000" w:themeColor="text1"/>
                <w:sz w:val="20"/>
                <w:szCs w:val="20"/>
                <w:lang w:val="cs-CZ"/>
              </w:rPr>
              <w:t>Zažádáno na péči a náhradu celkem z 2015</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55F60406"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x</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5A054387"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x</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16FC7AB8"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x</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6EFCB52A"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75,22</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6FBF01AB"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30</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0DAFEF3E"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799 514,00</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3179C337"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165,764</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2742D678"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69</w:t>
            </w:r>
          </w:p>
        </w:tc>
        <w:tc>
          <w:tcPr>
            <w:tcW w:w="1323"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4A2A89FE"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1 739 157,04</w:t>
            </w:r>
          </w:p>
        </w:tc>
      </w:tr>
      <w:tr w:rsidR="003E0F58" w:rsidRPr="000C297A" w14:paraId="43553519" w14:textId="77777777" w:rsidTr="004D2249">
        <w:trPr>
          <w:trHeight w:val="623"/>
        </w:trPr>
        <w:tc>
          <w:tcPr>
            <w:tcW w:w="0" w:type="auto"/>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644423CD" w14:textId="77777777" w:rsidR="003E0F58" w:rsidRPr="000C297A" w:rsidRDefault="003E0F58" w:rsidP="004D2249">
            <w:pPr>
              <w:jc w:val="center"/>
              <w:rPr>
                <w:rFonts w:eastAsia="Calibri" w:cs="Times New Roman"/>
                <w:sz w:val="20"/>
                <w:szCs w:val="20"/>
                <w:lang w:val="cs-CZ"/>
              </w:rPr>
            </w:pPr>
            <w:r w:rsidRPr="000C297A">
              <w:rPr>
                <w:rFonts w:eastAsia="Calibri" w:cs="Times New Roman"/>
                <w:b/>
                <w:bCs/>
                <w:color w:val="000000" w:themeColor="text1"/>
                <w:sz w:val="20"/>
                <w:szCs w:val="20"/>
                <w:lang w:val="cs-CZ"/>
              </w:rPr>
              <w:t>z toho zažádáno na péči z 2015</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251E5B39"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x</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189E54D4"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x</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0D29088F"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x</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7A3A0A9F"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37,61</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1FB66A34"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30</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34150ADB"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525 581,00</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264E55B7"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83,632</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263B2560"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69</w:t>
            </w:r>
          </w:p>
        </w:tc>
        <w:tc>
          <w:tcPr>
            <w:tcW w:w="1323"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461589D3"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1 140 327,69</w:t>
            </w:r>
          </w:p>
        </w:tc>
      </w:tr>
      <w:tr w:rsidR="003E0F58" w:rsidRPr="000C297A" w14:paraId="4DA29976" w14:textId="77777777" w:rsidTr="004D2249">
        <w:trPr>
          <w:trHeight w:val="623"/>
        </w:trPr>
        <w:tc>
          <w:tcPr>
            <w:tcW w:w="0" w:type="auto"/>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36E2EAEE" w14:textId="77777777" w:rsidR="003E0F58" w:rsidRPr="000C297A" w:rsidRDefault="003E0F58" w:rsidP="004D2249">
            <w:pPr>
              <w:jc w:val="center"/>
              <w:rPr>
                <w:rFonts w:eastAsia="Calibri" w:cs="Times New Roman"/>
                <w:sz w:val="20"/>
                <w:szCs w:val="20"/>
                <w:lang w:val="cs-CZ"/>
              </w:rPr>
            </w:pPr>
            <w:r w:rsidRPr="000C297A">
              <w:rPr>
                <w:rFonts w:eastAsia="Calibri" w:cs="Times New Roman"/>
                <w:b/>
                <w:bCs/>
                <w:color w:val="000000" w:themeColor="text1"/>
                <w:sz w:val="20"/>
                <w:szCs w:val="20"/>
                <w:lang w:val="cs-CZ"/>
              </w:rPr>
              <w:t>z toho zažádáno na náhradu z 2015</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3A5B870D"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x</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6458C859"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x</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3D0AFB3D"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x</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69552521"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37,61</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027E5841"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30</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440C735B"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273 933,00</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2CB23750"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82,132</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4C00CCF5"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68</w:t>
            </w:r>
          </w:p>
        </w:tc>
        <w:tc>
          <w:tcPr>
            <w:tcW w:w="1323"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55C3A520"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598 829,35</w:t>
            </w:r>
          </w:p>
        </w:tc>
      </w:tr>
      <w:tr w:rsidR="003E0F58" w:rsidRPr="000C297A" w14:paraId="4377920A" w14:textId="77777777" w:rsidTr="004D2249">
        <w:trPr>
          <w:trHeight w:val="60"/>
        </w:trPr>
        <w:tc>
          <w:tcPr>
            <w:tcW w:w="0" w:type="auto"/>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71E61FBA" w14:textId="77777777" w:rsidR="003E0F58" w:rsidRPr="000C297A" w:rsidRDefault="003E0F58" w:rsidP="004D2249">
            <w:pPr>
              <w:jc w:val="center"/>
              <w:rPr>
                <w:rFonts w:eastAsia="Calibri" w:cs="Times New Roman"/>
                <w:sz w:val="20"/>
                <w:szCs w:val="20"/>
                <w:lang w:val="cs-CZ"/>
              </w:rPr>
            </w:pP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245C16F0" w14:textId="77777777" w:rsidR="003E0F58" w:rsidRPr="000C297A" w:rsidRDefault="003E0F58" w:rsidP="004D2249">
            <w:pPr>
              <w:jc w:val="right"/>
              <w:rPr>
                <w:rFonts w:eastAsia="Calibri" w:cs="Times New Roman"/>
                <w:sz w:val="20"/>
                <w:szCs w:val="20"/>
                <w:lang w:val="cs-CZ"/>
              </w:rPr>
            </w:pP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7BE8AC1B" w14:textId="77777777" w:rsidR="003E0F58" w:rsidRPr="000C297A" w:rsidRDefault="003E0F58" w:rsidP="004D2249">
            <w:pPr>
              <w:jc w:val="right"/>
              <w:rPr>
                <w:rFonts w:eastAsia="Calibri" w:cs="Times New Roman"/>
                <w:sz w:val="20"/>
                <w:szCs w:val="20"/>
                <w:lang w:val="cs-CZ"/>
              </w:rPr>
            </w:pP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281F8D7C" w14:textId="77777777" w:rsidR="003E0F58" w:rsidRPr="000C297A" w:rsidRDefault="003E0F58" w:rsidP="004D2249">
            <w:pPr>
              <w:jc w:val="right"/>
              <w:rPr>
                <w:rFonts w:eastAsia="Calibri" w:cs="Times New Roman"/>
                <w:sz w:val="20"/>
                <w:szCs w:val="20"/>
                <w:lang w:val="cs-CZ"/>
              </w:rPr>
            </w:pP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5D838352" w14:textId="77777777" w:rsidR="003E0F58" w:rsidRPr="000C297A" w:rsidRDefault="003E0F58" w:rsidP="004D2249">
            <w:pPr>
              <w:jc w:val="right"/>
              <w:rPr>
                <w:rFonts w:eastAsia="Calibri" w:cs="Times New Roman"/>
                <w:sz w:val="20"/>
                <w:szCs w:val="20"/>
                <w:lang w:val="cs-CZ"/>
              </w:rPr>
            </w:pP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1951C040" w14:textId="77777777" w:rsidR="003E0F58" w:rsidRPr="000C297A" w:rsidRDefault="003E0F58" w:rsidP="004D2249">
            <w:pPr>
              <w:jc w:val="right"/>
              <w:rPr>
                <w:rFonts w:eastAsia="Calibri" w:cs="Times New Roman"/>
                <w:sz w:val="20"/>
                <w:szCs w:val="20"/>
                <w:lang w:val="cs-CZ"/>
              </w:rPr>
            </w:pP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70491A75" w14:textId="77777777" w:rsidR="003E0F58" w:rsidRPr="000C297A" w:rsidRDefault="003E0F58" w:rsidP="004D2249">
            <w:pPr>
              <w:jc w:val="right"/>
              <w:rPr>
                <w:rFonts w:eastAsia="Calibri" w:cs="Times New Roman"/>
                <w:sz w:val="20"/>
                <w:szCs w:val="20"/>
                <w:lang w:val="cs-CZ"/>
              </w:rPr>
            </w:pP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3F88F816" w14:textId="77777777" w:rsidR="003E0F58" w:rsidRPr="000C297A" w:rsidRDefault="003E0F58" w:rsidP="004D2249">
            <w:pPr>
              <w:jc w:val="right"/>
              <w:rPr>
                <w:rFonts w:eastAsia="Calibri" w:cs="Times New Roman"/>
                <w:sz w:val="20"/>
                <w:szCs w:val="20"/>
                <w:lang w:val="cs-CZ"/>
              </w:rPr>
            </w:pP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04A227F5" w14:textId="77777777" w:rsidR="003E0F58" w:rsidRPr="000C297A" w:rsidRDefault="003E0F58" w:rsidP="004D2249">
            <w:pPr>
              <w:jc w:val="right"/>
              <w:rPr>
                <w:rFonts w:eastAsia="Calibri" w:cs="Times New Roman"/>
                <w:sz w:val="20"/>
                <w:szCs w:val="20"/>
                <w:lang w:val="cs-CZ"/>
              </w:rPr>
            </w:pPr>
          </w:p>
        </w:tc>
        <w:tc>
          <w:tcPr>
            <w:tcW w:w="1323"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5BE38BD0" w14:textId="77777777" w:rsidR="003E0F58" w:rsidRPr="000C297A" w:rsidRDefault="003E0F58" w:rsidP="004D2249">
            <w:pPr>
              <w:jc w:val="right"/>
              <w:rPr>
                <w:rFonts w:eastAsia="Calibri" w:cs="Times New Roman"/>
                <w:sz w:val="20"/>
                <w:szCs w:val="20"/>
                <w:lang w:val="cs-CZ"/>
              </w:rPr>
            </w:pPr>
          </w:p>
        </w:tc>
      </w:tr>
      <w:tr w:rsidR="003E0F58" w:rsidRPr="000C297A" w14:paraId="45717AFB" w14:textId="77777777" w:rsidTr="004D2249">
        <w:trPr>
          <w:trHeight w:val="623"/>
        </w:trPr>
        <w:tc>
          <w:tcPr>
            <w:tcW w:w="0" w:type="auto"/>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5D2A5D8D" w14:textId="77777777" w:rsidR="003E0F58" w:rsidRPr="000C297A" w:rsidRDefault="003E0F58" w:rsidP="004D2249">
            <w:pPr>
              <w:jc w:val="center"/>
              <w:rPr>
                <w:rFonts w:eastAsia="Calibri" w:cs="Times New Roman"/>
                <w:sz w:val="20"/>
                <w:szCs w:val="20"/>
                <w:lang w:val="cs-CZ"/>
              </w:rPr>
            </w:pPr>
            <w:r w:rsidRPr="000C297A">
              <w:rPr>
                <w:rFonts w:eastAsia="Calibri" w:cs="Times New Roman"/>
                <w:b/>
                <w:bCs/>
                <w:color w:val="000000" w:themeColor="text1"/>
                <w:sz w:val="20"/>
                <w:szCs w:val="20"/>
                <w:lang w:val="cs-CZ"/>
              </w:rPr>
              <w:t>Vyplaceno celkem na ZZP (včetně závazků z min. let)</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3D53D4D9" w14:textId="77777777" w:rsidR="003E0F58" w:rsidRPr="000C297A" w:rsidRDefault="003E0F58" w:rsidP="004D2249">
            <w:pPr>
              <w:jc w:val="right"/>
              <w:rPr>
                <w:rFonts w:eastAsia="Calibri" w:cs="Times New Roman"/>
                <w:sz w:val="20"/>
                <w:szCs w:val="20"/>
                <w:lang w:val="cs-CZ"/>
              </w:rPr>
            </w:pP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54194E84"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2322</w:t>
            </w:r>
          </w:p>
        </w:tc>
        <w:tc>
          <w:tcPr>
            <w:tcW w:w="0" w:type="auto"/>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69E5F4F1"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38 459 320,12</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35F2BD55" w14:textId="77777777" w:rsidR="003E0F58" w:rsidRPr="000C297A" w:rsidRDefault="003E0F58" w:rsidP="004D2249">
            <w:pPr>
              <w:jc w:val="right"/>
              <w:rPr>
                <w:rFonts w:eastAsia="Calibri" w:cs="Times New Roman"/>
                <w:sz w:val="20"/>
                <w:szCs w:val="20"/>
                <w:lang w:val="cs-CZ"/>
              </w:rPr>
            </w:pP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3C56426A"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2294</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543EC2DC"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34 256 079,15</w:t>
            </w: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06C65069" w14:textId="77777777" w:rsidR="003E0F58" w:rsidRPr="000C297A" w:rsidRDefault="003E0F58" w:rsidP="004D2249">
            <w:pPr>
              <w:jc w:val="right"/>
              <w:rPr>
                <w:rFonts w:eastAsia="Calibri" w:cs="Times New Roman"/>
                <w:sz w:val="20"/>
                <w:szCs w:val="20"/>
                <w:lang w:val="cs-CZ"/>
              </w:rPr>
            </w:pPr>
          </w:p>
        </w:tc>
        <w:tc>
          <w:tcPr>
            <w:tcW w:w="0" w:type="auto"/>
            <w:tcBorders>
              <w:top w:val="nil"/>
              <w:left w:val="nil"/>
              <w:bottom w:val="single" w:sz="8" w:space="0" w:color="auto"/>
              <w:right w:val="single" w:sz="8" w:space="0" w:color="auto"/>
            </w:tcBorders>
            <w:tcMar>
              <w:top w:w="0" w:type="dxa"/>
              <w:left w:w="70" w:type="dxa"/>
              <w:bottom w:w="0" w:type="dxa"/>
              <w:right w:w="70" w:type="dxa"/>
            </w:tcMar>
            <w:vAlign w:val="center"/>
            <w:hideMark/>
          </w:tcPr>
          <w:p w14:paraId="0107817F"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1934</w:t>
            </w:r>
          </w:p>
        </w:tc>
        <w:tc>
          <w:tcPr>
            <w:tcW w:w="1323"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17FFA534" w14:textId="77777777" w:rsidR="003E0F58" w:rsidRPr="000C297A" w:rsidRDefault="003E0F58" w:rsidP="004D2249">
            <w:pPr>
              <w:jc w:val="right"/>
              <w:rPr>
                <w:rFonts w:eastAsia="Calibri" w:cs="Times New Roman"/>
                <w:sz w:val="20"/>
                <w:szCs w:val="20"/>
                <w:lang w:val="cs-CZ"/>
              </w:rPr>
            </w:pPr>
            <w:r w:rsidRPr="000C297A">
              <w:rPr>
                <w:rFonts w:eastAsia="Calibri" w:cs="Times New Roman"/>
                <w:color w:val="000000" w:themeColor="text1"/>
                <w:sz w:val="20"/>
                <w:szCs w:val="20"/>
                <w:lang w:val="cs-CZ"/>
              </w:rPr>
              <w:t>20 837 626,92</w:t>
            </w:r>
          </w:p>
        </w:tc>
      </w:tr>
    </w:tbl>
    <w:p w14:paraId="2D87D247" w14:textId="5E444B10" w:rsidR="003E0F58" w:rsidRPr="007C705C" w:rsidRDefault="003E0F58" w:rsidP="005C1C3F">
      <w:pPr>
        <w:pStyle w:val="UZEIZdroj"/>
      </w:pPr>
      <w:r w:rsidRPr="007C705C">
        <w:t>Stav k</w:t>
      </w:r>
      <w:r w:rsidR="00F075AF">
        <w:t> </w:t>
      </w:r>
      <w:r w:rsidRPr="007C705C">
        <w:t>29</w:t>
      </w:r>
      <w:r w:rsidR="00F075AF">
        <w:t xml:space="preserve"> </w:t>
      </w:r>
      <w:r w:rsidRPr="007C705C">
        <w:t>.6.</w:t>
      </w:r>
      <w:r w:rsidR="00F075AF">
        <w:t xml:space="preserve"> </w:t>
      </w:r>
      <w:r w:rsidRPr="007C705C">
        <w:t>2018</w:t>
      </w:r>
    </w:p>
    <w:p w14:paraId="4E9ABCEB" w14:textId="77777777" w:rsidR="003E0F58" w:rsidRPr="007C705C" w:rsidRDefault="003E0F58" w:rsidP="005C1C3F">
      <w:pPr>
        <w:pStyle w:val="UZEIZdroj"/>
      </w:pPr>
      <w:r w:rsidRPr="007C705C">
        <w:t>Zdroj: MZe (odbor Řídící orgán PRV)</w:t>
      </w:r>
    </w:p>
    <w:p w14:paraId="214E5605" w14:textId="77777777" w:rsidR="003E0F58" w:rsidRPr="007C705C" w:rsidRDefault="003E0F58" w:rsidP="003E0F58">
      <w:pPr>
        <w:pStyle w:val="Odstavecseseznamem"/>
        <w:rPr>
          <w:lang w:eastAsia="x-none"/>
        </w:rPr>
      </w:pPr>
    </w:p>
    <w:p w14:paraId="5546BEB4" w14:textId="64F58E57" w:rsidR="003E0F58" w:rsidRDefault="003E0F58" w:rsidP="003E0F58">
      <w:pPr>
        <w:pStyle w:val="Odstavecseseznamem"/>
        <w:rPr>
          <w:lang w:eastAsia="x-none"/>
        </w:rPr>
      </w:pPr>
    </w:p>
    <w:p w14:paraId="3B628EA6" w14:textId="4F07577C" w:rsidR="005C1C3F" w:rsidRDefault="005C1C3F" w:rsidP="003E0F58">
      <w:pPr>
        <w:pStyle w:val="Odstavecseseznamem"/>
        <w:rPr>
          <w:lang w:eastAsia="x-none"/>
        </w:rPr>
      </w:pPr>
    </w:p>
    <w:p w14:paraId="67B42070" w14:textId="11D27B00" w:rsidR="005C1C3F" w:rsidRDefault="005C1C3F" w:rsidP="003E0F58">
      <w:pPr>
        <w:pStyle w:val="Odstavecseseznamem"/>
        <w:rPr>
          <w:lang w:eastAsia="x-none"/>
        </w:rPr>
      </w:pPr>
    </w:p>
    <w:p w14:paraId="52C55DFB" w14:textId="51A47374" w:rsidR="005C1C3F" w:rsidRDefault="005C1C3F" w:rsidP="003E0F58">
      <w:pPr>
        <w:pStyle w:val="Odstavecseseznamem"/>
        <w:rPr>
          <w:lang w:eastAsia="x-none"/>
        </w:rPr>
      </w:pPr>
    </w:p>
    <w:p w14:paraId="2CEE0D19" w14:textId="77777777" w:rsidR="005C1C3F" w:rsidRPr="007C705C" w:rsidRDefault="005C1C3F" w:rsidP="003E0F58">
      <w:pPr>
        <w:pStyle w:val="Odstavecseseznamem"/>
        <w:rPr>
          <w:lang w:eastAsia="x-none"/>
        </w:rPr>
      </w:pPr>
    </w:p>
    <w:p w14:paraId="160EE4C6" w14:textId="32ACF2E0" w:rsidR="003E0F58" w:rsidRPr="007C705C" w:rsidRDefault="005C1C3F" w:rsidP="005C1C3F">
      <w:pPr>
        <w:pStyle w:val="UZEITaB"/>
      </w:pPr>
      <w:bookmarkStart w:id="438" w:name="_Toc77245858"/>
      <w:r>
        <w:lastRenderedPageBreak/>
        <w:t xml:space="preserve"> </w:t>
      </w:r>
      <w:bookmarkStart w:id="439" w:name="_Toc94181625"/>
      <w:r w:rsidR="003E0F58" w:rsidRPr="007C705C">
        <w:t>Přehled o čerpání podpor přispívajících k odolnosti zemědělských podniků vůči klimatickým změnám v rámci opatření 10 PRV (2014-2020)</w:t>
      </w:r>
      <w:bookmarkEnd w:id="438"/>
      <w:bookmarkEnd w:id="439"/>
    </w:p>
    <w:tbl>
      <w:tblPr>
        <w:tblW w:w="18880" w:type="dxa"/>
        <w:tblCellMar>
          <w:left w:w="0" w:type="dxa"/>
          <w:right w:w="0" w:type="dxa"/>
        </w:tblCellMar>
        <w:tblLook w:val="04A0" w:firstRow="1" w:lastRow="0" w:firstColumn="1" w:lastColumn="0" w:noHBand="0" w:noVBand="1"/>
      </w:tblPr>
      <w:tblGrid>
        <w:gridCol w:w="2800"/>
        <w:gridCol w:w="960"/>
        <w:gridCol w:w="1260"/>
        <w:gridCol w:w="1460"/>
        <w:gridCol w:w="1660"/>
        <w:gridCol w:w="1660"/>
        <w:gridCol w:w="1560"/>
        <w:gridCol w:w="1300"/>
        <w:gridCol w:w="960"/>
        <w:gridCol w:w="1520"/>
        <w:gridCol w:w="1260"/>
        <w:gridCol w:w="1300"/>
        <w:gridCol w:w="1180"/>
      </w:tblGrid>
      <w:tr w:rsidR="003E0F58" w:rsidRPr="005C1C3F" w14:paraId="07BAF791" w14:textId="77777777" w:rsidTr="004D2249">
        <w:trPr>
          <w:trHeight w:val="300"/>
        </w:trPr>
        <w:tc>
          <w:tcPr>
            <w:tcW w:w="5020" w:type="dxa"/>
            <w:gridSpan w:val="3"/>
            <w:noWrap/>
            <w:tcMar>
              <w:top w:w="0" w:type="dxa"/>
              <w:left w:w="70" w:type="dxa"/>
              <w:bottom w:w="0" w:type="dxa"/>
              <w:right w:w="70" w:type="dxa"/>
            </w:tcMar>
            <w:vAlign w:val="bottom"/>
            <w:hideMark/>
          </w:tcPr>
          <w:p w14:paraId="546B2A30" w14:textId="77777777" w:rsidR="003E0F58" w:rsidRPr="005C1C3F" w:rsidRDefault="003E0F58" w:rsidP="004D2249">
            <w:pPr>
              <w:jc w:val="left"/>
              <w:rPr>
                <w:rFonts w:eastAsia="Calibri" w:cs="Times New Roman"/>
                <w:sz w:val="20"/>
                <w:szCs w:val="20"/>
                <w:lang w:val="cs-CZ"/>
              </w:rPr>
            </w:pPr>
            <w:r w:rsidRPr="005C1C3F">
              <w:rPr>
                <w:rFonts w:eastAsia="Calibri" w:cs="Times New Roman"/>
                <w:b/>
                <w:bCs/>
                <w:color w:val="000000" w:themeColor="text1"/>
                <w:sz w:val="20"/>
                <w:szCs w:val="20"/>
                <w:lang w:val="cs-CZ"/>
              </w:rPr>
              <w:t>10.1.5. Zatravňování orné půdy - proplacené žádosti</w:t>
            </w:r>
          </w:p>
        </w:tc>
        <w:tc>
          <w:tcPr>
            <w:tcW w:w="1460" w:type="dxa"/>
            <w:noWrap/>
            <w:tcMar>
              <w:top w:w="0" w:type="dxa"/>
              <w:left w:w="70" w:type="dxa"/>
              <w:bottom w:w="0" w:type="dxa"/>
              <w:right w:w="70" w:type="dxa"/>
            </w:tcMar>
            <w:vAlign w:val="bottom"/>
            <w:hideMark/>
          </w:tcPr>
          <w:p w14:paraId="2E3E5E5D" w14:textId="77777777" w:rsidR="003E0F58" w:rsidRPr="005C1C3F" w:rsidRDefault="003E0F58" w:rsidP="004D2249">
            <w:pPr>
              <w:jc w:val="left"/>
              <w:rPr>
                <w:rFonts w:eastAsia="Calibri" w:cs="Times New Roman"/>
                <w:sz w:val="20"/>
                <w:szCs w:val="20"/>
                <w:lang w:val="cs-CZ"/>
              </w:rPr>
            </w:pPr>
          </w:p>
        </w:tc>
        <w:tc>
          <w:tcPr>
            <w:tcW w:w="1660" w:type="dxa"/>
            <w:noWrap/>
            <w:tcMar>
              <w:top w:w="0" w:type="dxa"/>
              <w:left w:w="70" w:type="dxa"/>
              <w:bottom w:w="0" w:type="dxa"/>
              <w:right w:w="70" w:type="dxa"/>
            </w:tcMar>
            <w:vAlign w:val="bottom"/>
            <w:hideMark/>
          </w:tcPr>
          <w:p w14:paraId="29B6D0FB" w14:textId="77777777" w:rsidR="003E0F58" w:rsidRPr="005C1C3F" w:rsidRDefault="003E0F58" w:rsidP="004D2249">
            <w:pPr>
              <w:jc w:val="left"/>
              <w:rPr>
                <w:rFonts w:cs="Times New Roman"/>
                <w:sz w:val="20"/>
                <w:szCs w:val="20"/>
                <w:lang w:val="cs-CZ"/>
              </w:rPr>
            </w:pPr>
          </w:p>
        </w:tc>
        <w:tc>
          <w:tcPr>
            <w:tcW w:w="1660" w:type="dxa"/>
            <w:noWrap/>
            <w:tcMar>
              <w:top w:w="0" w:type="dxa"/>
              <w:left w:w="70" w:type="dxa"/>
              <w:bottom w:w="0" w:type="dxa"/>
              <w:right w:w="70" w:type="dxa"/>
            </w:tcMar>
            <w:vAlign w:val="bottom"/>
            <w:hideMark/>
          </w:tcPr>
          <w:p w14:paraId="657BF3B0" w14:textId="77777777" w:rsidR="003E0F58" w:rsidRPr="005C1C3F" w:rsidRDefault="003E0F58" w:rsidP="004D2249">
            <w:pPr>
              <w:jc w:val="left"/>
              <w:rPr>
                <w:rFonts w:cs="Times New Roman"/>
                <w:sz w:val="20"/>
                <w:szCs w:val="20"/>
                <w:lang w:val="cs-CZ"/>
              </w:rPr>
            </w:pPr>
          </w:p>
        </w:tc>
        <w:tc>
          <w:tcPr>
            <w:tcW w:w="1560" w:type="dxa"/>
            <w:noWrap/>
            <w:tcMar>
              <w:top w:w="0" w:type="dxa"/>
              <w:left w:w="70" w:type="dxa"/>
              <w:bottom w:w="0" w:type="dxa"/>
              <w:right w:w="70" w:type="dxa"/>
            </w:tcMar>
            <w:vAlign w:val="bottom"/>
            <w:hideMark/>
          </w:tcPr>
          <w:p w14:paraId="5F40A437" w14:textId="77777777" w:rsidR="003E0F58" w:rsidRPr="005C1C3F" w:rsidRDefault="003E0F58" w:rsidP="004D2249">
            <w:pPr>
              <w:jc w:val="left"/>
              <w:rPr>
                <w:rFonts w:cs="Times New Roman"/>
                <w:sz w:val="20"/>
                <w:szCs w:val="20"/>
                <w:lang w:val="cs-CZ"/>
              </w:rPr>
            </w:pPr>
          </w:p>
        </w:tc>
        <w:tc>
          <w:tcPr>
            <w:tcW w:w="1300" w:type="dxa"/>
            <w:noWrap/>
            <w:tcMar>
              <w:top w:w="0" w:type="dxa"/>
              <w:left w:w="70" w:type="dxa"/>
              <w:bottom w:w="0" w:type="dxa"/>
              <w:right w:w="70" w:type="dxa"/>
            </w:tcMar>
            <w:vAlign w:val="bottom"/>
            <w:hideMark/>
          </w:tcPr>
          <w:p w14:paraId="4DE8C6CB" w14:textId="77777777" w:rsidR="003E0F58" w:rsidRPr="005C1C3F" w:rsidRDefault="003E0F58" w:rsidP="004D2249">
            <w:pPr>
              <w:jc w:val="left"/>
              <w:rPr>
                <w:rFonts w:cs="Times New Roman"/>
                <w:sz w:val="20"/>
                <w:szCs w:val="20"/>
                <w:lang w:val="cs-CZ"/>
              </w:rPr>
            </w:pPr>
          </w:p>
        </w:tc>
        <w:tc>
          <w:tcPr>
            <w:tcW w:w="960" w:type="dxa"/>
            <w:noWrap/>
            <w:tcMar>
              <w:top w:w="0" w:type="dxa"/>
              <w:left w:w="70" w:type="dxa"/>
              <w:bottom w:w="0" w:type="dxa"/>
              <w:right w:w="70" w:type="dxa"/>
            </w:tcMar>
            <w:vAlign w:val="bottom"/>
            <w:hideMark/>
          </w:tcPr>
          <w:p w14:paraId="761F3A67" w14:textId="77777777" w:rsidR="003E0F58" w:rsidRPr="005C1C3F" w:rsidRDefault="003E0F58" w:rsidP="004D2249">
            <w:pPr>
              <w:jc w:val="left"/>
              <w:rPr>
                <w:rFonts w:cs="Times New Roman"/>
                <w:sz w:val="20"/>
                <w:szCs w:val="20"/>
                <w:lang w:val="cs-CZ"/>
              </w:rPr>
            </w:pPr>
          </w:p>
        </w:tc>
        <w:tc>
          <w:tcPr>
            <w:tcW w:w="1520" w:type="dxa"/>
            <w:noWrap/>
            <w:tcMar>
              <w:top w:w="0" w:type="dxa"/>
              <w:left w:w="70" w:type="dxa"/>
              <w:bottom w:w="0" w:type="dxa"/>
              <w:right w:w="70" w:type="dxa"/>
            </w:tcMar>
            <w:vAlign w:val="bottom"/>
            <w:hideMark/>
          </w:tcPr>
          <w:p w14:paraId="27106766" w14:textId="77777777" w:rsidR="003E0F58" w:rsidRPr="005C1C3F" w:rsidRDefault="003E0F58" w:rsidP="004D2249">
            <w:pPr>
              <w:jc w:val="left"/>
              <w:rPr>
                <w:rFonts w:cs="Times New Roman"/>
                <w:sz w:val="20"/>
                <w:szCs w:val="20"/>
                <w:lang w:val="cs-CZ"/>
              </w:rPr>
            </w:pPr>
          </w:p>
        </w:tc>
        <w:tc>
          <w:tcPr>
            <w:tcW w:w="1260" w:type="dxa"/>
            <w:noWrap/>
            <w:tcMar>
              <w:top w:w="0" w:type="dxa"/>
              <w:left w:w="70" w:type="dxa"/>
              <w:bottom w:w="0" w:type="dxa"/>
              <w:right w:w="70" w:type="dxa"/>
            </w:tcMar>
            <w:vAlign w:val="bottom"/>
            <w:hideMark/>
          </w:tcPr>
          <w:p w14:paraId="3B5B6FC6" w14:textId="77777777" w:rsidR="003E0F58" w:rsidRPr="005C1C3F" w:rsidRDefault="003E0F58" w:rsidP="004D2249">
            <w:pPr>
              <w:jc w:val="left"/>
              <w:rPr>
                <w:rFonts w:cs="Times New Roman"/>
                <w:sz w:val="20"/>
                <w:szCs w:val="20"/>
                <w:lang w:val="cs-CZ"/>
              </w:rPr>
            </w:pPr>
          </w:p>
        </w:tc>
        <w:tc>
          <w:tcPr>
            <w:tcW w:w="1300" w:type="dxa"/>
            <w:noWrap/>
            <w:tcMar>
              <w:top w:w="0" w:type="dxa"/>
              <w:left w:w="70" w:type="dxa"/>
              <w:bottom w:w="0" w:type="dxa"/>
              <w:right w:w="70" w:type="dxa"/>
            </w:tcMar>
            <w:vAlign w:val="bottom"/>
            <w:hideMark/>
          </w:tcPr>
          <w:p w14:paraId="3DDBCFDA" w14:textId="77777777" w:rsidR="003E0F58" w:rsidRPr="005C1C3F" w:rsidRDefault="003E0F58" w:rsidP="004D2249">
            <w:pPr>
              <w:jc w:val="left"/>
              <w:rPr>
                <w:rFonts w:cs="Times New Roman"/>
                <w:sz w:val="20"/>
                <w:szCs w:val="20"/>
                <w:lang w:val="cs-CZ"/>
              </w:rPr>
            </w:pPr>
          </w:p>
        </w:tc>
        <w:tc>
          <w:tcPr>
            <w:tcW w:w="1180" w:type="dxa"/>
            <w:noWrap/>
            <w:tcMar>
              <w:top w:w="0" w:type="dxa"/>
              <w:left w:w="70" w:type="dxa"/>
              <w:bottom w:w="0" w:type="dxa"/>
              <w:right w:w="70" w:type="dxa"/>
            </w:tcMar>
            <w:vAlign w:val="bottom"/>
            <w:hideMark/>
          </w:tcPr>
          <w:p w14:paraId="34C1BEA1" w14:textId="77777777" w:rsidR="003E0F58" w:rsidRPr="005C1C3F" w:rsidRDefault="003E0F58" w:rsidP="004D2249">
            <w:pPr>
              <w:jc w:val="left"/>
              <w:rPr>
                <w:rFonts w:cs="Times New Roman"/>
                <w:sz w:val="20"/>
                <w:szCs w:val="20"/>
                <w:lang w:val="cs-CZ"/>
              </w:rPr>
            </w:pPr>
          </w:p>
        </w:tc>
      </w:tr>
      <w:tr w:rsidR="003E0F58" w:rsidRPr="005C1C3F" w14:paraId="309FC247" w14:textId="77777777" w:rsidTr="004D2249">
        <w:trPr>
          <w:trHeight w:val="450"/>
        </w:trPr>
        <w:tc>
          <w:tcPr>
            <w:tcW w:w="2800" w:type="dxa"/>
            <w:tcBorders>
              <w:top w:val="single" w:sz="8" w:space="0" w:color="auto"/>
              <w:left w:val="single" w:sz="8" w:space="0" w:color="auto"/>
              <w:bottom w:val="single" w:sz="8" w:space="0" w:color="auto"/>
              <w:right w:val="single" w:sz="8" w:space="0" w:color="auto"/>
            </w:tcBorders>
            <w:shd w:val="clear" w:color="auto" w:fill="C6C4C4"/>
            <w:tcMar>
              <w:top w:w="0" w:type="dxa"/>
              <w:left w:w="70" w:type="dxa"/>
              <w:bottom w:w="0" w:type="dxa"/>
              <w:right w:w="70" w:type="dxa"/>
            </w:tcMar>
            <w:vAlign w:val="center"/>
            <w:hideMark/>
          </w:tcPr>
          <w:p w14:paraId="2AB81752" w14:textId="77777777" w:rsidR="003E0F58" w:rsidRPr="005C1C3F" w:rsidRDefault="003E0F58" w:rsidP="004D2249">
            <w:pPr>
              <w:jc w:val="left"/>
              <w:rPr>
                <w:rFonts w:eastAsia="Calibri" w:cs="Times New Roman"/>
                <w:sz w:val="20"/>
                <w:szCs w:val="20"/>
                <w:lang w:val="cs-CZ"/>
              </w:rPr>
            </w:pPr>
            <w:r w:rsidRPr="005C1C3F">
              <w:rPr>
                <w:rFonts w:eastAsia="Calibri" w:cs="Times New Roman"/>
                <w:b/>
                <w:bCs/>
                <w:color w:val="000000" w:themeColor="text1"/>
                <w:sz w:val="20"/>
                <w:szCs w:val="20"/>
                <w:lang w:val="cs-CZ"/>
              </w:rPr>
              <w:t> </w:t>
            </w:r>
          </w:p>
        </w:tc>
        <w:tc>
          <w:tcPr>
            <w:tcW w:w="960" w:type="dxa"/>
            <w:tcBorders>
              <w:top w:val="single" w:sz="8" w:space="0" w:color="auto"/>
              <w:left w:val="nil"/>
              <w:bottom w:val="single" w:sz="8" w:space="0" w:color="auto"/>
              <w:right w:val="single" w:sz="8" w:space="0" w:color="auto"/>
            </w:tcBorders>
            <w:shd w:val="clear" w:color="auto" w:fill="C6C4C4"/>
            <w:tcMar>
              <w:top w:w="0" w:type="dxa"/>
              <w:left w:w="70" w:type="dxa"/>
              <w:bottom w:w="0" w:type="dxa"/>
              <w:right w:w="70" w:type="dxa"/>
            </w:tcMar>
            <w:vAlign w:val="center"/>
            <w:hideMark/>
          </w:tcPr>
          <w:p w14:paraId="73636D9E" w14:textId="77777777" w:rsidR="003E0F58" w:rsidRPr="005C1C3F" w:rsidRDefault="003E0F58" w:rsidP="004D2249">
            <w:pPr>
              <w:jc w:val="left"/>
              <w:rPr>
                <w:rFonts w:eastAsia="Calibri" w:cs="Times New Roman"/>
                <w:sz w:val="20"/>
                <w:szCs w:val="20"/>
                <w:lang w:val="cs-CZ"/>
              </w:rPr>
            </w:pPr>
            <w:r w:rsidRPr="005C1C3F">
              <w:rPr>
                <w:rFonts w:eastAsia="Calibri" w:cs="Times New Roman"/>
                <w:b/>
                <w:bCs/>
                <w:color w:val="000000" w:themeColor="text1"/>
                <w:sz w:val="20"/>
                <w:szCs w:val="20"/>
                <w:lang w:val="cs-CZ"/>
              </w:rPr>
              <w:t>Počet žadatelů</w:t>
            </w:r>
          </w:p>
        </w:tc>
        <w:tc>
          <w:tcPr>
            <w:tcW w:w="1260" w:type="dxa"/>
            <w:tcBorders>
              <w:top w:val="single" w:sz="8" w:space="0" w:color="auto"/>
              <w:left w:val="nil"/>
              <w:bottom w:val="single" w:sz="8" w:space="0" w:color="auto"/>
              <w:right w:val="single" w:sz="8" w:space="0" w:color="auto"/>
            </w:tcBorders>
            <w:shd w:val="clear" w:color="auto" w:fill="C6C4C4"/>
            <w:tcMar>
              <w:top w:w="0" w:type="dxa"/>
              <w:left w:w="70" w:type="dxa"/>
              <w:bottom w:w="0" w:type="dxa"/>
              <w:right w:w="70" w:type="dxa"/>
            </w:tcMar>
            <w:vAlign w:val="center"/>
            <w:hideMark/>
          </w:tcPr>
          <w:p w14:paraId="48713584" w14:textId="77777777" w:rsidR="003E0F58" w:rsidRPr="005C1C3F" w:rsidRDefault="003E0F58" w:rsidP="004D2249">
            <w:pPr>
              <w:jc w:val="left"/>
              <w:rPr>
                <w:rFonts w:eastAsia="Calibri" w:cs="Times New Roman"/>
                <w:sz w:val="20"/>
                <w:szCs w:val="20"/>
                <w:lang w:val="cs-CZ"/>
              </w:rPr>
            </w:pPr>
            <w:r w:rsidRPr="005C1C3F">
              <w:rPr>
                <w:rFonts w:eastAsia="Calibri" w:cs="Times New Roman"/>
                <w:b/>
                <w:bCs/>
                <w:color w:val="000000" w:themeColor="text1"/>
                <w:sz w:val="20"/>
                <w:szCs w:val="20"/>
                <w:lang w:val="cs-CZ"/>
              </w:rPr>
              <w:t>Počet žádostí</w:t>
            </w:r>
          </w:p>
        </w:tc>
        <w:tc>
          <w:tcPr>
            <w:tcW w:w="1460" w:type="dxa"/>
            <w:tcBorders>
              <w:top w:val="single" w:sz="8" w:space="0" w:color="auto"/>
              <w:left w:val="nil"/>
              <w:bottom w:val="single" w:sz="8" w:space="0" w:color="auto"/>
              <w:right w:val="single" w:sz="8" w:space="0" w:color="auto"/>
            </w:tcBorders>
            <w:shd w:val="clear" w:color="auto" w:fill="C6C4C4"/>
            <w:tcMar>
              <w:top w:w="0" w:type="dxa"/>
              <w:left w:w="70" w:type="dxa"/>
              <w:bottom w:w="0" w:type="dxa"/>
              <w:right w:w="70" w:type="dxa"/>
            </w:tcMar>
            <w:vAlign w:val="center"/>
            <w:hideMark/>
          </w:tcPr>
          <w:p w14:paraId="3A1EF12E" w14:textId="77777777" w:rsidR="003E0F58" w:rsidRPr="005C1C3F" w:rsidRDefault="003E0F58" w:rsidP="004D2249">
            <w:pPr>
              <w:jc w:val="left"/>
              <w:rPr>
                <w:rFonts w:eastAsia="Calibri" w:cs="Times New Roman"/>
                <w:sz w:val="20"/>
                <w:szCs w:val="20"/>
                <w:lang w:val="cs-CZ"/>
              </w:rPr>
            </w:pPr>
            <w:r w:rsidRPr="005C1C3F">
              <w:rPr>
                <w:rFonts w:eastAsia="Calibri" w:cs="Times New Roman"/>
                <w:b/>
                <w:bCs/>
                <w:color w:val="000000" w:themeColor="text1"/>
                <w:sz w:val="20"/>
                <w:szCs w:val="20"/>
                <w:lang w:val="cs-CZ"/>
              </w:rPr>
              <w:t>výměra - aktuální*</w:t>
            </w:r>
          </w:p>
        </w:tc>
        <w:tc>
          <w:tcPr>
            <w:tcW w:w="1660" w:type="dxa"/>
            <w:tcBorders>
              <w:top w:val="single" w:sz="8" w:space="0" w:color="auto"/>
              <w:left w:val="nil"/>
              <w:bottom w:val="single" w:sz="8" w:space="0" w:color="auto"/>
              <w:right w:val="single" w:sz="8" w:space="0" w:color="auto"/>
            </w:tcBorders>
            <w:shd w:val="clear" w:color="auto" w:fill="C6C4C4"/>
            <w:tcMar>
              <w:top w:w="0" w:type="dxa"/>
              <w:left w:w="70" w:type="dxa"/>
              <w:bottom w:w="0" w:type="dxa"/>
              <w:right w:w="70" w:type="dxa"/>
            </w:tcMar>
            <w:vAlign w:val="center"/>
            <w:hideMark/>
          </w:tcPr>
          <w:p w14:paraId="50173E96" w14:textId="77777777" w:rsidR="003E0F58" w:rsidRPr="005C1C3F" w:rsidRDefault="003E0F58" w:rsidP="004D2249">
            <w:pPr>
              <w:jc w:val="left"/>
              <w:rPr>
                <w:rFonts w:eastAsia="Calibri" w:cs="Times New Roman"/>
                <w:sz w:val="20"/>
                <w:szCs w:val="20"/>
                <w:lang w:val="cs-CZ"/>
              </w:rPr>
            </w:pPr>
            <w:r w:rsidRPr="005C1C3F">
              <w:rPr>
                <w:rFonts w:eastAsia="Calibri" w:cs="Times New Roman"/>
                <w:b/>
                <w:bCs/>
                <w:color w:val="000000" w:themeColor="text1"/>
                <w:sz w:val="20"/>
                <w:szCs w:val="20"/>
                <w:lang w:val="cs-CZ"/>
              </w:rPr>
              <w:t>Částka (CZK)</w:t>
            </w:r>
          </w:p>
        </w:tc>
        <w:tc>
          <w:tcPr>
            <w:tcW w:w="1660" w:type="dxa"/>
            <w:tcBorders>
              <w:top w:val="single" w:sz="8" w:space="0" w:color="auto"/>
              <w:left w:val="nil"/>
              <w:bottom w:val="single" w:sz="8" w:space="0" w:color="auto"/>
              <w:right w:val="single" w:sz="8" w:space="0" w:color="auto"/>
            </w:tcBorders>
            <w:shd w:val="clear" w:color="auto" w:fill="C6C4C4"/>
            <w:tcMar>
              <w:top w:w="0" w:type="dxa"/>
              <w:left w:w="70" w:type="dxa"/>
              <w:bottom w:w="0" w:type="dxa"/>
              <w:right w:w="70" w:type="dxa"/>
            </w:tcMar>
            <w:vAlign w:val="center"/>
            <w:hideMark/>
          </w:tcPr>
          <w:p w14:paraId="26C8E845" w14:textId="77777777" w:rsidR="003E0F58" w:rsidRPr="005C1C3F" w:rsidRDefault="003E0F58" w:rsidP="004D2249">
            <w:pPr>
              <w:jc w:val="left"/>
              <w:rPr>
                <w:rFonts w:eastAsia="Calibri" w:cs="Times New Roman"/>
                <w:sz w:val="20"/>
                <w:szCs w:val="20"/>
                <w:lang w:val="cs-CZ"/>
              </w:rPr>
            </w:pPr>
            <w:r w:rsidRPr="005C1C3F">
              <w:rPr>
                <w:rFonts w:eastAsia="Calibri" w:cs="Times New Roman"/>
                <w:b/>
                <w:bCs/>
                <w:color w:val="000000" w:themeColor="text1"/>
                <w:sz w:val="20"/>
                <w:szCs w:val="20"/>
                <w:lang w:val="cs-CZ"/>
              </w:rPr>
              <w:t>Částka [EUR]</w:t>
            </w:r>
          </w:p>
        </w:tc>
        <w:tc>
          <w:tcPr>
            <w:tcW w:w="1560" w:type="dxa"/>
            <w:noWrap/>
            <w:tcMar>
              <w:top w:w="0" w:type="dxa"/>
              <w:left w:w="70" w:type="dxa"/>
              <w:bottom w:w="0" w:type="dxa"/>
              <w:right w:w="70" w:type="dxa"/>
            </w:tcMar>
            <w:vAlign w:val="bottom"/>
            <w:hideMark/>
          </w:tcPr>
          <w:p w14:paraId="04836880" w14:textId="77777777" w:rsidR="003E0F58" w:rsidRPr="005C1C3F" w:rsidRDefault="003E0F58" w:rsidP="004D2249">
            <w:pPr>
              <w:jc w:val="left"/>
              <w:rPr>
                <w:rFonts w:eastAsia="Calibri" w:cs="Times New Roman"/>
                <w:sz w:val="20"/>
                <w:szCs w:val="20"/>
                <w:lang w:val="cs-CZ"/>
              </w:rPr>
            </w:pPr>
          </w:p>
        </w:tc>
        <w:tc>
          <w:tcPr>
            <w:tcW w:w="1300" w:type="dxa"/>
            <w:noWrap/>
            <w:tcMar>
              <w:top w:w="0" w:type="dxa"/>
              <w:left w:w="70" w:type="dxa"/>
              <w:bottom w:w="0" w:type="dxa"/>
              <w:right w:w="70" w:type="dxa"/>
            </w:tcMar>
            <w:vAlign w:val="bottom"/>
            <w:hideMark/>
          </w:tcPr>
          <w:p w14:paraId="404CAA47" w14:textId="77777777" w:rsidR="003E0F58" w:rsidRPr="005C1C3F" w:rsidRDefault="003E0F58" w:rsidP="004D2249">
            <w:pPr>
              <w:jc w:val="left"/>
              <w:rPr>
                <w:rFonts w:cs="Times New Roman"/>
                <w:sz w:val="20"/>
                <w:szCs w:val="20"/>
                <w:lang w:val="cs-CZ"/>
              </w:rPr>
            </w:pPr>
          </w:p>
        </w:tc>
        <w:tc>
          <w:tcPr>
            <w:tcW w:w="960" w:type="dxa"/>
            <w:noWrap/>
            <w:tcMar>
              <w:top w:w="0" w:type="dxa"/>
              <w:left w:w="70" w:type="dxa"/>
              <w:bottom w:w="0" w:type="dxa"/>
              <w:right w:w="70" w:type="dxa"/>
            </w:tcMar>
            <w:vAlign w:val="bottom"/>
            <w:hideMark/>
          </w:tcPr>
          <w:p w14:paraId="582D2CF9" w14:textId="77777777" w:rsidR="003E0F58" w:rsidRPr="005C1C3F" w:rsidRDefault="003E0F58" w:rsidP="004D2249">
            <w:pPr>
              <w:jc w:val="left"/>
              <w:rPr>
                <w:rFonts w:cs="Times New Roman"/>
                <w:sz w:val="20"/>
                <w:szCs w:val="20"/>
                <w:lang w:val="cs-CZ"/>
              </w:rPr>
            </w:pPr>
          </w:p>
        </w:tc>
        <w:tc>
          <w:tcPr>
            <w:tcW w:w="1520" w:type="dxa"/>
            <w:noWrap/>
            <w:tcMar>
              <w:top w:w="0" w:type="dxa"/>
              <w:left w:w="70" w:type="dxa"/>
              <w:bottom w:w="0" w:type="dxa"/>
              <w:right w:w="70" w:type="dxa"/>
            </w:tcMar>
            <w:vAlign w:val="bottom"/>
            <w:hideMark/>
          </w:tcPr>
          <w:p w14:paraId="58233BB9" w14:textId="77777777" w:rsidR="003E0F58" w:rsidRPr="005C1C3F" w:rsidRDefault="003E0F58" w:rsidP="004D2249">
            <w:pPr>
              <w:jc w:val="left"/>
              <w:rPr>
                <w:rFonts w:cs="Times New Roman"/>
                <w:sz w:val="20"/>
                <w:szCs w:val="20"/>
                <w:lang w:val="cs-CZ"/>
              </w:rPr>
            </w:pPr>
          </w:p>
        </w:tc>
        <w:tc>
          <w:tcPr>
            <w:tcW w:w="1260" w:type="dxa"/>
            <w:noWrap/>
            <w:tcMar>
              <w:top w:w="0" w:type="dxa"/>
              <w:left w:w="70" w:type="dxa"/>
              <w:bottom w:w="0" w:type="dxa"/>
              <w:right w:w="70" w:type="dxa"/>
            </w:tcMar>
            <w:vAlign w:val="bottom"/>
            <w:hideMark/>
          </w:tcPr>
          <w:p w14:paraId="5AB71E4B" w14:textId="77777777" w:rsidR="003E0F58" w:rsidRPr="005C1C3F" w:rsidRDefault="003E0F58" w:rsidP="004D2249">
            <w:pPr>
              <w:jc w:val="left"/>
              <w:rPr>
                <w:rFonts w:cs="Times New Roman"/>
                <w:sz w:val="20"/>
                <w:szCs w:val="20"/>
                <w:lang w:val="cs-CZ"/>
              </w:rPr>
            </w:pPr>
          </w:p>
        </w:tc>
        <w:tc>
          <w:tcPr>
            <w:tcW w:w="1300" w:type="dxa"/>
            <w:noWrap/>
            <w:tcMar>
              <w:top w:w="0" w:type="dxa"/>
              <w:left w:w="70" w:type="dxa"/>
              <w:bottom w:w="0" w:type="dxa"/>
              <w:right w:w="70" w:type="dxa"/>
            </w:tcMar>
            <w:vAlign w:val="bottom"/>
            <w:hideMark/>
          </w:tcPr>
          <w:p w14:paraId="3E120747" w14:textId="77777777" w:rsidR="003E0F58" w:rsidRPr="005C1C3F" w:rsidRDefault="003E0F58" w:rsidP="004D2249">
            <w:pPr>
              <w:jc w:val="left"/>
              <w:rPr>
                <w:rFonts w:cs="Times New Roman"/>
                <w:sz w:val="20"/>
                <w:szCs w:val="20"/>
                <w:lang w:val="cs-CZ"/>
              </w:rPr>
            </w:pPr>
          </w:p>
        </w:tc>
        <w:tc>
          <w:tcPr>
            <w:tcW w:w="1180" w:type="dxa"/>
            <w:noWrap/>
            <w:tcMar>
              <w:top w:w="0" w:type="dxa"/>
              <w:left w:w="70" w:type="dxa"/>
              <w:bottom w:w="0" w:type="dxa"/>
              <w:right w:w="70" w:type="dxa"/>
            </w:tcMar>
            <w:vAlign w:val="bottom"/>
            <w:hideMark/>
          </w:tcPr>
          <w:p w14:paraId="54ADF513" w14:textId="77777777" w:rsidR="003E0F58" w:rsidRPr="005C1C3F" w:rsidRDefault="003E0F58" w:rsidP="004D2249">
            <w:pPr>
              <w:jc w:val="left"/>
              <w:rPr>
                <w:rFonts w:cs="Times New Roman"/>
                <w:sz w:val="20"/>
                <w:szCs w:val="20"/>
                <w:lang w:val="cs-CZ"/>
              </w:rPr>
            </w:pPr>
          </w:p>
        </w:tc>
      </w:tr>
      <w:tr w:rsidR="003E0F58" w:rsidRPr="005C1C3F" w14:paraId="1EB74A26" w14:textId="77777777" w:rsidTr="004D2249">
        <w:trPr>
          <w:trHeight w:val="420"/>
        </w:trPr>
        <w:tc>
          <w:tcPr>
            <w:tcW w:w="2800" w:type="dxa"/>
            <w:tcBorders>
              <w:top w:val="nil"/>
              <w:left w:val="single" w:sz="8" w:space="0" w:color="auto"/>
              <w:bottom w:val="single" w:sz="8" w:space="0" w:color="auto"/>
              <w:right w:val="single" w:sz="8" w:space="0" w:color="auto"/>
            </w:tcBorders>
            <w:shd w:val="clear" w:color="auto" w:fill="C6C4C4"/>
            <w:tcMar>
              <w:top w:w="0" w:type="dxa"/>
              <w:left w:w="70" w:type="dxa"/>
              <w:bottom w:w="0" w:type="dxa"/>
              <w:right w:w="70" w:type="dxa"/>
            </w:tcMar>
            <w:vAlign w:val="center"/>
            <w:hideMark/>
          </w:tcPr>
          <w:p w14:paraId="7BECF89A" w14:textId="77777777" w:rsidR="003E0F58" w:rsidRPr="005C1C3F" w:rsidRDefault="003E0F58" w:rsidP="004D2249">
            <w:pPr>
              <w:jc w:val="left"/>
              <w:rPr>
                <w:rFonts w:eastAsia="Calibri" w:cs="Times New Roman"/>
                <w:sz w:val="20"/>
                <w:szCs w:val="20"/>
                <w:lang w:val="cs-CZ"/>
              </w:rPr>
            </w:pPr>
            <w:r w:rsidRPr="005C1C3F">
              <w:rPr>
                <w:rFonts w:eastAsia="Calibri" w:cs="Times New Roman"/>
                <w:b/>
                <w:bCs/>
                <w:color w:val="000000" w:themeColor="text1"/>
                <w:sz w:val="20"/>
                <w:szCs w:val="20"/>
                <w:lang w:val="cs-CZ"/>
              </w:rPr>
              <w:t>2015</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D0A31D7" w14:textId="77777777" w:rsidR="003E0F58" w:rsidRPr="005C1C3F" w:rsidRDefault="003E0F58" w:rsidP="004D2249">
            <w:pPr>
              <w:jc w:val="right"/>
              <w:rPr>
                <w:rFonts w:eastAsia="Calibri" w:cs="Times New Roman"/>
                <w:sz w:val="20"/>
                <w:szCs w:val="20"/>
                <w:lang w:val="cs-CZ"/>
              </w:rPr>
            </w:pPr>
            <w:r w:rsidRPr="005C1C3F">
              <w:rPr>
                <w:rFonts w:eastAsia="Calibri" w:cs="Times New Roman"/>
                <w:color w:val="000000" w:themeColor="text1"/>
                <w:sz w:val="20"/>
                <w:szCs w:val="20"/>
                <w:lang w:val="cs-CZ"/>
              </w:rPr>
              <w:t>500</w:t>
            </w:r>
          </w:p>
        </w:tc>
        <w:tc>
          <w:tcPr>
            <w:tcW w:w="12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B26F5BA" w14:textId="77777777" w:rsidR="003E0F58" w:rsidRPr="005C1C3F" w:rsidRDefault="003E0F58" w:rsidP="004D2249">
            <w:pPr>
              <w:jc w:val="right"/>
              <w:rPr>
                <w:rFonts w:eastAsia="Calibri" w:cs="Times New Roman"/>
                <w:sz w:val="20"/>
                <w:szCs w:val="20"/>
                <w:lang w:val="cs-CZ"/>
              </w:rPr>
            </w:pPr>
            <w:r w:rsidRPr="005C1C3F">
              <w:rPr>
                <w:rFonts w:eastAsia="Calibri" w:cs="Times New Roman"/>
                <w:color w:val="000000" w:themeColor="text1"/>
                <w:sz w:val="20"/>
                <w:szCs w:val="20"/>
                <w:lang w:val="cs-CZ"/>
              </w:rPr>
              <w:t>500</w:t>
            </w:r>
          </w:p>
        </w:tc>
        <w:tc>
          <w:tcPr>
            <w:tcW w:w="14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0AD9445" w14:textId="77777777" w:rsidR="003E0F58" w:rsidRPr="005C1C3F" w:rsidRDefault="003E0F58" w:rsidP="004D2249">
            <w:pPr>
              <w:jc w:val="right"/>
              <w:rPr>
                <w:rFonts w:eastAsia="Calibri" w:cs="Times New Roman"/>
                <w:sz w:val="20"/>
                <w:szCs w:val="20"/>
                <w:lang w:val="cs-CZ"/>
              </w:rPr>
            </w:pPr>
            <w:r w:rsidRPr="005C1C3F">
              <w:rPr>
                <w:rFonts w:eastAsia="Calibri" w:cs="Times New Roman"/>
                <w:color w:val="000000" w:themeColor="text1"/>
                <w:sz w:val="20"/>
                <w:szCs w:val="20"/>
                <w:lang w:val="cs-CZ"/>
              </w:rPr>
              <w:t>3705,66</w:t>
            </w:r>
          </w:p>
        </w:tc>
        <w:tc>
          <w:tcPr>
            <w:tcW w:w="16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E1E01A4" w14:textId="77777777" w:rsidR="003E0F58" w:rsidRPr="005C1C3F" w:rsidRDefault="003E0F58" w:rsidP="004D2249">
            <w:pPr>
              <w:jc w:val="right"/>
              <w:rPr>
                <w:rFonts w:eastAsia="Calibri" w:cs="Times New Roman"/>
                <w:sz w:val="20"/>
                <w:szCs w:val="20"/>
                <w:lang w:val="cs-CZ"/>
              </w:rPr>
            </w:pPr>
            <w:r w:rsidRPr="005C1C3F">
              <w:rPr>
                <w:rFonts w:eastAsia="Calibri" w:cs="Times New Roman"/>
                <w:color w:val="000000" w:themeColor="text1"/>
                <w:sz w:val="20"/>
                <w:szCs w:val="20"/>
                <w:lang w:val="cs-CZ"/>
              </w:rPr>
              <w:t>32 219 942,97</w:t>
            </w:r>
          </w:p>
        </w:tc>
        <w:tc>
          <w:tcPr>
            <w:tcW w:w="16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031E3F8" w14:textId="77777777" w:rsidR="003E0F58" w:rsidRPr="005C1C3F" w:rsidRDefault="003E0F58" w:rsidP="004D2249">
            <w:pPr>
              <w:jc w:val="right"/>
              <w:rPr>
                <w:rFonts w:eastAsia="Calibri" w:cs="Times New Roman"/>
                <w:sz w:val="20"/>
                <w:szCs w:val="20"/>
                <w:lang w:val="cs-CZ"/>
              </w:rPr>
            </w:pPr>
            <w:r w:rsidRPr="005C1C3F">
              <w:rPr>
                <w:rFonts w:eastAsia="Calibri" w:cs="Times New Roman"/>
                <w:color w:val="000000" w:themeColor="text1"/>
                <w:sz w:val="20"/>
                <w:szCs w:val="20"/>
                <w:lang w:val="cs-CZ"/>
              </w:rPr>
              <w:t>1 191 563,80</w:t>
            </w:r>
          </w:p>
        </w:tc>
        <w:tc>
          <w:tcPr>
            <w:tcW w:w="1560" w:type="dxa"/>
            <w:noWrap/>
            <w:tcMar>
              <w:top w:w="0" w:type="dxa"/>
              <w:left w:w="70" w:type="dxa"/>
              <w:bottom w:w="0" w:type="dxa"/>
              <w:right w:w="70" w:type="dxa"/>
            </w:tcMar>
            <w:vAlign w:val="bottom"/>
            <w:hideMark/>
          </w:tcPr>
          <w:p w14:paraId="55037071" w14:textId="77777777" w:rsidR="003E0F58" w:rsidRPr="005C1C3F" w:rsidRDefault="003E0F58" w:rsidP="004D2249">
            <w:pPr>
              <w:jc w:val="left"/>
              <w:rPr>
                <w:rFonts w:eastAsia="Calibri" w:cs="Times New Roman"/>
                <w:sz w:val="20"/>
                <w:szCs w:val="20"/>
                <w:lang w:val="cs-CZ"/>
              </w:rPr>
            </w:pPr>
          </w:p>
        </w:tc>
        <w:tc>
          <w:tcPr>
            <w:tcW w:w="1300" w:type="dxa"/>
            <w:noWrap/>
            <w:tcMar>
              <w:top w:w="0" w:type="dxa"/>
              <w:left w:w="70" w:type="dxa"/>
              <w:bottom w:w="0" w:type="dxa"/>
              <w:right w:w="70" w:type="dxa"/>
            </w:tcMar>
            <w:vAlign w:val="bottom"/>
            <w:hideMark/>
          </w:tcPr>
          <w:p w14:paraId="7FFD8699" w14:textId="77777777" w:rsidR="003E0F58" w:rsidRPr="005C1C3F" w:rsidRDefault="003E0F58" w:rsidP="004D2249">
            <w:pPr>
              <w:jc w:val="left"/>
              <w:rPr>
                <w:rFonts w:cs="Times New Roman"/>
                <w:sz w:val="20"/>
                <w:szCs w:val="20"/>
                <w:lang w:val="cs-CZ"/>
              </w:rPr>
            </w:pPr>
          </w:p>
        </w:tc>
        <w:tc>
          <w:tcPr>
            <w:tcW w:w="960" w:type="dxa"/>
            <w:noWrap/>
            <w:tcMar>
              <w:top w:w="0" w:type="dxa"/>
              <w:left w:w="70" w:type="dxa"/>
              <w:bottom w:w="0" w:type="dxa"/>
              <w:right w:w="70" w:type="dxa"/>
            </w:tcMar>
            <w:vAlign w:val="bottom"/>
            <w:hideMark/>
          </w:tcPr>
          <w:p w14:paraId="3C219CD5" w14:textId="77777777" w:rsidR="003E0F58" w:rsidRPr="005C1C3F" w:rsidRDefault="003E0F58" w:rsidP="004D2249">
            <w:pPr>
              <w:jc w:val="left"/>
              <w:rPr>
                <w:rFonts w:cs="Times New Roman"/>
                <w:sz w:val="20"/>
                <w:szCs w:val="20"/>
                <w:lang w:val="cs-CZ"/>
              </w:rPr>
            </w:pPr>
          </w:p>
        </w:tc>
        <w:tc>
          <w:tcPr>
            <w:tcW w:w="1520" w:type="dxa"/>
            <w:noWrap/>
            <w:tcMar>
              <w:top w:w="0" w:type="dxa"/>
              <w:left w:w="70" w:type="dxa"/>
              <w:bottom w:w="0" w:type="dxa"/>
              <w:right w:w="70" w:type="dxa"/>
            </w:tcMar>
            <w:vAlign w:val="bottom"/>
            <w:hideMark/>
          </w:tcPr>
          <w:p w14:paraId="708A7DF4" w14:textId="77777777" w:rsidR="003E0F58" w:rsidRPr="005C1C3F" w:rsidRDefault="003E0F58" w:rsidP="004D2249">
            <w:pPr>
              <w:jc w:val="left"/>
              <w:rPr>
                <w:rFonts w:cs="Times New Roman"/>
                <w:sz w:val="20"/>
                <w:szCs w:val="20"/>
                <w:lang w:val="cs-CZ"/>
              </w:rPr>
            </w:pPr>
          </w:p>
        </w:tc>
        <w:tc>
          <w:tcPr>
            <w:tcW w:w="1260" w:type="dxa"/>
            <w:noWrap/>
            <w:tcMar>
              <w:top w:w="0" w:type="dxa"/>
              <w:left w:w="70" w:type="dxa"/>
              <w:bottom w:w="0" w:type="dxa"/>
              <w:right w:w="70" w:type="dxa"/>
            </w:tcMar>
            <w:vAlign w:val="bottom"/>
            <w:hideMark/>
          </w:tcPr>
          <w:p w14:paraId="0C0EED09" w14:textId="77777777" w:rsidR="003E0F58" w:rsidRPr="005C1C3F" w:rsidRDefault="003E0F58" w:rsidP="004D2249">
            <w:pPr>
              <w:jc w:val="left"/>
              <w:rPr>
                <w:rFonts w:cs="Times New Roman"/>
                <w:sz w:val="20"/>
                <w:szCs w:val="20"/>
                <w:lang w:val="cs-CZ"/>
              </w:rPr>
            </w:pPr>
          </w:p>
        </w:tc>
        <w:tc>
          <w:tcPr>
            <w:tcW w:w="1300" w:type="dxa"/>
            <w:noWrap/>
            <w:tcMar>
              <w:top w:w="0" w:type="dxa"/>
              <w:left w:w="70" w:type="dxa"/>
              <w:bottom w:w="0" w:type="dxa"/>
              <w:right w:w="70" w:type="dxa"/>
            </w:tcMar>
            <w:vAlign w:val="bottom"/>
            <w:hideMark/>
          </w:tcPr>
          <w:p w14:paraId="33A81B42" w14:textId="77777777" w:rsidR="003E0F58" w:rsidRPr="005C1C3F" w:rsidRDefault="003E0F58" w:rsidP="004D2249">
            <w:pPr>
              <w:jc w:val="left"/>
              <w:rPr>
                <w:rFonts w:cs="Times New Roman"/>
                <w:sz w:val="20"/>
                <w:szCs w:val="20"/>
                <w:lang w:val="cs-CZ"/>
              </w:rPr>
            </w:pPr>
          </w:p>
        </w:tc>
        <w:tc>
          <w:tcPr>
            <w:tcW w:w="1180" w:type="dxa"/>
            <w:noWrap/>
            <w:tcMar>
              <w:top w:w="0" w:type="dxa"/>
              <w:left w:w="70" w:type="dxa"/>
              <w:bottom w:w="0" w:type="dxa"/>
              <w:right w:w="70" w:type="dxa"/>
            </w:tcMar>
            <w:vAlign w:val="bottom"/>
            <w:hideMark/>
          </w:tcPr>
          <w:p w14:paraId="532A742A" w14:textId="77777777" w:rsidR="003E0F58" w:rsidRPr="005C1C3F" w:rsidRDefault="003E0F58" w:rsidP="004D2249">
            <w:pPr>
              <w:jc w:val="left"/>
              <w:rPr>
                <w:rFonts w:cs="Times New Roman"/>
                <w:sz w:val="20"/>
                <w:szCs w:val="20"/>
                <w:lang w:val="cs-CZ"/>
              </w:rPr>
            </w:pPr>
          </w:p>
        </w:tc>
      </w:tr>
      <w:tr w:rsidR="003E0F58" w:rsidRPr="005C1C3F" w14:paraId="09257D56" w14:textId="77777777" w:rsidTr="004D2249">
        <w:trPr>
          <w:trHeight w:val="300"/>
        </w:trPr>
        <w:tc>
          <w:tcPr>
            <w:tcW w:w="2800" w:type="dxa"/>
            <w:tcBorders>
              <w:top w:val="nil"/>
              <w:left w:val="single" w:sz="8" w:space="0" w:color="auto"/>
              <w:bottom w:val="single" w:sz="8" w:space="0" w:color="auto"/>
              <w:right w:val="single" w:sz="8" w:space="0" w:color="auto"/>
            </w:tcBorders>
            <w:shd w:val="clear" w:color="auto" w:fill="C6C4C4"/>
            <w:tcMar>
              <w:top w:w="0" w:type="dxa"/>
              <w:left w:w="70" w:type="dxa"/>
              <w:bottom w:w="0" w:type="dxa"/>
              <w:right w:w="70" w:type="dxa"/>
            </w:tcMar>
            <w:vAlign w:val="center"/>
            <w:hideMark/>
          </w:tcPr>
          <w:p w14:paraId="78A453F1" w14:textId="77777777" w:rsidR="003E0F58" w:rsidRPr="005C1C3F" w:rsidRDefault="003E0F58" w:rsidP="004D2249">
            <w:pPr>
              <w:jc w:val="left"/>
              <w:rPr>
                <w:rFonts w:eastAsia="Calibri" w:cs="Times New Roman"/>
                <w:sz w:val="20"/>
                <w:szCs w:val="20"/>
                <w:lang w:val="cs-CZ"/>
              </w:rPr>
            </w:pPr>
            <w:r w:rsidRPr="005C1C3F">
              <w:rPr>
                <w:rFonts w:eastAsia="Calibri" w:cs="Times New Roman"/>
                <w:b/>
                <w:bCs/>
                <w:color w:val="000000" w:themeColor="text1"/>
                <w:sz w:val="20"/>
                <w:szCs w:val="20"/>
                <w:lang w:val="cs-CZ"/>
              </w:rPr>
              <w:t>2016</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33530F9" w14:textId="77777777" w:rsidR="003E0F58" w:rsidRPr="005C1C3F" w:rsidRDefault="003E0F58" w:rsidP="004D2249">
            <w:pPr>
              <w:jc w:val="right"/>
              <w:rPr>
                <w:rFonts w:eastAsia="Calibri" w:cs="Times New Roman"/>
                <w:sz w:val="20"/>
                <w:szCs w:val="20"/>
                <w:lang w:val="cs-CZ"/>
              </w:rPr>
            </w:pPr>
            <w:r w:rsidRPr="005C1C3F">
              <w:rPr>
                <w:rFonts w:eastAsia="Calibri" w:cs="Times New Roman"/>
                <w:color w:val="000000" w:themeColor="text1"/>
                <w:sz w:val="20"/>
                <w:szCs w:val="20"/>
                <w:lang w:val="cs-CZ"/>
              </w:rPr>
              <w:t>845</w:t>
            </w:r>
          </w:p>
        </w:tc>
        <w:tc>
          <w:tcPr>
            <w:tcW w:w="12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AA49401" w14:textId="77777777" w:rsidR="003E0F58" w:rsidRPr="005C1C3F" w:rsidRDefault="003E0F58" w:rsidP="004D2249">
            <w:pPr>
              <w:jc w:val="right"/>
              <w:rPr>
                <w:rFonts w:eastAsia="Calibri" w:cs="Times New Roman"/>
                <w:sz w:val="20"/>
                <w:szCs w:val="20"/>
                <w:lang w:val="cs-CZ"/>
              </w:rPr>
            </w:pPr>
            <w:r w:rsidRPr="005C1C3F">
              <w:rPr>
                <w:rFonts w:eastAsia="Calibri" w:cs="Times New Roman"/>
                <w:color w:val="000000" w:themeColor="text1"/>
                <w:sz w:val="20"/>
                <w:szCs w:val="20"/>
                <w:lang w:val="cs-CZ"/>
              </w:rPr>
              <w:t>925</w:t>
            </w:r>
          </w:p>
        </w:tc>
        <w:tc>
          <w:tcPr>
            <w:tcW w:w="14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6CEB225" w14:textId="77777777" w:rsidR="003E0F58" w:rsidRPr="005C1C3F" w:rsidRDefault="003E0F58" w:rsidP="004D2249">
            <w:pPr>
              <w:jc w:val="right"/>
              <w:rPr>
                <w:rFonts w:eastAsia="Calibri" w:cs="Times New Roman"/>
                <w:sz w:val="20"/>
                <w:szCs w:val="20"/>
                <w:lang w:val="cs-CZ"/>
              </w:rPr>
            </w:pPr>
            <w:r w:rsidRPr="005C1C3F">
              <w:rPr>
                <w:rFonts w:eastAsia="Calibri" w:cs="Times New Roman"/>
                <w:color w:val="000000" w:themeColor="text1"/>
                <w:sz w:val="20"/>
                <w:szCs w:val="20"/>
                <w:lang w:val="cs-CZ"/>
              </w:rPr>
              <w:t>6323,15</w:t>
            </w:r>
          </w:p>
        </w:tc>
        <w:tc>
          <w:tcPr>
            <w:tcW w:w="16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2950FBB" w14:textId="77777777" w:rsidR="003E0F58" w:rsidRPr="005C1C3F" w:rsidRDefault="003E0F58" w:rsidP="004D2249">
            <w:pPr>
              <w:jc w:val="right"/>
              <w:rPr>
                <w:rFonts w:eastAsia="Calibri" w:cs="Times New Roman"/>
                <w:sz w:val="20"/>
                <w:szCs w:val="20"/>
                <w:lang w:val="cs-CZ"/>
              </w:rPr>
            </w:pPr>
            <w:r w:rsidRPr="005C1C3F">
              <w:rPr>
                <w:rFonts w:eastAsia="Calibri" w:cs="Times New Roman"/>
                <w:color w:val="000000" w:themeColor="text1"/>
                <w:sz w:val="20"/>
                <w:szCs w:val="20"/>
                <w:lang w:val="cs-CZ"/>
              </w:rPr>
              <w:t>54 977 987,29</w:t>
            </w:r>
          </w:p>
        </w:tc>
        <w:tc>
          <w:tcPr>
            <w:tcW w:w="16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B894E0D" w14:textId="77777777" w:rsidR="003E0F58" w:rsidRPr="005C1C3F" w:rsidRDefault="003E0F58" w:rsidP="004D2249">
            <w:pPr>
              <w:jc w:val="right"/>
              <w:rPr>
                <w:rFonts w:eastAsia="Calibri" w:cs="Times New Roman"/>
                <w:sz w:val="20"/>
                <w:szCs w:val="20"/>
                <w:lang w:val="cs-CZ"/>
              </w:rPr>
            </w:pPr>
            <w:r w:rsidRPr="005C1C3F">
              <w:rPr>
                <w:rFonts w:eastAsia="Calibri" w:cs="Times New Roman"/>
                <w:color w:val="000000" w:themeColor="text1"/>
                <w:sz w:val="20"/>
                <w:szCs w:val="20"/>
                <w:lang w:val="cs-CZ"/>
              </w:rPr>
              <w:t>2 046 018,31</w:t>
            </w:r>
          </w:p>
        </w:tc>
        <w:tc>
          <w:tcPr>
            <w:tcW w:w="1560" w:type="dxa"/>
            <w:noWrap/>
            <w:tcMar>
              <w:top w:w="0" w:type="dxa"/>
              <w:left w:w="70" w:type="dxa"/>
              <w:bottom w:w="0" w:type="dxa"/>
              <w:right w:w="70" w:type="dxa"/>
            </w:tcMar>
            <w:vAlign w:val="bottom"/>
            <w:hideMark/>
          </w:tcPr>
          <w:p w14:paraId="1D842FC0" w14:textId="77777777" w:rsidR="003E0F58" w:rsidRPr="005C1C3F" w:rsidRDefault="003E0F58" w:rsidP="004D2249">
            <w:pPr>
              <w:jc w:val="left"/>
              <w:rPr>
                <w:rFonts w:eastAsia="Calibri" w:cs="Times New Roman"/>
                <w:sz w:val="20"/>
                <w:szCs w:val="20"/>
                <w:lang w:val="cs-CZ"/>
              </w:rPr>
            </w:pPr>
          </w:p>
        </w:tc>
        <w:tc>
          <w:tcPr>
            <w:tcW w:w="1300" w:type="dxa"/>
            <w:noWrap/>
            <w:tcMar>
              <w:top w:w="0" w:type="dxa"/>
              <w:left w:w="70" w:type="dxa"/>
              <w:bottom w:w="0" w:type="dxa"/>
              <w:right w:w="70" w:type="dxa"/>
            </w:tcMar>
            <w:vAlign w:val="bottom"/>
            <w:hideMark/>
          </w:tcPr>
          <w:p w14:paraId="7328A938" w14:textId="77777777" w:rsidR="003E0F58" w:rsidRPr="005C1C3F" w:rsidRDefault="003E0F58" w:rsidP="004D2249">
            <w:pPr>
              <w:jc w:val="left"/>
              <w:rPr>
                <w:rFonts w:cs="Times New Roman"/>
                <w:sz w:val="20"/>
                <w:szCs w:val="20"/>
                <w:lang w:val="cs-CZ"/>
              </w:rPr>
            </w:pPr>
          </w:p>
        </w:tc>
        <w:tc>
          <w:tcPr>
            <w:tcW w:w="960" w:type="dxa"/>
            <w:noWrap/>
            <w:tcMar>
              <w:top w:w="0" w:type="dxa"/>
              <w:left w:w="70" w:type="dxa"/>
              <w:bottom w:w="0" w:type="dxa"/>
              <w:right w:w="70" w:type="dxa"/>
            </w:tcMar>
            <w:vAlign w:val="bottom"/>
            <w:hideMark/>
          </w:tcPr>
          <w:p w14:paraId="79F0CCB1" w14:textId="77777777" w:rsidR="003E0F58" w:rsidRPr="005C1C3F" w:rsidRDefault="003E0F58" w:rsidP="004D2249">
            <w:pPr>
              <w:jc w:val="left"/>
              <w:rPr>
                <w:rFonts w:cs="Times New Roman"/>
                <w:sz w:val="20"/>
                <w:szCs w:val="20"/>
                <w:lang w:val="cs-CZ"/>
              </w:rPr>
            </w:pPr>
          </w:p>
        </w:tc>
        <w:tc>
          <w:tcPr>
            <w:tcW w:w="1520" w:type="dxa"/>
            <w:noWrap/>
            <w:tcMar>
              <w:top w:w="0" w:type="dxa"/>
              <w:left w:w="70" w:type="dxa"/>
              <w:bottom w:w="0" w:type="dxa"/>
              <w:right w:w="70" w:type="dxa"/>
            </w:tcMar>
            <w:vAlign w:val="bottom"/>
            <w:hideMark/>
          </w:tcPr>
          <w:p w14:paraId="25E98C2D" w14:textId="77777777" w:rsidR="003E0F58" w:rsidRPr="005C1C3F" w:rsidRDefault="003E0F58" w:rsidP="004D2249">
            <w:pPr>
              <w:jc w:val="left"/>
              <w:rPr>
                <w:rFonts w:cs="Times New Roman"/>
                <w:sz w:val="20"/>
                <w:szCs w:val="20"/>
                <w:lang w:val="cs-CZ"/>
              </w:rPr>
            </w:pPr>
          </w:p>
        </w:tc>
        <w:tc>
          <w:tcPr>
            <w:tcW w:w="1260" w:type="dxa"/>
            <w:noWrap/>
            <w:tcMar>
              <w:top w:w="0" w:type="dxa"/>
              <w:left w:w="70" w:type="dxa"/>
              <w:bottom w:w="0" w:type="dxa"/>
              <w:right w:w="70" w:type="dxa"/>
            </w:tcMar>
            <w:vAlign w:val="bottom"/>
            <w:hideMark/>
          </w:tcPr>
          <w:p w14:paraId="0BB36727" w14:textId="77777777" w:rsidR="003E0F58" w:rsidRPr="005C1C3F" w:rsidRDefault="003E0F58" w:rsidP="004D2249">
            <w:pPr>
              <w:jc w:val="left"/>
              <w:rPr>
                <w:rFonts w:cs="Times New Roman"/>
                <w:sz w:val="20"/>
                <w:szCs w:val="20"/>
                <w:lang w:val="cs-CZ"/>
              </w:rPr>
            </w:pPr>
          </w:p>
        </w:tc>
        <w:tc>
          <w:tcPr>
            <w:tcW w:w="1300" w:type="dxa"/>
            <w:noWrap/>
            <w:tcMar>
              <w:top w:w="0" w:type="dxa"/>
              <w:left w:w="70" w:type="dxa"/>
              <w:bottom w:w="0" w:type="dxa"/>
              <w:right w:w="70" w:type="dxa"/>
            </w:tcMar>
            <w:vAlign w:val="bottom"/>
            <w:hideMark/>
          </w:tcPr>
          <w:p w14:paraId="7C88FD9C" w14:textId="77777777" w:rsidR="003E0F58" w:rsidRPr="005C1C3F" w:rsidRDefault="003E0F58" w:rsidP="004D2249">
            <w:pPr>
              <w:jc w:val="left"/>
              <w:rPr>
                <w:rFonts w:cs="Times New Roman"/>
                <w:sz w:val="20"/>
                <w:szCs w:val="20"/>
                <w:lang w:val="cs-CZ"/>
              </w:rPr>
            </w:pPr>
          </w:p>
        </w:tc>
        <w:tc>
          <w:tcPr>
            <w:tcW w:w="1180" w:type="dxa"/>
            <w:noWrap/>
            <w:tcMar>
              <w:top w:w="0" w:type="dxa"/>
              <w:left w:w="70" w:type="dxa"/>
              <w:bottom w:w="0" w:type="dxa"/>
              <w:right w:w="70" w:type="dxa"/>
            </w:tcMar>
            <w:vAlign w:val="bottom"/>
            <w:hideMark/>
          </w:tcPr>
          <w:p w14:paraId="2E763D96" w14:textId="77777777" w:rsidR="003E0F58" w:rsidRPr="005C1C3F" w:rsidRDefault="003E0F58" w:rsidP="004D2249">
            <w:pPr>
              <w:jc w:val="left"/>
              <w:rPr>
                <w:rFonts w:cs="Times New Roman"/>
                <w:sz w:val="20"/>
                <w:szCs w:val="20"/>
                <w:lang w:val="cs-CZ"/>
              </w:rPr>
            </w:pPr>
          </w:p>
        </w:tc>
      </w:tr>
      <w:tr w:rsidR="003E0F58" w:rsidRPr="005C1C3F" w14:paraId="45C91692" w14:textId="77777777" w:rsidTr="004D2249">
        <w:trPr>
          <w:trHeight w:val="300"/>
        </w:trPr>
        <w:tc>
          <w:tcPr>
            <w:tcW w:w="2800" w:type="dxa"/>
            <w:tcBorders>
              <w:top w:val="nil"/>
              <w:left w:val="single" w:sz="8" w:space="0" w:color="auto"/>
              <w:bottom w:val="single" w:sz="8" w:space="0" w:color="auto"/>
              <w:right w:val="single" w:sz="8" w:space="0" w:color="auto"/>
            </w:tcBorders>
            <w:shd w:val="clear" w:color="auto" w:fill="C6C4C4"/>
            <w:tcMar>
              <w:top w:w="0" w:type="dxa"/>
              <w:left w:w="70" w:type="dxa"/>
              <w:bottom w:w="0" w:type="dxa"/>
              <w:right w:w="70" w:type="dxa"/>
            </w:tcMar>
            <w:vAlign w:val="center"/>
            <w:hideMark/>
          </w:tcPr>
          <w:p w14:paraId="7E45F78C" w14:textId="77777777" w:rsidR="003E0F58" w:rsidRPr="005C1C3F" w:rsidRDefault="003E0F58" w:rsidP="004D2249">
            <w:pPr>
              <w:jc w:val="left"/>
              <w:rPr>
                <w:rFonts w:eastAsia="Calibri" w:cs="Times New Roman"/>
                <w:sz w:val="20"/>
                <w:szCs w:val="20"/>
                <w:lang w:val="cs-CZ"/>
              </w:rPr>
            </w:pPr>
            <w:r w:rsidRPr="005C1C3F">
              <w:rPr>
                <w:rFonts w:eastAsia="Calibri" w:cs="Times New Roman"/>
                <w:b/>
                <w:bCs/>
                <w:color w:val="000000" w:themeColor="text1"/>
                <w:sz w:val="20"/>
                <w:szCs w:val="20"/>
                <w:lang w:val="cs-CZ"/>
              </w:rPr>
              <w:t>2017</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D36B59C" w14:textId="77777777" w:rsidR="003E0F58" w:rsidRPr="005C1C3F" w:rsidRDefault="003E0F58" w:rsidP="004D2249">
            <w:pPr>
              <w:jc w:val="right"/>
              <w:rPr>
                <w:rFonts w:eastAsia="Calibri" w:cs="Times New Roman"/>
                <w:sz w:val="20"/>
                <w:szCs w:val="20"/>
                <w:lang w:val="cs-CZ"/>
              </w:rPr>
            </w:pPr>
            <w:r w:rsidRPr="005C1C3F">
              <w:rPr>
                <w:rFonts w:eastAsia="Calibri" w:cs="Times New Roman"/>
                <w:color w:val="000000" w:themeColor="text1"/>
                <w:sz w:val="20"/>
                <w:szCs w:val="20"/>
                <w:lang w:val="cs-CZ"/>
              </w:rPr>
              <w:t>1141</w:t>
            </w:r>
          </w:p>
        </w:tc>
        <w:tc>
          <w:tcPr>
            <w:tcW w:w="12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6E21657" w14:textId="77777777" w:rsidR="003E0F58" w:rsidRPr="005C1C3F" w:rsidRDefault="003E0F58" w:rsidP="004D2249">
            <w:pPr>
              <w:jc w:val="right"/>
              <w:rPr>
                <w:rFonts w:eastAsia="Calibri" w:cs="Times New Roman"/>
                <w:sz w:val="20"/>
                <w:szCs w:val="20"/>
                <w:lang w:val="cs-CZ"/>
              </w:rPr>
            </w:pPr>
            <w:r w:rsidRPr="005C1C3F">
              <w:rPr>
                <w:rFonts w:eastAsia="Calibri" w:cs="Times New Roman"/>
                <w:color w:val="000000" w:themeColor="text1"/>
                <w:sz w:val="20"/>
                <w:szCs w:val="20"/>
                <w:lang w:val="cs-CZ"/>
              </w:rPr>
              <w:t>1335</w:t>
            </w:r>
          </w:p>
        </w:tc>
        <w:tc>
          <w:tcPr>
            <w:tcW w:w="14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A7FB3F6" w14:textId="77777777" w:rsidR="003E0F58" w:rsidRPr="005C1C3F" w:rsidRDefault="003E0F58" w:rsidP="004D2249">
            <w:pPr>
              <w:jc w:val="right"/>
              <w:rPr>
                <w:rFonts w:eastAsia="Calibri" w:cs="Times New Roman"/>
                <w:sz w:val="20"/>
                <w:szCs w:val="20"/>
                <w:lang w:val="cs-CZ"/>
              </w:rPr>
            </w:pPr>
            <w:r w:rsidRPr="005C1C3F">
              <w:rPr>
                <w:rFonts w:eastAsia="Calibri" w:cs="Times New Roman"/>
                <w:color w:val="000000" w:themeColor="text1"/>
                <w:sz w:val="20"/>
                <w:szCs w:val="20"/>
                <w:lang w:val="cs-CZ"/>
              </w:rPr>
              <w:t>9057,33</w:t>
            </w:r>
          </w:p>
        </w:tc>
        <w:tc>
          <w:tcPr>
            <w:tcW w:w="16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027D297" w14:textId="77777777" w:rsidR="003E0F58" w:rsidRPr="005C1C3F" w:rsidRDefault="003E0F58" w:rsidP="004D2249">
            <w:pPr>
              <w:jc w:val="right"/>
              <w:rPr>
                <w:rFonts w:eastAsia="Calibri" w:cs="Times New Roman"/>
                <w:sz w:val="20"/>
                <w:szCs w:val="20"/>
                <w:lang w:val="cs-CZ"/>
              </w:rPr>
            </w:pPr>
            <w:r w:rsidRPr="005C1C3F">
              <w:rPr>
                <w:rFonts w:eastAsia="Calibri" w:cs="Times New Roman"/>
                <w:color w:val="000000" w:themeColor="text1"/>
                <w:sz w:val="20"/>
                <w:szCs w:val="20"/>
                <w:lang w:val="cs-CZ"/>
              </w:rPr>
              <w:t>78 226 030,86</w:t>
            </w:r>
          </w:p>
        </w:tc>
        <w:tc>
          <w:tcPr>
            <w:tcW w:w="16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2C6A5D2" w14:textId="77777777" w:rsidR="003E0F58" w:rsidRPr="005C1C3F" w:rsidRDefault="003E0F58" w:rsidP="004D2249">
            <w:pPr>
              <w:jc w:val="right"/>
              <w:rPr>
                <w:rFonts w:eastAsia="Calibri" w:cs="Times New Roman"/>
                <w:sz w:val="20"/>
                <w:szCs w:val="20"/>
                <w:lang w:val="cs-CZ"/>
              </w:rPr>
            </w:pPr>
            <w:r w:rsidRPr="005C1C3F">
              <w:rPr>
                <w:rFonts w:eastAsia="Calibri" w:cs="Times New Roman"/>
                <w:color w:val="000000" w:themeColor="text1"/>
                <w:sz w:val="20"/>
                <w:szCs w:val="20"/>
                <w:lang w:val="cs-CZ"/>
              </w:rPr>
              <w:t>3 068 487,12</w:t>
            </w:r>
          </w:p>
        </w:tc>
        <w:tc>
          <w:tcPr>
            <w:tcW w:w="1560" w:type="dxa"/>
            <w:noWrap/>
            <w:tcMar>
              <w:top w:w="0" w:type="dxa"/>
              <w:left w:w="70" w:type="dxa"/>
              <w:bottom w:w="0" w:type="dxa"/>
              <w:right w:w="70" w:type="dxa"/>
            </w:tcMar>
            <w:vAlign w:val="bottom"/>
            <w:hideMark/>
          </w:tcPr>
          <w:p w14:paraId="79D4679D" w14:textId="77777777" w:rsidR="003E0F58" w:rsidRPr="005C1C3F" w:rsidRDefault="003E0F58" w:rsidP="004D2249">
            <w:pPr>
              <w:jc w:val="left"/>
              <w:rPr>
                <w:rFonts w:eastAsia="Calibri" w:cs="Times New Roman"/>
                <w:sz w:val="20"/>
                <w:szCs w:val="20"/>
                <w:lang w:val="cs-CZ"/>
              </w:rPr>
            </w:pPr>
          </w:p>
        </w:tc>
        <w:tc>
          <w:tcPr>
            <w:tcW w:w="1300" w:type="dxa"/>
            <w:noWrap/>
            <w:tcMar>
              <w:top w:w="0" w:type="dxa"/>
              <w:left w:w="70" w:type="dxa"/>
              <w:bottom w:w="0" w:type="dxa"/>
              <w:right w:w="70" w:type="dxa"/>
            </w:tcMar>
            <w:vAlign w:val="bottom"/>
            <w:hideMark/>
          </w:tcPr>
          <w:p w14:paraId="6497FBAD" w14:textId="77777777" w:rsidR="003E0F58" w:rsidRPr="005C1C3F" w:rsidRDefault="003E0F58" w:rsidP="004D2249">
            <w:pPr>
              <w:jc w:val="left"/>
              <w:rPr>
                <w:rFonts w:cs="Times New Roman"/>
                <w:sz w:val="20"/>
                <w:szCs w:val="20"/>
                <w:lang w:val="cs-CZ"/>
              </w:rPr>
            </w:pPr>
          </w:p>
        </w:tc>
        <w:tc>
          <w:tcPr>
            <w:tcW w:w="960" w:type="dxa"/>
            <w:noWrap/>
            <w:tcMar>
              <w:top w:w="0" w:type="dxa"/>
              <w:left w:w="70" w:type="dxa"/>
              <w:bottom w:w="0" w:type="dxa"/>
              <w:right w:w="70" w:type="dxa"/>
            </w:tcMar>
            <w:vAlign w:val="bottom"/>
            <w:hideMark/>
          </w:tcPr>
          <w:p w14:paraId="359F0F9D" w14:textId="77777777" w:rsidR="003E0F58" w:rsidRPr="005C1C3F" w:rsidRDefault="003E0F58" w:rsidP="004D2249">
            <w:pPr>
              <w:jc w:val="left"/>
              <w:rPr>
                <w:rFonts w:cs="Times New Roman"/>
                <w:sz w:val="20"/>
                <w:szCs w:val="20"/>
                <w:lang w:val="cs-CZ"/>
              </w:rPr>
            </w:pPr>
          </w:p>
        </w:tc>
        <w:tc>
          <w:tcPr>
            <w:tcW w:w="1520" w:type="dxa"/>
            <w:noWrap/>
            <w:tcMar>
              <w:top w:w="0" w:type="dxa"/>
              <w:left w:w="70" w:type="dxa"/>
              <w:bottom w:w="0" w:type="dxa"/>
              <w:right w:w="70" w:type="dxa"/>
            </w:tcMar>
            <w:vAlign w:val="bottom"/>
            <w:hideMark/>
          </w:tcPr>
          <w:p w14:paraId="3226C5DD" w14:textId="77777777" w:rsidR="003E0F58" w:rsidRPr="005C1C3F" w:rsidRDefault="003E0F58" w:rsidP="004D2249">
            <w:pPr>
              <w:jc w:val="left"/>
              <w:rPr>
                <w:rFonts w:cs="Times New Roman"/>
                <w:sz w:val="20"/>
                <w:szCs w:val="20"/>
                <w:lang w:val="cs-CZ"/>
              </w:rPr>
            </w:pPr>
          </w:p>
        </w:tc>
        <w:tc>
          <w:tcPr>
            <w:tcW w:w="1260" w:type="dxa"/>
            <w:noWrap/>
            <w:tcMar>
              <w:top w:w="0" w:type="dxa"/>
              <w:left w:w="70" w:type="dxa"/>
              <w:bottom w:w="0" w:type="dxa"/>
              <w:right w:w="70" w:type="dxa"/>
            </w:tcMar>
            <w:vAlign w:val="bottom"/>
            <w:hideMark/>
          </w:tcPr>
          <w:p w14:paraId="1481823C" w14:textId="77777777" w:rsidR="003E0F58" w:rsidRPr="005C1C3F" w:rsidRDefault="003E0F58" w:rsidP="004D2249">
            <w:pPr>
              <w:jc w:val="left"/>
              <w:rPr>
                <w:rFonts w:cs="Times New Roman"/>
                <w:sz w:val="20"/>
                <w:szCs w:val="20"/>
                <w:lang w:val="cs-CZ"/>
              </w:rPr>
            </w:pPr>
          </w:p>
        </w:tc>
        <w:tc>
          <w:tcPr>
            <w:tcW w:w="1300" w:type="dxa"/>
            <w:noWrap/>
            <w:tcMar>
              <w:top w:w="0" w:type="dxa"/>
              <w:left w:w="70" w:type="dxa"/>
              <w:bottom w:w="0" w:type="dxa"/>
              <w:right w:w="70" w:type="dxa"/>
            </w:tcMar>
            <w:vAlign w:val="bottom"/>
            <w:hideMark/>
          </w:tcPr>
          <w:p w14:paraId="476DEE32" w14:textId="77777777" w:rsidR="003E0F58" w:rsidRPr="005C1C3F" w:rsidRDefault="003E0F58" w:rsidP="004D2249">
            <w:pPr>
              <w:jc w:val="left"/>
              <w:rPr>
                <w:rFonts w:cs="Times New Roman"/>
                <w:sz w:val="20"/>
                <w:szCs w:val="20"/>
                <w:lang w:val="cs-CZ"/>
              </w:rPr>
            </w:pPr>
          </w:p>
        </w:tc>
        <w:tc>
          <w:tcPr>
            <w:tcW w:w="1180" w:type="dxa"/>
            <w:noWrap/>
            <w:tcMar>
              <w:top w:w="0" w:type="dxa"/>
              <w:left w:w="70" w:type="dxa"/>
              <w:bottom w:w="0" w:type="dxa"/>
              <w:right w:w="70" w:type="dxa"/>
            </w:tcMar>
            <w:vAlign w:val="bottom"/>
            <w:hideMark/>
          </w:tcPr>
          <w:p w14:paraId="5F57C90E" w14:textId="77777777" w:rsidR="003E0F58" w:rsidRPr="005C1C3F" w:rsidRDefault="003E0F58" w:rsidP="004D2249">
            <w:pPr>
              <w:jc w:val="left"/>
              <w:rPr>
                <w:rFonts w:cs="Times New Roman"/>
                <w:sz w:val="20"/>
                <w:szCs w:val="20"/>
                <w:lang w:val="cs-CZ"/>
              </w:rPr>
            </w:pPr>
          </w:p>
        </w:tc>
      </w:tr>
      <w:tr w:rsidR="003E0F58" w:rsidRPr="005C1C3F" w14:paraId="3C8CC9D8" w14:textId="77777777" w:rsidTr="004D2249">
        <w:trPr>
          <w:trHeight w:val="300"/>
        </w:trPr>
        <w:tc>
          <w:tcPr>
            <w:tcW w:w="9800" w:type="dxa"/>
            <w:gridSpan w:val="6"/>
            <w:tcMar>
              <w:top w:w="0" w:type="dxa"/>
              <w:left w:w="70" w:type="dxa"/>
              <w:bottom w:w="0" w:type="dxa"/>
              <w:right w:w="70" w:type="dxa"/>
            </w:tcMar>
            <w:vAlign w:val="center"/>
            <w:hideMark/>
          </w:tcPr>
          <w:p w14:paraId="4E73BBE0" w14:textId="77777777" w:rsidR="003E0F58" w:rsidRPr="005C1C3F" w:rsidRDefault="003E0F58" w:rsidP="005C1C3F">
            <w:pPr>
              <w:pStyle w:val="UZEIZdroj"/>
            </w:pPr>
            <w:r w:rsidRPr="005C1C3F">
              <w:t>*v důsledku víceletých závazků nelze plochy v jednotlivých letech sčítat: Celkem bylo zatravněno 9057,33 ha.</w:t>
            </w:r>
          </w:p>
        </w:tc>
        <w:tc>
          <w:tcPr>
            <w:tcW w:w="1560" w:type="dxa"/>
            <w:noWrap/>
            <w:tcMar>
              <w:top w:w="0" w:type="dxa"/>
              <w:left w:w="70" w:type="dxa"/>
              <w:bottom w:w="0" w:type="dxa"/>
              <w:right w:w="70" w:type="dxa"/>
            </w:tcMar>
            <w:vAlign w:val="bottom"/>
            <w:hideMark/>
          </w:tcPr>
          <w:p w14:paraId="48FB5C3D" w14:textId="77777777" w:rsidR="003E0F58" w:rsidRPr="005C1C3F" w:rsidRDefault="003E0F58" w:rsidP="005C1C3F">
            <w:pPr>
              <w:pStyle w:val="UZEIZdroj"/>
            </w:pPr>
          </w:p>
        </w:tc>
        <w:tc>
          <w:tcPr>
            <w:tcW w:w="1300" w:type="dxa"/>
            <w:noWrap/>
            <w:tcMar>
              <w:top w:w="0" w:type="dxa"/>
              <w:left w:w="70" w:type="dxa"/>
              <w:bottom w:w="0" w:type="dxa"/>
              <w:right w:w="70" w:type="dxa"/>
            </w:tcMar>
            <w:vAlign w:val="bottom"/>
            <w:hideMark/>
          </w:tcPr>
          <w:p w14:paraId="6E0E5E28" w14:textId="77777777" w:rsidR="003E0F58" w:rsidRPr="005C1C3F" w:rsidRDefault="003E0F58" w:rsidP="005C1C3F">
            <w:pPr>
              <w:pStyle w:val="UZEIZdroj"/>
            </w:pPr>
          </w:p>
        </w:tc>
        <w:tc>
          <w:tcPr>
            <w:tcW w:w="960" w:type="dxa"/>
            <w:noWrap/>
            <w:tcMar>
              <w:top w:w="0" w:type="dxa"/>
              <w:left w:w="70" w:type="dxa"/>
              <w:bottom w:w="0" w:type="dxa"/>
              <w:right w:w="70" w:type="dxa"/>
            </w:tcMar>
            <w:vAlign w:val="bottom"/>
            <w:hideMark/>
          </w:tcPr>
          <w:p w14:paraId="383F281B" w14:textId="77777777" w:rsidR="003E0F58" w:rsidRPr="005C1C3F" w:rsidRDefault="003E0F58" w:rsidP="005C1C3F">
            <w:pPr>
              <w:pStyle w:val="UZEIZdroj"/>
            </w:pPr>
          </w:p>
        </w:tc>
        <w:tc>
          <w:tcPr>
            <w:tcW w:w="1520" w:type="dxa"/>
            <w:noWrap/>
            <w:tcMar>
              <w:top w:w="0" w:type="dxa"/>
              <w:left w:w="70" w:type="dxa"/>
              <w:bottom w:w="0" w:type="dxa"/>
              <w:right w:w="70" w:type="dxa"/>
            </w:tcMar>
            <w:vAlign w:val="bottom"/>
            <w:hideMark/>
          </w:tcPr>
          <w:p w14:paraId="69F26C26" w14:textId="77777777" w:rsidR="003E0F58" w:rsidRPr="005C1C3F" w:rsidRDefault="003E0F58" w:rsidP="005C1C3F">
            <w:pPr>
              <w:pStyle w:val="UZEIZdroj"/>
            </w:pPr>
          </w:p>
        </w:tc>
        <w:tc>
          <w:tcPr>
            <w:tcW w:w="1260" w:type="dxa"/>
            <w:noWrap/>
            <w:tcMar>
              <w:top w:w="0" w:type="dxa"/>
              <w:left w:w="70" w:type="dxa"/>
              <w:bottom w:w="0" w:type="dxa"/>
              <w:right w:w="70" w:type="dxa"/>
            </w:tcMar>
            <w:vAlign w:val="bottom"/>
            <w:hideMark/>
          </w:tcPr>
          <w:p w14:paraId="142BCD91" w14:textId="77777777" w:rsidR="003E0F58" w:rsidRPr="005C1C3F" w:rsidRDefault="003E0F58" w:rsidP="005C1C3F">
            <w:pPr>
              <w:pStyle w:val="UZEIZdroj"/>
            </w:pPr>
          </w:p>
        </w:tc>
        <w:tc>
          <w:tcPr>
            <w:tcW w:w="1300" w:type="dxa"/>
            <w:noWrap/>
            <w:tcMar>
              <w:top w:w="0" w:type="dxa"/>
              <w:left w:w="70" w:type="dxa"/>
              <w:bottom w:w="0" w:type="dxa"/>
              <w:right w:w="70" w:type="dxa"/>
            </w:tcMar>
            <w:vAlign w:val="bottom"/>
            <w:hideMark/>
          </w:tcPr>
          <w:p w14:paraId="6F79EC65" w14:textId="77777777" w:rsidR="003E0F58" w:rsidRPr="005C1C3F" w:rsidRDefault="003E0F58" w:rsidP="005C1C3F">
            <w:pPr>
              <w:pStyle w:val="UZEIZdroj"/>
            </w:pPr>
          </w:p>
        </w:tc>
        <w:tc>
          <w:tcPr>
            <w:tcW w:w="1180" w:type="dxa"/>
            <w:noWrap/>
            <w:tcMar>
              <w:top w:w="0" w:type="dxa"/>
              <w:left w:w="70" w:type="dxa"/>
              <w:bottom w:w="0" w:type="dxa"/>
              <w:right w:w="70" w:type="dxa"/>
            </w:tcMar>
            <w:vAlign w:val="bottom"/>
            <w:hideMark/>
          </w:tcPr>
          <w:p w14:paraId="336ECBCA" w14:textId="77777777" w:rsidR="003E0F58" w:rsidRPr="005C1C3F" w:rsidRDefault="003E0F58" w:rsidP="005C1C3F">
            <w:pPr>
              <w:pStyle w:val="UZEIZdroj"/>
            </w:pPr>
          </w:p>
        </w:tc>
      </w:tr>
    </w:tbl>
    <w:p w14:paraId="0028258F" w14:textId="3DA114A0" w:rsidR="003E0F58" w:rsidRPr="007C705C" w:rsidRDefault="003E0F58" w:rsidP="005C1C3F">
      <w:pPr>
        <w:pStyle w:val="UZEIZdroj"/>
        <w:rPr>
          <w:rFonts w:eastAsiaTheme="minorEastAsia"/>
        </w:rPr>
      </w:pPr>
      <w:r w:rsidRPr="007C705C">
        <w:rPr>
          <w:rFonts w:eastAsiaTheme="minorEastAsia"/>
        </w:rPr>
        <w:t>Stav k 29.</w:t>
      </w:r>
      <w:r w:rsidR="00F075AF">
        <w:rPr>
          <w:rFonts w:eastAsiaTheme="minorEastAsia"/>
        </w:rPr>
        <w:t xml:space="preserve"> </w:t>
      </w:r>
      <w:r w:rsidRPr="007C705C">
        <w:rPr>
          <w:rFonts w:eastAsiaTheme="minorEastAsia"/>
        </w:rPr>
        <w:t>6.</w:t>
      </w:r>
      <w:r w:rsidR="00F075AF">
        <w:rPr>
          <w:rFonts w:eastAsiaTheme="minorEastAsia"/>
        </w:rPr>
        <w:t xml:space="preserve"> </w:t>
      </w:r>
      <w:r w:rsidRPr="007C705C">
        <w:rPr>
          <w:rFonts w:eastAsiaTheme="minorEastAsia"/>
        </w:rPr>
        <w:t>2018</w:t>
      </w:r>
    </w:p>
    <w:p w14:paraId="666FE38F" w14:textId="392F06A7" w:rsidR="003E0F58" w:rsidRPr="005C1C3F" w:rsidRDefault="003E0F58" w:rsidP="005C1C3F">
      <w:pPr>
        <w:pStyle w:val="UZEIZdroj"/>
        <w:rPr>
          <w:rFonts w:eastAsiaTheme="minorEastAsia"/>
        </w:rPr>
      </w:pPr>
      <w:r w:rsidRPr="007C705C">
        <w:rPr>
          <w:rFonts w:eastAsiaTheme="minorEastAsia"/>
        </w:rPr>
        <w:t>Zdroj: MZe (odbor Řídící orgán PRV)</w:t>
      </w:r>
    </w:p>
    <w:p w14:paraId="6D79E440" w14:textId="0ABAAA69" w:rsidR="003E0F58" w:rsidRPr="007C705C" w:rsidRDefault="005C1C3F" w:rsidP="005C1C3F">
      <w:pPr>
        <w:pStyle w:val="UZEITaB"/>
      </w:pPr>
      <w:bookmarkStart w:id="440" w:name="_Toc77245859"/>
      <w:r>
        <w:t xml:space="preserve"> </w:t>
      </w:r>
      <w:bookmarkStart w:id="441" w:name="_Toc94181626"/>
      <w:r w:rsidR="003E0F58" w:rsidRPr="007C705C">
        <w:t>Přehled o čerpání podpor přispívajících k odolnosti zemědělských podniků vůči klimatickým změnám v rámci opatření 10 PRV (2014-2020) - Zatravňování orné půdy - podané žádosti</w:t>
      </w:r>
      <w:bookmarkEnd w:id="440"/>
      <w:bookmarkEnd w:id="441"/>
    </w:p>
    <w:tbl>
      <w:tblPr>
        <w:tblW w:w="0" w:type="auto"/>
        <w:tblCellMar>
          <w:left w:w="0" w:type="dxa"/>
          <w:right w:w="0" w:type="dxa"/>
        </w:tblCellMar>
        <w:tblLook w:val="04A0" w:firstRow="1" w:lastRow="0" w:firstColumn="1" w:lastColumn="0" w:noHBand="0" w:noVBand="1"/>
      </w:tblPr>
      <w:tblGrid>
        <w:gridCol w:w="764"/>
        <w:gridCol w:w="1405"/>
        <w:gridCol w:w="2100"/>
        <w:gridCol w:w="3290"/>
      </w:tblGrid>
      <w:tr w:rsidR="003E0F58" w:rsidRPr="005C1C3F" w14:paraId="402C2ABF" w14:textId="77777777" w:rsidTr="005C1C3F">
        <w:trPr>
          <w:trHeight w:val="300"/>
        </w:trPr>
        <w:tc>
          <w:tcPr>
            <w:tcW w:w="0" w:type="auto"/>
            <w:gridSpan w:val="3"/>
            <w:noWrap/>
            <w:tcMar>
              <w:top w:w="0" w:type="dxa"/>
              <w:left w:w="70" w:type="dxa"/>
              <w:bottom w:w="0" w:type="dxa"/>
              <w:right w:w="70" w:type="dxa"/>
            </w:tcMar>
            <w:vAlign w:val="bottom"/>
            <w:hideMark/>
          </w:tcPr>
          <w:p w14:paraId="78365C63" w14:textId="77777777" w:rsidR="003E0F58" w:rsidRPr="005C1C3F" w:rsidRDefault="003E0F58" w:rsidP="004D2249">
            <w:pPr>
              <w:jc w:val="left"/>
              <w:rPr>
                <w:rFonts w:eastAsia="Calibri" w:cs="Times New Roman"/>
                <w:b/>
                <w:bCs/>
                <w:color w:val="000000" w:themeColor="text1"/>
                <w:sz w:val="20"/>
                <w:szCs w:val="20"/>
                <w:lang w:val="cs-CZ"/>
              </w:rPr>
            </w:pPr>
            <w:r w:rsidRPr="005C1C3F">
              <w:rPr>
                <w:rFonts w:eastAsia="Calibri" w:cs="Times New Roman"/>
                <w:b/>
                <w:bCs/>
                <w:color w:val="000000" w:themeColor="text1"/>
                <w:sz w:val="20"/>
                <w:szCs w:val="20"/>
                <w:lang w:val="cs-CZ"/>
              </w:rPr>
              <w:t>10.1.5. Zatravňování orné půdy - podané žádosti</w:t>
            </w:r>
          </w:p>
        </w:tc>
        <w:tc>
          <w:tcPr>
            <w:tcW w:w="0" w:type="auto"/>
            <w:noWrap/>
            <w:tcMar>
              <w:top w:w="0" w:type="dxa"/>
              <w:left w:w="70" w:type="dxa"/>
              <w:bottom w:w="0" w:type="dxa"/>
              <w:right w:w="70" w:type="dxa"/>
            </w:tcMar>
            <w:vAlign w:val="bottom"/>
            <w:hideMark/>
          </w:tcPr>
          <w:p w14:paraId="58834CF5" w14:textId="77777777" w:rsidR="003E0F58" w:rsidRPr="005C1C3F" w:rsidRDefault="003E0F58" w:rsidP="004D2249">
            <w:pPr>
              <w:jc w:val="center"/>
              <w:rPr>
                <w:rFonts w:eastAsia="Calibri" w:cs="Times New Roman"/>
                <w:b/>
                <w:bCs/>
                <w:color w:val="000000"/>
                <w:sz w:val="20"/>
                <w:szCs w:val="20"/>
                <w:lang w:val="cs-CZ"/>
              </w:rPr>
            </w:pPr>
          </w:p>
        </w:tc>
      </w:tr>
      <w:tr w:rsidR="003E0F58" w:rsidRPr="005C1C3F" w14:paraId="0D1A115C" w14:textId="77777777" w:rsidTr="005C1C3F">
        <w:trPr>
          <w:trHeight w:val="600"/>
        </w:trPr>
        <w:tc>
          <w:tcPr>
            <w:tcW w:w="0" w:type="auto"/>
            <w:tcBorders>
              <w:top w:val="single" w:sz="8" w:space="0" w:color="auto"/>
              <w:left w:val="single" w:sz="8" w:space="0" w:color="auto"/>
              <w:bottom w:val="single" w:sz="8" w:space="0" w:color="auto"/>
              <w:right w:val="single" w:sz="8" w:space="0" w:color="auto"/>
            </w:tcBorders>
            <w:shd w:val="clear" w:color="auto" w:fill="C6C4C4"/>
            <w:tcMar>
              <w:top w:w="0" w:type="dxa"/>
              <w:left w:w="70" w:type="dxa"/>
              <w:bottom w:w="0" w:type="dxa"/>
              <w:right w:w="70" w:type="dxa"/>
            </w:tcMar>
            <w:vAlign w:val="center"/>
            <w:hideMark/>
          </w:tcPr>
          <w:p w14:paraId="7970AFC2" w14:textId="77777777" w:rsidR="003E0F58" w:rsidRPr="005C1C3F" w:rsidRDefault="003E0F58" w:rsidP="004D2249">
            <w:pPr>
              <w:jc w:val="left"/>
              <w:rPr>
                <w:rFonts w:eastAsia="Calibri" w:cs="Times New Roman"/>
                <w:b/>
                <w:bCs/>
                <w:color w:val="000000" w:themeColor="text1"/>
                <w:sz w:val="20"/>
                <w:szCs w:val="20"/>
                <w:lang w:val="cs-CZ"/>
              </w:rPr>
            </w:pPr>
            <w:r w:rsidRPr="005C1C3F">
              <w:rPr>
                <w:rFonts w:eastAsia="Calibri" w:cs="Times New Roman"/>
                <w:b/>
                <w:bCs/>
                <w:color w:val="000000" w:themeColor="text1"/>
                <w:sz w:val="20"/>
                <w:szCs w:val="20"/>
                <w:lang w:val="cs-CZ"/>
              </w:rPr>
              <w:t> </w:t>
            </w:r>
          </w:p>
        </w:tc>
        <w:tc>
          <w:tcPr>
            <w:tcW w:w="0" w:type="auto"/>
            <w:tcBorders>
              <w:top w:val="single" w:sz="8" w:space="0" w:color="auto"/>
              <w:left w:val="nil"/>
              <w:bottom w:val="single" w:sz="8" w:space="0" w:color="auto"/>
              <w:right w:val="single" w:sz="8" w:space="0" w:color="auto"/>
            </w:tcBorders>
            <w:shd w:val="clear" w:color="auto" w:fill="C6C4C4"/>
            <w:tcMar>
              <w:top w:w="0" w:type="dxa"/>
              <w:left w:w="70" w:type="dxa"/>
              <w:bottom w:w="0" w:type="dxa"/>
              <w:right w:w="70" w:type="dxa"/>
            </w:tcMar>
            <w:vAlign w:val="center"/>
            <w:hideMark/>
          </w:tcPr>
          <w:p w14:paraId="7313A587" w14:textId="77777777" w:rsidR="003E0F58" w:rsidRPr="005C1C3F" w:rsidRDefault="003E0F58" w:rsidP="004D2249">
            <w:pPr>
              <w:jc w:val="left"/>
              <w:rPr>
                <w:rFonts w:eastAsia="Calibri" w:cs="Times New Roman"/>
                <w:b/>
                <w:bCs/>
                <w:color w:val="000000" w:themeColor="text1"/>
                <w:sz w:val="20"/>
                <w:szCs w:val="20"/>
                <w:lang w:val="cs-CZ"/>
              </w:rPr>
            </w:pPr>
            <w:r w:rsidRPr="005C1C3F">
              <w:rPr>
                <w:rFonts w:eastAsia="Calibri" w:cs="Times New Roman"/>
                <w:b/>
                <w:bCs/>
                <w:color w:val="000000" w:themeColor="text1"/>
                <w:sz w:val="20"/>
                <w:szCs w:val="20"/>
                <w:lang w:val="cs-CZ"/>
              </w:rPr>
              <w:t>počet žádostí</w:t>
            </w:r>
          </w:p>
        </w:tc>
        <w:tc>
          <w:tcPr>
            <w:tcW w:w="0" w:type="auto"/>
            <w:tcBorders>
              <w:top w:val="single" w:sz="8" w:space="0" w:color="auto"/>
              <w:left w:val="nil"/>
              <w:bottom w:val="single" w:sz="8" w:space="0" w:color="auto"/>
              <w:right w:val="single" w:sz="8" w:space="0" w:color="auto"/>
            </w:tcBorders>
            <w:shd w:val="clear" w:color="auto" w:fill="C6C4C4"/>
            <w:tcMar>
              <w:top w:w="0" w:type="dxa"/>
              <w:left w:w="70" w:type="dxa"/>
              <w:bottom w:w="0" w:type="dxa"/>
              <w:right w:w="70" w:type="dxa"/>
            </w:tcMar>
            <w:vAlign w:val="center"/>
            <w:hideMark/>
          </w:tcPr>
          <w:p w14:paraId="53C21637" w14:textId="77777777" w:rsidR="003E0F58" w:rsidRPr="005C1C3F" w:rsidRDefault="003E0F58" w:rsidP="004D2249">
            <w:pPr>
              <w:jc w:val="left"/>
              <w:rPr>
                <w:rFonts w:eastAsia="Calibri" w:cs="Times New Roman"/>
                <w:b/>
                <w:bCs/>
                <w:color w:val="000000" w:themeColor="text1"/>
                <w:sz w:val="20"/>
                <w:szCs w:val="20"/>
                <w:lang w:val="cs-CZ"/>
              </w:rPr>
            </w:pPr>
            <w:r w:rsidRPr="005C1C3F">
              <w:rPr>
                <w:rFonts w:eastAsia="Calibri" w:cs="Times New Roman"/>
                <w:b/>
                <w:bCs/>
                <w:color w:val="000000" w:themeColor="text1"/>
                <w:sz w:val="20"/>
                <w:szCs w:val="20"/>
                <w:lang w:val="cs-CZ"/>
              </w:rPr>
              <w:t>zažádaná výměra (ha)</w:t>
            </w:r>
          </w:p>
        </w:tc>
        <w:tc>
          <w:tcPr>
            <w:tcW w:w="0" w:type="auto"/>
            <w:tcBorders>
              <w:top w:val="single" w:sz="8" w:space="0" w:color="auto"/>
              <w:left w:val="nil"/>
              <w:bottom w:val="single" w:sz="8" w:space="0" w:color="auto"/>
              <w:right w:val="single" w:sz="8" w:space="0" w:color="auto"/>
            </w:tcBorders>
            <w:shd w:val="clear" w:color="auto" w:fill="C6C4C4"/>
            <w:tcMar>
              <w:top w:w="0" w:type="dxa"/>
              <w:left w:w="70" w:type="dxa"/>
              <w:bottom w:w="0" w:type="dxa"/>
              <w:right w:w="70" w:type="dxa"/>
            </w:tcMar>
            <w:vAlign w:val="center"/>
            <w:hideMark/>
          </w:tcPr>
          <w:p w14:paraId="57DB24A7" w14:textId="77777777" w:rsidR="003E0F58" w:rsidRPr="005C1C3F" w:rsidRDefault="003E0F58" w:rsidP="004D2249">
            <w:pPr>
              <w:jc w:val="left"/>
              <w:rPr>
                <w:rFonts w:eastAsia="Calibri" w:cs="Times New Roman"/>
                <w:b/>
                <w:bCs/>
                <w:color w:val="000000" w:themeColor="text1"/>
                <w:sz w:val="20"/>
                <w:szCs w:val="20"/>
                <w:lang w:val="cs-CZ"/>
              </w:rPr>
            </w:pPr>
            <w:r w:rsidRPr="005C1C3F">
              <w:rPr>
                <w:rFonts w:eastAsia="Calibri" w:cs="Times New Roman"/>
                <w:b/>
                <w:bCs/>
                <w:color w:val="000000" w:themeColor="text1"/>
                <w:sz w:val="20"/>
                <w:szCs w:val="20"/>
                <w:lang w:val="cs-CZ"/>
              </w:rPr>
              <w:t>zažádané finanční prostředky (CZK)</w:t>
            </w:r>
          </w:p>
        </w:tc>
      </w:tr>
      <w:tr w:rsidR="003E0F58" w:rsidRPr="005C1C3F" w14:paraId="22196857" w14:textId="77777777" w:rsidTr="005C1C3F">
        <w:trPr>
          <w:trHeight w:val="300"/>
        </w:trPr>
        <w:tc>
          <w:tcPr>
            <w:tcW w:w="0" w:type="auto"/>
            <w:tcBorders>
              <w:top w:val="nil"/>
              <w:left w:val="single" w:sz="8" w:space="0" w:color="auto"/>
              <w:bottom w:val="single" w:sz="8" w:space="0" w:color="auto"/>
              <w:right w:val="single" w:sz="8" w:space="0" w:color="auto"/>
            </w:tcBorders>
            <w:shd w:val="clear" w:color="auto" w:fill="C6C4C4"/>
            <w:tcMar>
              <w:top w:w="0" w:type="dxa"/>
              <w:left w:w="70" w:type="dxa"/>
              <w:bottom w:w="0" w:type="dxa"/>
              <w:right w:w="70" w:type="dxa"/>
            </w:tcMar>
            <w:vAlign w:val="center"/>
            <w:hideMark/>
          </w:tcPr>
          <w:p w14:paraId="3C189F1C" w14:textId="77777777" w:rsidR="003E0F58" w:rsidRPr="005C1C3F" w:rsidRDefault="003E0F58" w:rsidP="004D2249">
            <w:pPr>
              <w:jc w:val="left"/>
              <w:rPr>
                <w:rFonts w:eastAsia="Calibri" w:cs="Times New Roman"/>
                <w:b/>
                <w:bCs/>
                <w:color w:val="000000" w:themeColor="text1"/>
                <w:sz w:val="20"/>
                <w:szCs w:val="20"/>
                <w:lang w:val="cs-CZ"/>
              </w:rPr>
            </w:pPr>
            <w:r w:rsidRPr="005C1C3F">
              <w:rPr>
                <w:rFonts w:eastAsia="Calibri" w:cs="Times New Roman"/>
                <w:b/>
                <w:bCs/>
                <w:color w:val="000000" w:themeColor="text1"/>
                <w:sz w:val="20"/>
                <w:szCs w:val="20"/>
                <w:lang w:val="cs-CZ"/>
              </w:rPr>
              <w:t>2015</w:t>
            </w:r>
          </w:p>
        </w:tc>
        <w:tc>
          <w:tcPr>
            <w:tcW w:w="0" w:type="auto"/>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79CC0DA" w14:textId="77777777" w:rsidR="003E0F58" w:rsidRPr="005C1C3F" w:rsidRDefault="003E0F58" w:rsidP="004D2249">
            <w:pPr>
              <w:jc w:val="left"/>
              <w:rPr>
                <w:rFonts w:eastAsia="Calibri" w:cs="Times New Roman"/>
                <w:color w:val="000000" w:themeColor="text1"/>
                <w:sz w:val="20"/>
                <w:szCs w:val="20"/>
                <w:lang w:val="cs-CZ"/>
              </w:rPr>
            </w:pPr>
            <w:r w:rsidRPr="005C1C3F">
              <w:rPr>
                <w:rFonts w:eastAsia="Calibri" w:cs="Times New Roman"/>
                <w:color w:val="000000" w:themeColor="text1"/>
                <w:sz w:val="20"/>
                <w:szCs w:val="20"/>
                <w:lang w:val="cs-CZ"/>
              </w:rPr>
              <w:t>2 273</w:t>
            </w:r>
          </w:p>
        </w:tc>
        <w:tc>
          <w:tcPr>
            <w:tcW w:w="0" w:type="auto"/>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39F3034" w14:textId="77777777" w:rsidR="003E0F58" w:rsidRPr="005C1C3F" w:rsidRDefault="003E0F58" w:rsidP="004D2249">
            <w:pPr>
              <w:jc w:val="left"/>
              <w:rPr>
                <w:rFonts w:eastAsia="Calibri" w:cs="Times New Roman"/>
                <w:color w:val="000000" w:themeColor="text1"/>
                <w:sz w:val="20"/>
                <w:szCs w:val="20"/>
                <w:lang w:val="cs-CZ"/>
              </w:rPr>
            </w:pPr>
            <w:r w:rsidRPr="005C1C3F">
              <w:rPr>
                <w:rFonts w:eastAsia="Calibri" w:cs="Times New Roman"/>
                <w:color w:val="000000" w:themeColor="text1"/>
                <w:sz w:val="20"/>
                <w:szCs w:val="20"/>
                <w:lang w:val="cs-CZ"/>
              </w:rPr>
              <w:t>25 036</w:t>
            </w:r>
          </w:p>
        </w:tc>
        <w:tc>
          <w:tcPr>
            <w:tcW w:w="0" w:type="auto"/>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D091FE5" w14:textId="77777777" w:rsidR="003E0F58" w:rsidRPr="005C1C3F" w:rsidRDefault="003E0F58" w:rsidP="004D2249">
            <w:pPr>
              <w:jc w:val="left"/>
              <w:rPr>
                <w:rFonts w:eastAsia="Calibri" w:cs="Times New Roman"/>
                <w:color w:val="000000" w:themeColor="text1"/>
                <w:sz w:val="20"/>
                <w:szCs w:val="20"/>
                <w:lang w:val="cs-CZ"/>
              </w:rPr>
            </w:pPr>
            <w:r w:rsidRPr="005C1C3F">
              <w:rPr>
                <w:rFonts w:eastAsia="Calibri" w:cs="Times New Roman"/>
                <w:color w:val="000000" w:themeColor="text1"/>
                <w:sz w:val="20"/>
                <w:szCs w:val="20"/>
                <w:lang w:val="cs-CZ"/>
              </w:rPr>
              <w:t>187 819 944</w:t>
            </w:r>
          </w:p>
        </w:tc>
      </w:tr>
      <w:tr w:rsidR="003E0F58" w:rsidRPr="005C1C3F" w14:paraId="6EC8D598" w14:textId="77777777" w:rsidTr="005C1C3F">
        <w:trPr>
          <w:trHeight w:val="300"/>
        </w:trPr>
        <w:tc>
          <w:tcPr>
            <w:tcW w:w="0" w:type="auto"/>
            <w:tcBorders>
              <w:top w:val="nil"/>
              <w:left w:val="single" w:sz="8" w:space="0" w:color="auto"/>
              <w:bottom w:val="single" w:sz="8" w:space="0" w:color="auto"/>
              <w:right w:val="single" w:sz="8" w:space="0" w:color="auto"/>
            </w:tcBorders>
            <w:shd w:val="clear" w:color="auto" w:fill="C6C4C4"/>
            <w:tcMar>
              <w:top w:w="0" w:type="dxa"/>
              <w:left w:w="70" w:type="dxa"/>
              <w:bottom w:w="0" w:type="dxa"/>
              <w:right w:w="70" w:type="dxa"/>
            </w:tcMar>
            <w:vAlign w:val="center"/>
            <w:hideMark/>
          </w:tcPr>
          <w:p w14:paraId="43C48468" w14:textId="77777777" w:rsidR="003E0F58" w:rsidRPr="005C1C3F" w:rsidRDefault="003E0F58" w:rsidP="004D2249">
            <w:pPr>
              <w:jc w:val="left"/>
              <w:rPr>
                <w:rFonts w:eastAsia="Calibri" w:cs="Times New Roman"/>
                <w:b/>
                <w:bCs/>
                <w:color w:val="000000" w:themeColor="text1"/>
                <w:sz w:val="20"/>
                <w:szCs w:val="20"/>
                <w:lang w:val="cs-CZ"/>
              </w:rPr>
            </w:pPr>
            <w:r w:rsidRPr="005C1C3F">
              <w:rPr>
                <w:rFonts w:eastAsia="Calibri" w:cs="Times New Roman"/>
                <w:b/>
                <w:bCs/>
                <w:color w:val="000000" w:themeColor="text1"/>
                <w:sz w:val="20"/>
                <w:szCs w:val="20"/>
                <w:lang w:val="cs-CZ"/>
              </w:rPr>
              <w:t>2016</w:t>
            </w:r>
          </w:p>
        </w:tc>
        <w:tc>
          <w:tcPr>
            <w:tcW w:w="0" w:type="auto"/>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5186976" w14:textId="77777777" w:rsidR="003E0F58" w:rsidRPr="005C1C3F" w:rsidRDefault="003E0F58" w:rsidP="004D2249">
            <w:pPr>
              <w:jc w:val="left"/>
              <w:rPr>
                <w:rFonts w:eastAsia="Calibri" w:cs="Times New Roman"/>
                <w:color w:val="000000" w:themeColor="text1"/>
                <w:sz w:val="20"/>
                <w:szCs w:val="20"/>
                <w:lang w:val="cs-CZ"/>
              </w:rPr>
            </w:pPr>
            <w:r w:rsidRPr="005C1C3F">
              <w:rPr>
                <w:rFonts w:eastAsia="Calibri" w:cs="Times New Roman"/>
                <w:color w:val="000000" w:themeColor="text1"/>
                <w:sz w:val="20"/>
                <w:szCs w:val="20"/>
                <w:lang w:val="cs-CZ"/>
              </w:rPr>
              <w:t>1 942</w:t>
            </w:r>
          </w:p>
        </w:tc>
        <w:tc>
          <w:tcPr>
            <w:tcW w:w="0" w:type="auto"/>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492D258" w14:textId="77777777" w:rsidR="003E0F58" w:rsidRPr="005C1C3F" w:rsidRDefault="003E0F58" w:rsidP="004D2249">
            <w:pPr>
              <w:jc w:val="left"/>
              <w:rPr>
                <w:rFonts w:eastAsia="Calibri" w:cs="Times New Roman"/>
                <w:color w:val="000000" w:themeColor="text1"/>
                <w:sz w:val="20"/>
                <w:szCs w:val="20"/>
                <w:lang w:val="cs-CZ"/>
              </w:rPr>
            </w:pPr>
            <w:r w:rsidRPr="005C1C3F">
              <w:rPr>
                <w:rFonts w:eastAsia="Calibri" w:cs="Times New Roman"/>
                <w:color w:val="000000" w:themeColor="text1"/>
                <w:sz w:val="20"/>
                <w:szCs w:val="20"/>
                <w:lang w:val="cs-CZ"/>
              </w:rPr>
              <w:t>15 597</w:t>
            </w:r>
          </w:p>
        </w:tc>
        <w:tc>
          <w:tcPr>
            <w:tcW w:w="0" w:type="auto"/>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F9C6B30" w14:textId="77777777" w:rsidR="003E0F58" w:rsidRPr="005C1C3F" w:rsidRDefault="003E0F58" w:rsidP="004D2249">
            <w:pPr>
              <w:jc w:val="left"/>
              <w:rPr>
                <w:rFonts w:eastAsia="Calibri" w:cs="Times New Roman"/>
                <w:color w:val="000000" w:themeColor="text1"/>
                <w:sz w:val="20"/>
                <w:szCs w:val="20"/>
                <w:lang w:val="cs-CZ"/>
              </w:rPr>
            </w:pPr>
            <w:r w:rsidRPr="005C1C3F">
              <w:rPr>
                <w:rFonts w:eastAsia="Calibri" w:cs="Times New Roman"/>
                <w:color w:val="000000" w:themeColor="text1"/>
                <w:sz w:val="20"/>
                <w:szCs w:val="20"/>
                <w:lang w:val="cs-CZ"/>
              </w:rPr>
              <w:t>121 409 054</w:t>
            </w:r>
          </w:p>
        </w:tc>
      </w:tr>
      <w:tr w:rsidR="003E0F58" w:rsidRPr="005C1C3F" w14:paraId="35093AB5" w14:textId="77777777" w:rsidTr="005C1C3F">
        <w:trPr>
          <w:trHeight w:val="300"/>
        </w:trPr>
        <w:tc>
          <w:tcPr>
            <w:tcW w:w="0" w:type="auto"/>
            <w:tcBorders>
              <w:top w:val="nil"/>
              <w:left w:val="single" w:sz="8" w:space="0" w:color="auto"/>
              <w:bottom w:val="single" w:sz="8" w:space="0" w:color="auto"/>
              <w:right w:val="single" w:sz="8" w:space="0" w:color="auto"/>
            </w:tcBorders>
            <w:shd w:val="clear" w:color="auto" w:fill="C6C4C4"/>
            <w:tcMar>
              <w:top w:w="0" w:type="dxa"/>
              <w:left w:w="70" w:type="dxa"/>
              <w:bottom w:w="0" w:type="dxa"/>
              <w:right w:w="70" w:type="dxa"/>
            </w:tcMar>
            <w:vAlign w:val="center"/>
            <w:hideMark/>
          </w:tcPr>
          <w:p w14:paraId="29B71B29" w14:textId="77777777" w:rsidR="003E0F58" w:rsidRPr="005C1C3F" w:rsidRDefault="003E0F58" w:rsidP="004D2249">
            <w:pPr>
              <w:jc w:val="left"/>
              <w:rPr>
                <w:rFonts w:eastAsia="Calibri" w:cs="Times New Roman"/>
                <w:b/>
                <w:bCs/>
                <w:color w:val="000000" w:themeColor="text1"/>
                <w:sz w:val="20"/>
                <w:szCs w:val="20"/>
                <w:lang w:val="cs-CZ"/>
              </w:rPr>
            </w:pPr>
            <w:r w:rsidRPr="005C1C3F">
              <w:rPr>
                <w:rFonts w:eastAsia="Calibri" w:cs="Times New Roman"/>
                <w:b/>
                <w:bCs/>
                <w:color w:val="000000" w:themeColor="text1"/>
                <w:sz w:val="20"/>
                <w:szCs w:val="20"/>
                <w:lang w:val="cs-CZ"/>
              </w:rPr>
              <w:t>2017</w:t>
            </w:r>
          </w:p>
        </w:tc>
        <w:tc>
          <w:tcPr>
            <w:tcW w:w="0" w:type="auto"/>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099BFF2" w14:textId="77777777" w:rsidR="003E0F58" w:rsidRPr="005C1C3F" w:rsidRDefault="003E0F58" w:rsidP="004D2249">
            <w:pPr>
              <w:jc w:val="left"/>
              <w:rPr>
                <w:rFonts w:eastAsia="Calibri" w:cs="Times New Roman"/>
                <w:color w:val="000000" w:themeColor="text1"/>
                <w:sz w:val="20"/>
                <w:szCs w:val="20"/>
                <w:lang w:val="cs-CZ"/>
              </w:rPr>
            </w:pPr>
            <w:r w:rsidRPr="005C1C3F">
              <w:rPr>
                <w:rFonts w:eastAsia="Calibri" w:cs="Times New Roman"/>
                <w:color w:val="000000" w:themeColor="text1"/>
                <w:sz w:val="20"/>
                <w:szCs w:val="20"/>
                <w:lang w:val="cs-CZ"/>
              </w:rPr>
              <w:t>1 922</w:t>
            </w:r>
          </w:p>
        </w:tc>
        <w:tc>
          <w:tcPr>
            <w:tcW w:w="0" w:type="auto"/>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5658EC4" w14:textId="77777777" w:rsidR="003E0F58" w:rsidRPr="005C1C3F" w:rsidRDefault="003E0F58" w:rsidP="004D2249">
            <w:pPr>
              <w:jc w:val="left"/>
              <w:rPr>
                <w:rFonts w:eastAsia="Calibri" w:cs="Times New Roman"/>
                <w:color w:val="000000" w:themeColor="text1"/>
                <w:sz w:val="20"/>
                <w:szCs w:val="20"/>
                <w:lang w:val="cs-CZ"/>
              </w:rPr>
            </w:pPr>
            <w:r w:rsidRPr="005C1C3F">
              <w:rPr>
                <w:rFonts w:eastAsia="Calibri" w:cs="Times New Roman"/>
                <w:color w:val="000000" w:themeColor="text1"/>
                <w:sz w:val="20"/>
                <w:szCs w:val="20"/>
                <w:lang w:val="cs-CZ"/>
              </w:rPr>
              <w:t>13 478</w:t>
            </w:r>
          </w:p>
        </w:tc>
        <w:tc>
          <w:tcPr>
            <w:tcW w:w="0" w:type="auto"/>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422C5C1" w14:textId="77777777" w:rsidR="003E0F58" w:rsidRPr="005C1C3F" w:rsidRDefault="003E0F58" w:rsidP="004D2249">
            <w:pPr>
              <w:jc w:val="left"/>
              <w:rPr>
                <w:rFonts w:eastAsia="Calibri" w:cs="Times New Roman"/>
                <w:color w:val="000000" w:themeColor="text1"/>
                <w:sz w:val="20"/>
                <w:szCs w:val="20"/>
                <w:lang w:val="cs-CZ"/>
              </w:rPr>
            </w:pPr>
            <w:r w:rsidRPr="005C1C3F">
              <w:rPr>
                <w:rFonts w:eastAsia="Calibri" w:cs="Times New Roman"/>
                <w:color w:val="000000" w:themeColor="text1"/>
                <w:sz w:val="20"/>
                <w:szCs w:val="20"/>
                <w:lang w:val="cs-CZ"/>
              </w:rPr>
              <w:t>109 635 240</w:t>
            </w:r>
          </w:p>
        </w:tc>
      </w:tr>
      <w:tr w:rsidR="003E0F58" w:rsidRPr="005C1C3F" w14:paraId="421C1D51" w14:textId="77777777" w:rsidTr="005C1C3F">
        <w:trPr>
          <w:trHeight w:val="300"/>
        </w:trPr>
        <w:tc>
          <w:tcPr>
            <w:tcW w:w="0" w:type="auto"/>
            <w:tcBorders>
              <w:top w:val="nil"/>
              <w:left w:val="single" w:sz="8" w:space="0" w:color="auto"/>
              <w:bottom w:val="single" w:sz="8" w:space="0" w:color="auto"/>
              <w:right w:val="single" w:sz="8" w:space="0" w:color="auto"/>
            </w:tcBorders>
            <w:shd w:val="clear" w:color="auto" w:fill="C6C4C4"/>
            <w:tcMar>
              <w:top w:w="0" w:type="dxa"/>
              <w:left w:w="70" w:type="dxa"/>
              <w:bottom w:w="0" w:type="dxa"/>
              <w:right w:w="70" w:type="dxa"/>
            </w:tcMar>
            <w:vAlign w:val="center"/>
            <w:hideMark/>
          </w:tcPr>
          <w:p w14:paraId="3E1DF112" w14:textId="77777777" w:rsidR="003E0F58" w:rsidRPr="005C1C3F" w:rsidRDefault="003E0F58" w:rsidP="004D2249">
            <w:pPr>
              <w:jc w:val="left"/>
              <w:rPr>
                <w:rFonts w:eastAsia="Calibri" w:cs="Times New Roman"/>
                <w:b/>
                <w:bCs/>
                <w:color w:val="000000" w:themeColor="text1"/>
                <w:sz w:val="20"/>
                <w:szCs w:val="20"/>
                <w:lang w:val="cs-CZ"/>
              </w:rPr>
            </w:pPr>
            <w:r w:rsidRPr="005C1C3F">
              <w:rPr>
                <w:rFonts w:eastAsia="Calibri" w:cs="Times New Roman"/>
                <w:b/>
                <w:bCs/>
                <w:color w:val="000000" w:themeColor="text1"/>
                <w:sz w:val="20"/>
                <w:szCs w:val="20"/>
                <w:lang w:val="cs-CZ"/>
              </w:rPr>
              <w:t>2018</w:t>
            </w:r>
          </w:p>
        </w:tc>
        <w:tc>
          <w:tcPr>
            <w:tcW w:w="0" w:type="auto"/>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DB605AD" w14:textId="77777777" w:rsidR="003E0F58" w:rsidRPr="005C1C3F" w:rsidRDefault="003E0F58" w:rsidP="004D2249">
            <w:pPr>
              <w:jc w:val="left"/>
              <w:rPr>
                <w:rFonts w:eastAsia="Calibri" w:cs="Times New Roman"/>
                <w:color w:val="000000" w:themeColor="text1"/>
                <w:sz w:val="20"/>
                <w:szCs w:val="20"/>
                <w:lang w:val="cs-CZ"/>
              </w:rPr>
            </w:pPr>
            <w:r w:rsidRPr="005C1C3F">
              <w:rPr>
                <w:rFonts w:eastAsia="Calibri" w:cs="Times New Roman"/>
                <w:color w:val="000000" w:themeColor="text1"/>
                <w:sz w:val="20"/>
                <w:szCs w:val="20"/>
                <w:lang w:val="cs-CZ"/>
              </w:rPr>
              <w:t>1 718</w:t>
            </w:r>
          </w:p>
        </w:tc>
        <w:tc>
          <w:tcPr>
            <w:tcW w:w="0" w:type="auto"/>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B0471EC" w14:textId="77777777" w:rsidR="003E0F58" w:rsidRPr="005C1C3F" w:rsidRDefault="003E0F58" w:rsidP="004D2249">
            <w:pPr>
              <w:jc w:val="left"/>
              <w:rPr>
                <w:rFonts w:eastAsia="Calibri" w:cs="Times New Roman"/>
                <w:color w:val="000000" w:themeColor="text1"/>
                <w:sz w:val="20"/>
                <w:szCs w:val="20"/>
                <w:lang w:val="cs-CZ"/>
              </w:rPr>
            </w:pPr>
            <w:r w:rsidRPr="005C1C3F">
              <w:rPr>
                <w:rFonts w:eastAsia="Calibri" w:cs="Times New Roman"/>
                <w:color w:val="000000" w:themeColor="text1"/>
                <w:sz w:val="20"/>
                <w:szCs w:val="20"/>
                <w:lang w:val="cs-CZ"/>
              </w:rPr>
              <w:t>12 591</w:t>
            </w:r>
          </w:p>
        </w:tc>
        <w:tc>
          <w:tcPr>
            <w:tcW w:w="0" w:type="auto"/>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4934DCB" w14:textId="77777777" w:rsidR="003E0F58" w:rsidRPr="005C1C3F" w:rsidRDefault="003E0F58" w:rsidP="004D2249">
            <w:pPr>
              <w:jc w:val="left"/>
              <w:rPr>
                <w:rFonts w:eastAsia="Calibri" w:cs="Times New Roman"/>
                <w:color w:val="000000" w:themeColor="text1"/>
                <w:sz w:val="20"/>
                <w:szCs w:val="20"/>
                <w:lang w:val="cs-CZ"/>
              </w:rPr>
            </w:pPr>
            <w:r w:rsidRPr="005C1C3F">
              <w:rPr>
                <w:rFonts w:eastAsia="Calibri" w:cs="Times New Roman"/>
                <w:color w:val="000000" w:themeColor="text1"/>
                <w:sz w:val="20"/>
                <w:szCs w:val="20"/>
                <w:lang w:val="cs-CZ"/>
              </w:rPr>
              <w:t>102 926 612</w:t>
            </w:r>
          </w:p>
        </w:tc>
      </w:tr>
    </w:tbl>
    <w:p w14:paraId="4B9D8B96" w14:textId="3B28D34C" w:rsidR="003E0F58" w:rsidRPr="007C705C" w:rsidRDefault="003E0F58" w:rsidP="005C1C3F">
      <w:pPr>
        <w:pStyle w:val="UZEIZdroj"/>
      </w:pPr>
      <w:r w:rsidRPr="007C705C">
        <w:t>Stav k 29.</w:t>
      </w:r>
      <w:r w:rsidR="00F075AF">
        <w:t xml:space="preserve"> </w:t>
      </w:r>
      <w:r w:rsidRPr="007C705C">
        <w:t>6.</w:t>
      </w:r>
      <w:r w:rsidR="00F075AF">
        <w:t xml:space="preserve"> </w:t>
      </w:r>
      <w:r w:rsidRPr="007C705C">
        <w:t>2018</w:t>
      </w:r>
    </w:p>
    <w:p w14:paraId="255C3954" w14:textId="3F0227CF" w:rsidR="003E0F58" w:rsidRPr="007C705C" w:rsidRDefault="003E0F58" w:rsidP="005C1C3F">
      <w:pPr>
        <w:pStyle w:val="UZEIZdroj"/>
      </w:pPr>
      <w:r w:rsidRPr="007C705C">
        <w:t>Zdroj: MZe (odbor Řídící orgán PRV)</w:t>
      </w:r>
    </w:p>
    <w:p w14:paraId="5E100369" w14:textId="1D4B538F" w:rsidR="003E0F58" w:rsidRPr="007C705C" w:rsidRDefault="005C1C3F" w:rsidP="005C1C3F">
      <w:pPr>
        <w:pStyle w:val="UZEITaB"/>
      </w:pPr>
      <w:bookmarkStart w:id="442" w:name="_Toc77245860"/>
      <w:r>
        <w:t xml:space="preserve"> </w:t>
      </w:r>
      <w:bookmarkStart w:id="443" w:name="_Toc94181627"/>
      <w:r w:rsidR="003E0F58" w:rsidRPr="007C705C">
        <w:t>Přehled o čerpání podpor přispívajících k odolnosti zemědělských podniků vůči klimatickým změnám v rámci opatření 10 PRV (2014-2020) - Zatravňování drah soustředěného odtoku – proplacené žádosti</w:t>
      </w:r>
      <w:bookmarkEnd w:id="442"/>
      <w:bookmarkEnd w:id="443"/>
    </w:p>
    <w:tbl>
      <w:tblPr>
        <w:tblW w:w="18880" w:type="dxa"/>
        <w:tblInd w:w="-15" w:type="dxa"/>
        <w:tblCellMar>
          <w:left w:w="0" w:type="dxa"/>
          <w:right w:w="0" w:type="dxa"/>
        </w:tblCellMar>
        <w:tblLook w:val="04A0" w:firstRow="1" w:lastRow="0" w:firstColumn="1" w:lastColumn="0" w:noHBand="0" w:noVBand="1"/>
      </w:tblPr>
      <w:tblGrid>
        <w:gridCol w:w="2800"/>
        <w:gridCol w:w="960"/>
        <w:gridCol w:w="1260"/>
        <w:gridCol w:w="1460"/>
        <w:gridCol w:w="1660"/>
        <w:gridCol w:w="1660"/>
        <w:gridCol w:w="1560"/>
        <w:gridCol w:w="1300"/>
        <w:gridCol w:w="960"/>
        <w:gridCol w:w="1520"/>
        <w:gridCol w:w="1260"/>
        <w:gridCol w:w="1300"/>
        <w:gridCol w:w="1180"/>
      </w:tblGrid>
      <w:tr w:rsidR="003E0F58" w:rsidRPr="005C1C3F" w14:paraId="4FE878DD" w14:textId="77777777" w:rsidTr="004D2249">
        <w:trPr>
          <w:trHeight w:val="300"/>
        </w:trPr>
        <w:tc>
          <w:tcPr>
            <w:tcW w:w="6480" w:type="dxa"/>
            <w:gridSpan w:val="4"/>
            <w:noWrap/>
            <w:tcMar>
              <w:top w:w="0" w:type="dxa"/>
              <w:left w:w="70" w:type="dxa"/>
              <w:bottom w:w="0" w:type="dxa"/>
              <w:right w:w="70" w:type="dxa"/>
            </w:tcMar>
            <w:vAlign w:val="bottom"/>
            <w:hideMark/>
          </w:tcPr>
          <w:p w14:paraId="275FC051" w14:textId="77777777" w:rsidR="003E0F58" w:rsidRPr="005C1C3F" w:rsidRDefault="003E0F58" w:rsidP="004D2249">
            <w:pPr>
              <w:ind w:right="-191"/>
              <w:jc w:val="left"/>
              <w:rPr>
                <w:rFonts w:eastAsia="Calibri" w:cs="Times New Roman"/>
                <w:sz w:val="20"/>
                <w:szCs w:val="20"/>
                <w:lang w:val="cs-CZ"/>
              </w:rPr>
            </w:pPr>
            <w:r w:rsidRPr="005C1C3F">
              <w:rPr>
                <w:rFonts w:eastAsia="Calibri" w:cs="Times New Roman"/>
                <w:b/>
                <w:bCs/>
                <w:color w:val="000000" w:themeColor="text1"/>
                <w:sz w:val="20"/>
                <w:szCs w:val="20"/>
                <w:lang w:val="cs-CZ"/>
              </w:rPr>
              <w:t>10.1.8. Zatravňování drah soustředěného odtoku – proplacené žádosti</w:t>
            </w:r>
          </w:p>
        </w:tc>
        <w:tc>
          <w:tcPr>
            <w:tcW w:w="1660" w:type="dxa"/>
            <w:noWrap/>
            <w:tcMar>
              <w:top w:w="0" w:type="dxa"/>
              <w:left w:w="70" w:type="dxa"/>
              <w:bottom w:w="0" w:type="dxa"/>
              <w:right w:w="70" w:type="dxa"/>
            </w:tcMar>
            <w:vAlign w:val="bottom"/>
            <w:hideMark/>
          </w:tcPr>
          <w:p w14:paraId="1F61AFDB" w14:textId="77777777" w:rsidR="003E0F58" w:rsidRPr="005C1C3F" w:rsidRDefault="003E0F58" w:rsidP="004D2249">
            <w:pPr>
              <w:jc w:val="left"/>
              <w:rPr>
                <w:rFonts w:eastAsia="Calibri" w:cs="Times New Roman"/>
                <w:sz w:val="20"/>
                <w:szCs w:val="20"/>
                <w:lang w:val="cs-CZ"/>
              </w:rPr>
            </w:pPr>
          </w:p>
        </w:tc>
        <w:tc>
          <w:tcPr>
            <w:tcW w:w="1660" w:type="dxa"/>
            <w:noWrap/>
            <w:tcMar>
              <w:top w:w="0" w:type="dxa"/>
              <w:left w:w="70" w:type="dxa"/>
              <w:bottom w:w="0" w:type="dxa"/>
              <w:right w:w="70" w:type="dxa"/>
            </w:tcMar>
            <w:vAlign w:val="bottom"/>
            <w:hideMark/>
          </w:tcPr>
          <w:p w14:paraId="01A42287" w14:textId="77777777" w:rsidR="003E0F58" w:rsidRPr="005C1C3F" w:rsidRDefault="003E0F58" w:rsidP="004D2249">
            <w:pPr>
              <w:jc w:val="left"/>
              <w:rPr>
                <w:rFonts w:cs="Times New Roman"/>
                <w:sz w:val="20"/>
                <w:szCs w:val="20"/>
                <w:lang w:val="cs-CZ"/>
              </w:rPr>
            </w:pPr>
          </w:p>
        </w:tc>
        <w:tc>
          <w:tcPr>
            <w:tcW w:w="1560" w:type="dxa"/>
            <w:noWrap/>
            <w:tcMar>
              <w:top w:w="0" w:type="dxa"/>
              <w:left w:w="70" w:type="dxa"/>
              <w:bottom w:w="0" w:type="dxa"/>
              <w:right w:w="70" w:type="dxa"/>
            </w:tcMar>
            <w:vAlign w:val="bottom"/>
            <w:hideMark/>
          </w:tcPr>
          <w:p w14:paraId="10CD50D7" w14:textId="77777777" w:rsidR="003E0F58" w:rsidRPr="005C1C3F" w:rsidRDefault="003E0F58" w:rsidP="004D2249">
            <w:pPr>
              <w:jc w:val="left"/>
              <w:rPr>
                <w:rFonts w:cs="Times New Roman"/>
                <w:sz w:val="20"/>
                <w:szCs w:val="20"/>
                <w:lang w:val="cs-CZ"/>
              </w:rPr>
            </w:pPr>
          </w:p>
        </w:tc>
        <w:tc>
          <w:tcPr>
            <w:tcW w:w="1300" w:type="dxa"/>
            <w:noWrap/>
            <w:tcMar>
              <w:top w:w="0" w:type="dxa"/>
              <w:left w:w="70" w:type="dxa"/>
              <w:bottom w:w="0" w:type="dxa"/>
              <w:right w:w="70" w:type="dxa"/>
            </w:tcMar>
            <w:vAlign w:val="bottom"/>
            <w:hideMark/>
          </w:tcPr>
          <w:p w14:paraId="2FA2F9A3" w14:textId="77777777" w:rsidR="003E0F58" w:rsidRPr="005C1C3F" w:rsidRDefault="003E0F58" w:rsidP="004D2249">
            <w:pPr>
              <w:jc w:val="left"/>
              <w:rPr>
                <w:rFonts w:cs="Times New Roman"/>
                <w:sz w:val="20"/>
                <w:szCs w:val="20"/>
                <w:lang w:val="cs-CZ"/>
              </w:rPr>
            </w:pPr>
          </w:p>
        </w:tc>
        <w:tc>
          <w:tcPr>
            <w:tcW w:w="960" w:type="dxa"/>
            <w:noWrap/>
            <w:tcMar>
              <w:top w:w="0" w:type="dxa"/>
              <w:left w:w="70" w:type="dxa"/>
              <w:bottom w:w="0" w:type="dxa"/>
              <w:right w:w="70" w:type="dxa"/>
            </w:tcMar>
            <w:vAlign w:val="bottom"/>
            <w:hideMark/>
          </w:tcPr>
          <w:p w14:paraId="1A4FA3AB" w14:textId="77777777" w:rsidR="003E0F58" w:rsidRPr="005C1C3F" w:rsidRDefault="003E0F58" w:rsidP="004D2249">
            <w:pPr>
              <w:jc w:val="left"/>
              <w:rPr>
                <w:rFonts w:cs="Times New Roman"/>
                <w:sz w:val="20"/>
                <w:szCs w:val="20"/>
                <w:lang w:val="cs-CZ"/>
              </w:rPr>
            </w:pPr>
          </w:p>
        </w:tc>
        <w:tc>
          <w:tcPr>
            <w:tcW w:w="1520" w:type="dxa"/>
            <w:noWrap/>
            <w:tcMar>
              <w:top w:w="0" w:type="dxa"/>
              <w:left w:w="70" w:type="dxa"/>
              <w:bottom w:w="0" w:type="dxa"/>
              <w:right w:w="70" w:type="dxa"/>
            </w:tcMar>
            <w:vAlign w:val="bottom"/>
            <w:hideMark/>
          </w:tcPr>
          <w:p w14:paraId="7C4690DA" w14:textId="77777777" w:rsidR="003E0F58" w:rsidRPr="005C1C3F" w:rsidRDefault="003E0F58" w:rsidP="004D2249">
            <w:pPr>
              <w:jc w:val="left"/>
              <w:rPr>
                <w:rFonts w:cs="Times New Roman"/>
                <w:sz w:val="20"/>
                <w:szCs w:val="20"/>
                <w:lang w:val="cs-CZ"/>
              </w:rPr>
            </w:pPr>
          </w:p>
        </w:tc>
        <w:tc>
          <w:tcPr>
            <w:tcW w:w="1260" w:type="dxa"/>
            <w:noWrap/>
            <w:tcMar>
              <w:top w:w="0" w:type="dxa"/>
              <w:left w:w="70" w:type="dxa"/>
              <w:bottom w:w="0" w:type="dxa"/>
              <w:right w:w="70" w:type="dxa"/>
            </w:tcMar>
            <w:vAlign w:val="bottom"/>
            <w:hideMark/>
          </w:tcPr>
          <w:p w14:paraId="3A2FE675" w14:textId="77777777" w:rsidR="003E0F58" w:rsidRPr="005C1C3F" w:rsidRDefault="003E0F58" w:rsidP="004D2249">
            <w:pPr>
              <w:jc w:val="left"/>
              <w:rPr>
                <w:rFonts w:cs="Times New Roman"/>
                <w:sz w:val="20"/>
                <w:szCs w:val="20"/>
                <w:lang w:val="cs-CZ"/>
              </w:rPr>
            </w:pPr>
          </w:p>
        </w:tc>
        <w:tc>
          <w:tcPr>
            <w:tcW w:w="1300" w:type="dxa"/>
            <w:noWrap/>
            <w:tcMar>
              <w:top w:w="0" w:type="dxa"/>
              <w:left w:w="70" w:type="dxa"/>
              <w:bottom w:w="0" w:type="dxa"/>
              <w:right w:w="70" w:type="dxa"/>
            </w:tcMar>
            <w:vAlign w:val="bottom"/>
            <w:hideMark/>
          </w:tcPr>
          <w:p w14:paraId="5AA8DDE9" w14:textId="77777777" w:rsidR="003E0F58" w:rsidRPr="005C1C3F" w:rsidRDefault="003E0F58" w:rsidP="004D2249">
            <w:pPr>
              <w:jc w:val="left"/>
              <w:rPr>
                <w:rFonts w:cs="Times New Roman"/>
                <w:sz w:val="20"/>
                <w:szCs w:val="20"/>
                <w:lang w:val="cs-CZ"/>
              </w:rPr>
            </w:pPr>
          </w:p>
        </w:tc>
        <w:tc>
          <w:tcPr>
            <w:tcW w:w="1180" w:type="dxa"/>
            <w:noWrap/>
            <w:tcMar>
              <w:top w:w="0" w:type="dxa"/>
              <w:left w:w="70" w:type="dxa"/>
              <w:bottom w:w="0" w:type="dxa"/>
              <w:right w:w="70" w:type="dxa"/>
            </w:tcMar>
            <w:vAlign w:val="bottom"/>
            <w:hideMark/>
          </w:tcPr>
          <w:p w14:paraId="1B561175" w14:textId="77777777" w:rsidR="003E0F58" w:rsidRPr="005C1C3F" w:rsidRDefault="003E0F58" w:rsidP="004D2249">
            <w:pPr>
              <w:jc w:val="left"/>
              <w:rPr>
                <w:rFonts w:cs="Times New Roman"/>
                <w:sz w:val="20"/>
                <w:szCs w:val="20"/>
                <w:lang w:val="cs-CZ"/>
              </w:rPr>
            </w:pPr>
          </w:p>
        </w:tc>
      </w:tr>
      <w:tr w:rsidR="003E0F58" w:rsidRPr="005C1C3F" w14:paraId="337A8DE1" w14:textId="77777777" w:rsidTr="004D2249">
        <w:trPr>
          <w:trHeight w:val="450"/>
        </w:trPr>
        <w:tc>
          <w:tcPr>
            <w:tcW w:w="2800" w:type="dxa"/>
            <w:tcBorders>
              <w:top w:val="single" w:sz="8" w:space="0" w:color="auto"/>
              <w:left w:val="single" w:sz="8" w:space="0" w:color="auto"/>
              <w:bottom w:val="single" w:sz="8" w:space="0" w:color="auto"/>
              <w:right w:val="single" w:sz="8" w:space="0" w:color="auto"/>
            </w:tcBorders>
            <w:shd w:val="clear" w:color="auto" w:fill="C6C4C4"/>
            <w:tcMar>
              <w:top w:w="0" w:type="dxa"/>
              <w:left w:w="70" w:type="dxa"/>
              <w:bottom w:w="0" w:type="dxa"/>
              <w:right w:w="70" w:type="dxa"/>
            </w:tcMar>
            <w:vAlign w:val="center"/>
            <w:hideMark/>
          </w:tcPr>
          <w:p w14:paraId="24719B71" w14:textId="77777777" w:rsidR="003E0F58" w:rsidRPr="005C1C3F" w:rsidRDefault="003E0F58" w:rsidP="004D2249">
            <w:pPr>
              <w:jc w:val="left"/>
              <w:rPr>
                <w:rFonts w:eastAsia="Calibri" w:cs="Times New Roman"/>
                <w:sz w:val="20"/>
                <w:szCs w:val="20"/>
                <w:lang w:val="cs-CZ"/>
              </w:rPr>
            </w:pPr>
            <w:r w:rsidRPr="005C1C3F">
              <w:rPr>
                <w:rFonts w:eastAsia="Calibri" w:cs="Times New Roman"/>
                <w:b/>
                <w:bCs/>
                <w:color w:val="000000" w:themeColor="text1"/>
                <w:sz w:val="20"/>
                <w:szCs w:val="20"/>
                <w:lang w:val="cs-CZ"/>
              </w:rPr>
              <w:t> </w:t>
            </w:r>
          </w:p>
        </w:tc>
        <w:tc>
          <w:tcPr>
            <w:tcW w:w="960" w:type="dxa"/>
            <w:tcBorders>
              <w:top w:val="single" w:sz="8" w:space="0" w:color="auto"/>
              <w:left w:val="nil"/>
              <w:bottom w:val="single" w:sz="8" w:space="0" w:color="auto"/>
              <w:right w:val="single" w:sz="8" w:space="0" w:color="auto"/>
            </w:tcBorders>
            <w:shd w:val="clear" w:color="auto" w:fill="C6C4C4"/>
            <w:tcMar>
              <w:top w:w="0" w:type="dxa"/>
              <w:left w:w="70" w:type="dxa"/>
              <w:bottom w:w="0" w:type="dxa"/>
              <w:right w:w="70" w:type="dxa"/>
            </w:tcMar>
            <w:vAlign w:val="center"/>
            <w:hideMark/>
          </w:tcPr>
          <w:p w14:paraId="3564F9C5" w14:textId="77777777" w:rsidR="003E0F58" w:rsidRPr="005C1C3F" w:rsidRDefault="003E0F58" w:rsidP="004D2249">
            <w:pPr>
              <w:jc w:val="left"/>
              <w:rPr>
                <w:rFonts w:eastAsia="Calibri" w:cs="Times New Roman"/>
                <w:sz w:val="20"/>
                <w:szCs w:val="20"/>
                <w:lang w:val="cs-CZ"/>
              </w:rPr>
            </w:pPr>
            <w:r w:rsidRPr="005C1C3F">
              <w:rPr>
                <w:rFonts w:eastAsia="Calibri" w:cs="Times New Roman"/>
                <w:b/>
                <w:bCs/>
                <w:color w:val="000000" w:themeColor="text1"/>
                <w:sz w:val="20"/>
                <w:szCs w:val="20"/>
                <w:lang w:val="cs-CZ"/>
              </w:rPr>
              <w:t>Počet žadatelů</w:t>
            </w:r>
          </w:p>
        </w:tc>
        <w:tc>
          <w:tcPr>
            <w:tcW w:w="1260" w:type="dxa"/>
            <w:tcBorders>
              <w:top w:val="single" w:sz="8" w:space="0" w:color="auto"/>
              <w:left w:val="nil"/>
              <w:bottom w:val="single" w:sz="8" w:space="0" w:color="auto"/>
              <w:right w:val="single" w:sz="8" w:space="0" w:color="auto"/>
            </w:tcBorders>
            <w:shd w:val="clear" w:color="auto" w:fill="C6C4C4"/>
            <w:tcMar>
              <w:top w:w="0" w:type="dxa"/>
              <w:left w:w="70" w:type="dxa"/>
              <w:bottom w:w="0" w:type="dxa"/>
              <w:right w:w="70" w:type="dxa"/>
            </w:tcMar>
            <w:vAlign w:val="center"/>
            <w:hideMark/>
          </w:tcPr>
          <w:p w14:paraId="7DCECB7C" w14:textId="77777777" w:rsidR="003E0F58" w:rsidRPr="005C1C3F" w:rsidRDefault="003E0F58" w:rsidP="004D2249">
            <w:pPr>
              <w:jc w:val="left"/>
              <w:rPr>
                <w:rFonts w:eastAsia="Calibri" w:cs="Times New Roman"/>
                <w:sz w:val="20"/>
                <w:szCs w:val="20"/>
                <w:lang w:val="cs-CZ"/>
              </w:rPr>
            </w:pPr>
            <w:r w:rsidRPr="005C1C3F">
              <w:rPr>
                <w:rFonts w:eastAsia="Calibri" w:cs="Times New Roman"/>
                <w:b/>
                <w:bCs/>
                <w:color w:val="000000" w:themeColor="text1"/>
                <w:sz w:val="20"/>
                <w:szCs w:val="20"/>
                <w:lang w:val="cs-CZ"/>
              </w:rPr>
              <w:t>Počet žádostí</w:t>
            </w:r>
          </w:p>
        </w:tc>
        <w:tc>
          <w:tcPr>
            <w:tcW w:w="1460" w:type="dxa"/>
            <w:tcBorders>
              <w:top w:val="single" w:sz="8" w:space="0" w:color="auto"/>
              <w:left w:val="nil"/>
              <w:bottom w:val="single" w:sz="8" w:space="0" w:color="auto"/>
              <w:right w:val="single" w:sz="8" w:space="0" w:color="auto"/>
            </w:tcBorders>
            <w:shd w:val="clear" w:color="auto" w:fill="C6C4C4"/>
            <w:tcMar>
              <w:top w:w="0" w:type="dxa"/>
              <w:left w:w="70" w:type="dxa"/>
              <w:bottom w:w="0" w:type="dxa"/>
              <w:right w:w="70" w:type="dxa"/>
            </w:tcMar>
            <w:vAlign w:val="center"/>
            <w:hideMark/>
          </w:tcPr>
          <w:p w14:paraId="01615AD9" w14:textId="77777777" w:rsidR="003E0F58" w:rsidRPr="005C1C3F" w:rsidRDefault="003E0F58" w:rsidP="004D2249">
            <w:pPr>
              <w:jc w:val="left"/>
              <w:rPr>
                <w:rFonts w:eastAsia="Calibri" w:cs="Times New Roman"/>
                <w:sz w:val="20"/>
                <w:szCs w:val="20"/>
                <w:lang w:val="cs-CZ"/>
              </w:rPr>
            </w:pPr>
            <w:r w:rsidRPr="005C1C3F">
              <w:rPr>
                <w:rFonts w:eastAsia="Calibri" w:cs="Times New Roman"/>
                <w:b/>
                <w:bCs/>
                <w:color w:val="000000"/>
                <w:sz w:val="20"/>
                <w:szCs w:val="20"/>
                <w:lang w:val="cs-CZ"/>
              </w:rPr>
              <w:t>výměra - aktuální*</w:t>
            </w:r>
          </w:p>
        </w:tc>
        <w:tc>
          <w:tcPr>
            <w:tcW w:w="1660" w:type="dxa"/>
            <w:tcBorders>
              <w:top w:val="single" w:sz="8" w:space="0" w:color="auto"/>
              <w:left w:val="nil"/>
              <w:bottom w:val="single" w:sz="8" w:space="0" w:color="auto"/>
              <w:right w:val="single" w:sz="8" w:space="0" w:color="auto"/>
            </w:tcBorders>
            <w:shd w:val="clear" w:color="auto" w:fill="C6C4C4"/>
            <w:tcMar>
              <w:top w:w="0" w:type="dxa"/>
              <w:left w:w="70" w:type="dxa"/>
              <w:bottom w:w="0" w:type="dxa"/>
              <w:right w:w="70" w:type="dxa"/>
            </w:tcMar>
            <w:vAlign w:val="center"/>
            <w:hideMark/>
          </w:tcPr>
          <w:p w14:paraId="0EE6E19F" w14:textId="77777777" w:rsidR="003E0F58" w:rsidRPr="005C1C3F" w:rsidRDefault="003E0F58" w:rsidP="004D2249">
            <w:pPr>
              <w:jc w:val="left"/>
              <w:rPr>
                <w:rFonts w:eastAsia="Calibri" w:cs="Times New Roman"/>
                <w:sz w:val="20"/>
                <w:szCs w:val="20"/>
                <w:lang w:val="cs-CZ"/>
              </w:rPr>
            </w:pPr>
            <w:r w:rsidRPr="005C1C3F">
              <w:rPr>
                <w:rFonts w:eastAsia="Calibri" w:cs="Times New Roman"/>
                <w:b/>
                <w:bCs/>
                <w:color w:val="000000"/>
                <w:sz w:val="20"/>
                <w:szCs w:val="20"/>
                <w:lang w:val="cs-CZ"/>
              </w:rPr>
              <w:t>Částka (CZK)</w:t>
            </w:r>
          </w:p>
        </w:tc>
        <w:tc>
          <w:tcPr>
            <w:tcW w:w="1660" w:type="dxa"/>
            <w:tcBorders>
              <w:top w:val="single" w:sz="8" w:space="0" w:color="auto"/>
              <w:left w:val="nil"/>
              <w:bottom w:val="single" w:sz="8" w:space="0" w:color="auto"/>
              <w:right w:val="single" w:sz="8" w:space="0" w:color="auto"/>
            </w:tcBorders>
            <w:shd w:val="clear" w:color="auto" w:fill="C6C4C4"/>
            <w:tcMar>
              <w:top w:w="0" w:type="dxa"/>
              <w:left w:w="70" w:type="dxa"/>
              <w:bottom w:w="0" w:type="dxa"/>
              <w:right w:w="70" w:type="dxa"/>
            </w:tcMar>
            <w:vAlign w:val="center"/>
            <w:hideMark/>
          </w:tcPr>
          <w:p w14:paraId="4A6A3960" w14:textId="77777777" w:rsidR="003E0F58" w:rsidRPr="005C1C3F" w:rsidRDefault="003E0F58" w:rsidP="004D2249">
            <w:pPr>
              <w:jc w:val="left"/>
              <w:rPr>
                <w:rFonts w:eastAsia="Calibri" w:cs="Times New Roman"/>
                <w:sz w:val="20"/>
                <w:szCs w:val="20"/>
                <w:lang w:val="cs-CZ"/>
              </w:rPr>
            </w:pPr>
            <w:r w:rsidRPr="005C1C3F">
              <w:rPr>
                <w:rFonts w:eastAsia="Calibri" w:cs="Times New Roman"/>
                <w:b/>
                <w:bCs/>
                <w:color w:val="000000"/>
                <w:sz w:val="20"/>
                <w:szCs w:val="20"/>
                <w:lang w:val="cs-CZ"/>
              </w:rPr>
              <w:t>Částka [EUR]</w:t>
            </w:r>
          </w:p>
        </w:tc>
        <w:tc>
          <w:tcPr>
            <w:tcW w:w="1560" w:type="dxa"/>
            <w:noWrap/>
            <w:tcMar>
              <w:top w:w="0" w:type="dxa"/>
              <w:left w:w="70" w:type="dxa"/>
              <w:bottom w:w="0" w:type="dxa"/>
              <w:right w:w="70" w:type="dxa"/>
            </w:tcMar>
            <w:vAlign w:val="bottom"/>
            <w:hideMark/>
          </w:tcPr>
          <w:p w14:paraId="6827E815" w14:textId="77777777" w:rsidR="003E0F58" w:rsidRPr="005C1C3F" w:rsidRDefault="003E0F58" w:rsidP="004D2249">
            <w:pPr>
              <w:jc w:val="left"/>
              <w:rPr>
                <w:rFonts w:eastAsia="Calibri" w:cs="Times New Roman"/>
                <w:sz w:val="20"/>
                <w:szCs w:val="20"/>
                <w:lang w:val="cs-CZ"/>
              </w:rPr>
            </w:pPr>
          </w:p>
        </w:tc>
        <w:tc>
          <w:tcPr>
            <w:tcW w:w="1300" w:type="dxa"/>
            <w:noWrap/>
            <w:tcMar>
              <w:top w:w="0" w:type="dxa"/>
              <w:left w:w="70" w:type="dxa"/>
              <w:bottom w:w="0" w:type="dxa"/>
              <w:right w:w="70" w:type="dxa"/>
            </w:tcMar>
            <w:vAlign w:val="bottom"/>
            <w:hideMark/>
          </w:tcPr>
          <w:p w14:paraId="5DFF6BCF" w14:textId="77777777" w:rsidR="003E0F58" w:rsidRPr="005C1C3F" w:rsidRDefault="003E0F58" w:rsidP="004D2249">
            <w:pPr>
              <w:jc w:val="left"/>
              <w:rPr>
                <w:rFonts w:cs="Times New Roman"/>
                <w:sz w:val="20"/>
                <w:szCs w:val="20"/>
                <w:lang w:val="cs-CZ"/>
              </w:rPr>
            </w:pPr>
          </w:p>
        </w:tc>
        <w:tc>
          <w:tcPr>
            <w:tcW w:w="960" w:type="dxa"/>
            <w:noWrap/>
            <w:tcMar>
              <w:top w:w="0" w:type="dxa"/>
              <w:left w:w="70" w:type="dxa"/>
              <w:bottom w:w="0" w:type="dxa"/>
              <w:right w:w="70" w:type="dxa"/>
            </w:tcMar>
            <w:vAlign w:val="bottom"/>
            <w:hideMark/>
          </w:tcPr>
          <w:p w14:paraId="2AD7B98B" w14:textId="77777777" w:rsidR="003E0F58" w:rsidRPr="005C1C3F" w:rsidRDefault="003E0F58" w:rsidP="004D2249">
            <w:pPr>
              <w:jc w:val="left"/>
              <w:rPr>
                <w:rFonts w:cs="Times New Roman"/>
                <w:sz w:val="20"/>
                <w:szCs w:val="20"/>
                <w:lang w:val="cs-CZ"/>
              </w:rPr>
            </w:pPr>
          </w:p>
        </w:tc>
        <w:tc>
          <w:tcPr>
            <w:tcW w:w="1520" w:type="dxa"/>
            <w:noWrap/>
            <w:tcMar>
              <w:top w:w="0" w:type="dxa"/>
              <w:left w:w="70" w:type="dxa"/>
              <w:bottom w:w="0" w:type="dxa"/>
              <w:right w:w="70" w:type="dxa"/>
            </w:tcMar>
            <w:vAlign w:val="bottom"/>
            <w:hideMark/>
          </w:tcPr>
          <w:p w14:paraId="30F5DF11" w14:textId="77777777" w:rsidR="003E0F58" w:rsidRPr="005C1C3F" w:rsidRDefault="003E0F58" w:rsidP="004D2249">
            <w:pPr>
              <w:jc w:val="left"/>
              <w:rPr>
                <w:rFonts w:cs="Times New Roman"/>
                <w:sz w:val="20"/>
                <w:szCs w:val="20"/>
                <w:lang w:val="cs-CZ"/>
              </w:rPr>
            </w:pPr>
          </w:p>
        </w:tc>
        <w:tc>
          <w:tcPr>
            <w:tcW w:w="1260" w:type="dxa"/>
            <w:noWrap/>
            <w:tcMar>
              <w:top w:w="0" w:type="dxa"/>
              <w:left w:w="70" w:type="dxa"/>
              <w:bottom w:w="0" w:type="dxa"/>
              <w:right w:w="70" w:type="dxa"/>
            </w:tcMar>
            <w:vAlign w:val="bottom"/>
            <w:hideMark/>
          </w:tcPr>
          <w:p w14:paraId="637B5349" w14:textId="77777777" w:rsidR="003E0F58" w:rsidRPr="005C1C3F" w:rsidRDefault="003E0F58" w:rsidP="004D2249">
            <w:pPr>
              <w:jc w:val="left"/>
              <w:rPr>
                <w:rFonts w:cs="Times New Roman"/>
                <w:sz w:val="20"/>
                <w:szCs w:val="20"/>
                <w:lang w:val="cs-CZ"/>
              </w:rPr>
            </w:pPr>
          </w:p>
        </w:tc>
        <w:tc>
          <w:tcPr>
            <w:tcW w:w="1300" w:type="dxa"/>
            <w:noWrap/>
            <w:tcMar>
              <w:top w:w="0" w:type="dxa"/>
              <w:left w:w="70" w:type="dxa"/>
              <w:bottom w:w="0" w:type="dxa"/>
              <w:right w:w="70" w:type="dxa"/>
            </w:tcMar>
            <w:vAlign w:val="bottom"/>
            <w:hideMark/>
          </w:tcPr>
          <w:p w14:paraId="0D36F5A2" w14:textId="77777777" w:rsidR="003E0F58" w:rsidRPr="005C1C3F" w:rsidRDefault="003E0F58" w:rsidP="004D2249">
            <w:pPr>
              <w:jc w:val="left"/>
              <w:rPr>
                <w:rFonts w:cs="Times New Roman"/>
                <w:sz w:val="20"/>
                <w:szCs w:val="20"/>
                <w:lang w:val="cs-CZ"/>
              </w:rPr>
            </w:pPr>
          </w:p>
        </w:tc>
        <w:tc>
          <w:tcPr>
            <w:tcW w:w="1180" w:type="dxa"/>
            <w:noWrap/>
            <w:tcMar>
              <w:top w:w="0" w:type="dxa"/>
              <w:left w:w="70" w:type="dxa"/>
              <w:bottom w:w="0" w:type="dxa"/>
              <w:right w:w="70" w:type="dxa"/>
            </w:tcMar>
            <w:vAlign w:val="bottom"/>
            <w:hideMark/>
          </w:tcPr>
          <w:p w14:paraId="107A00BA" w14:textId="77777777" w:rsidR="003E0F58" w:rsidRPr="005C1C3F" w:rsidRDefault="003E0F58" w:rsidP="004D2249">
            <w:pPr>
              <w:jc w:val="left"/>
              <w:rPr>
                <w:rFonts w:cs="Times New Roman"/>
                <w:sz w:val="20"/>
                <w:szCs w:val="20"/>
                <w:lang w:val="cs-CZ"/>
              </w:rPr>
            </w:pPr>
          </w:p>
        </w:tc>
      </w:tr>
      <w:tr w:rsidR="003E0F58" w:rsidRPr="005C1C3F" w14:paraId="45455C54" w14:textId="77777777" w:rsidTr="004D2249">
        <w:trPr>
          <w:trHeight w:val="300"/>
        </w:trPr>
        <w:tc>
          <w:tcPr>
            <w:tcW w:w="2800" w:type="dxa"/>
            <w:tcBorders>
              <w:top w:val="nil"/>
              <w:left w:val="single" w:sz="8" w:space="0" w:color="auto"/>
              <w:bottom w:val="single" w:sz="8" w:space="0" w:color="auto"/>
              <w:right w:val="single" w:sz="8" w:space="0" w:color="auto"/>
            </w:tcBorders>
            <w:shd w:val="clear" w:color="auto" w:fill="C6C4C4"/>
            <w:tcMar>
              <w:top w:w="0" w:type="dxa"/>
              <w:left w:w="70" w:type="dxa"/>
              <w:bottom w:w="0" w:type="dxa"/>
              <w:right w:w="70" w:type="dxa"/>
            </w:tcMar>
            <w:vAlign w:val="center"/>
            <w:hideMark/>
          </w:tcPr>
          <w:p w14:paraId="7FA1ADF3" w14:textId="77777777" w:rsidR="003E0F58" w:rsidRPr="005C1C3F" w:rsidRDefault="003E0F58" w:rsidP="004D2249">
            <w:pPr>
              <w:jc w:val="left"/>
              <w:rPr>
                <w:rFonts w:eastAsia="Calibri" w:cs="Times New Roman"/>
                <w:sz w:val="20"/>
                <w:szCs w:val="20"/>
                <w:lang w:val="cs-CZ"/>
              </w:rPr>
            </w:pPr>
            <w:r w:rsidRPr="005C1C3F">
              <w:rPr>
                <w:rFonts w:eastAsia="Calibri" w:cs="Times New Roman"/>
                <w:b/>
                <w:bCs/>
                <w:color w:val="000000"/>
                <w:sz w:val="20"/>
                <w:szCs w:val="20"/>
                <w:lang w:val="cs-CZ"/>
              </w:rPr>
              <w:t>2016</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89B52D6" w14:textId="77777777" w:rsidR="003E0F58" w:rsidRPr="005C1C3F" w:rsidRDefault="003E0F58" w:rsidP="004D2249">
            <w:pPr>
              <w:jc w:val="right"/>
              <w:rPr>
                <w:rFonts w:eastAsia="Calibri" w:cs="Times New Roman"/>
                <w:sz w:val="20"/>
                <w:szCs w:val="20"/>
                <w:lang w:val="cs-CZ"/>
              </w:rPr>
            </w:pPr>
            <w:r w:rsidRPr="005C1C3F">
              <w:rPr>
                <w:rFonts w:eastAsia="Calibri" w:cs="Times New Roman"/>
                <w:color w:val="000000"/>
                <w:sz w:val="20"/>
                <w:szCs w:val="20"/>
                <w:lang w:val="cs-CZ"/>
              </w:rPr>
              <w:t>2</w:t>
            </w:r>
          </w:p>
        </w:tc>
        <w:tc>
          <w:tcPr>
            <w:tcW w:w="12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9C5DCD7" w14:textId="77777777" w:rsidR="003E0F58" w:rsidRPr="005C1C3F" w:rsidRDefault="003E0F58" w:rsidP="004D2249">
            <w:pPr>
              <w:jc w:val="right"/>
              <w:rPr>
                <w:rFonts w:eastAsia="Calibri" w:cs="Times New Roman"/>
                <w:sz w:val="20"/>
                <w:szCs w:val="20"/>
                <w:lang w:val="cs-CZ"/>
              </w:rPr>
            </w:pPr>
            <w:r w:rsidRPr="005C1C3F">
              <w:rPr>
                <w:rFonts w:eastAsia="Calibri" w:cs="Times New Roman"/>
                <w:color w:val="000000"/>
                <w:sz w:val="20"/>
                <w:szCs w:val="20"/>
                <w:lang w:val="cs-CZ"/>
              </w:rPr>
              <w:t>2</w:t>
            </w:r>
          </w:p>
        </w:tc>
        <w:tc>
          <w:tcPr>
            <w:tcW w:w="14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6B6231C" w14:textId="77777777" w:rsidR="003E0F58" w:rsidRPr="005C1C3F" w:rsidRDefault="003E0F58" w:rsidP="004D2249">
            <w:pPr>
              <w:jc w:val="right"/>
              <w:rPr>
                <w:rFonts w:eastAsia="Calibri" w:cs="Times New Roman"/>
                <w:sz w:val="20"/>
                <w:szCs w:val="20"/>
                <w:lang w:val="cs-CZ"/>
              </w:rPr>
            </w:pPr>
            <w:r w:rsidRPr="005C1C3F">
              <w:rPr>
                <w:rFonts w:eastAsia="Calibri" w:cs="Times New Roman"/>
                <w:color w:val="000000"/>
                <w:sz w:val="20"/>
                <w:szCs w:val="20"/>
                <w:lang w:val="cs-CZ"/>
              </w:rPr>
              <w:t>5</w:t>
            </w:r>
          </w:p>
        </w:tc>
        <w:tc>
          <w:tcPr>
            <w:tcW w:w="16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46DBE85" w14:textId="77777777" w:rsidR="003E0F58" w:rsidRPr="005C1C3F" w:rsidRDefault="003E0F58" w:rsidP="004D2249">
            <w:pPr>
              <w:jc w:val="right"/>
              <w:rPr>
                <w:rFonts w:eastAsia="Calibri" w:cs="Times New Roman"/>
                <w:sz w:val="20"/>
                <w:szCs w:val="20"/>
                <w:lang w:val="cs-CZ"/>
              </w:rPr>
            </w:pPr>
            <w:r w:rsidRPr="005C1C3F">
              <w:rPr>
                <w:rFonts w:eastAsia="Calibri" w:cs="Times New Roman"/>
                <w:color w:val="000000"/>
                <w:sz w:val="20"/>
                <w:szCs w:val="20"/>
                <w:lang w:val="cs-CZ"/>
              </w:rPr>
              <w:t>72 789</w:t>
            </w:r>
          </w:p>
        </w:tc>
        <w:tc>
          <w:tcPr>
            <w:tcW w:w="16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132A387" w14:textId="77777777" w:rsidR="003E0F58" w:rsidRPr="005C1C3F" w:rsidRDefault="003E0F58" w:rsidP="004D2249">
            <w:pPr>
              <w:jc w:val="right"/>
              <w:rPr>
                <w:rFonts w:eastAsia="Calibri" w:cs="Times New Roman"/>
                <w:sz w:val="20"/>
                <w:szCs w:val="20"/>
                <w:lang w:val="cs-CZ"/>
              </w:rPr>
            </w:pPr>
            <w:r w:rsidRPr="005C1C3F">
              <w:rPr>
                <w:rFonts w:eastAsia="Calibri" w:cs="Times New Roman"/>
                <w:color w:val="000000"/>
                <w:sz w:val="20"/>
                <w:szCs w:val="20"/>
                <w:lang w:val="cs-CZ"/>
              </w:rPr>
              <w:t>2 723</w:t>
            </w:r>
          </w:p>
        </w:tc>
        <w:tc>
          <w:tcPr>
            <w:tcW w:w="1560" w:type="dxa"/>
            <w:noWrap/>
            <w:tcMar>
              <w:top w:w="0" w:type="dxa"/>
              <w:left w:w="70" w:type="dxa"/>
              <w:bottom w:w="0" w:type="dxa"/>
              <w:right w:w="70" w:type="dxa"/>
            </w:tcMar>
            <w:vAlign w:val="bottom"/>
            <w:hideMark/>
          </w:tcPr>
          <w:p w14:paraId="0EB80FCB" w14:textId="77777777" w:rsidR="003E0F58" w:rsidRPr="005C1C3F" w:rsidRDefault="003E0F58" w:rsidP="004D2249">
            <w:pPr>
              <w:jc w:val="left"/>
              <w:rPr>
                <w:rFonts w:eastAsia="Calibri" w:cs="Times New Roman"/>
                <w:sz w:val="20"/>
                <w:szCs w:val="20"/>
                <w:lang w:val="cs-CZ"/>
              </w:rPr>
            </w:pPr>
          </w:p>
        </w:tc>
        <w:tc>
          <w:tcPr>
            <w:tcW w:w="1300" w:type="dxa"/>
            <w:noWrap/>
            <w:tcMar>
              <w:top w:w="0" w:type="dxa"/>
              <w:left w:w="70" w:type="dxa"/>
              <w:bottom w:w="0" w:type="dxa"/>
              <w:right w:w="70" w:type="dxa"/>
            </w:tcMar>
            <w:vAlign w:val="bottom"/>
            <w:hideMark/>
          </w:tcPr>
          <w:p w14:paraId="4642967E" w14:textId="77777777" w:rsidR="003E0F58" w:rsidRPr="005C1C3F" w:rsidRDefault="003E0F58" w:rsidP="004D2249">
            <w:pPr>
              <w:jc w:val="left"/>
              <w:rPr>
                <w:rFonts w:cs="Times New Roman"/>
                <w:sz w:val="20"/>
                <w:szCs w:val="20"/>
                <w:lang w:val="cs-CZ"/>
              </w:rPr>
            </w:pPr>
          </w:p>
        </w:tc>
        <w:tc>
          <w:tcPr>
            <w:tcW w:w="960" w:type="dxa"/>
            <w:noWrap/>
            <w:tcMar>
              <w:top w:w="0" w:type="dxa"/>
              <w:left w:w="70" w:type="dxa"/>
              <w:bottom w:w="0" w:type="dxa"/>
              <w:right w:w="70" w:type="dxa"/>
            </w:tcMar>
            <w:vAlign w:val="bottom"/>
            <w:hideMark/>
          </w:tcPr>
          <w:p w14:paraId="03944A83" w14:textId="77777777" w:rsidR="003E0F58" w:rsidRPr="005C1C3F" w:rsidRDefault="003E0F58" w:rsidP="004D2249">
            <w:pPr>
              <w:jc w:val="left"/>
              <w:rPr>
                <w:rFonts w:cs="Times New Roman"/>
                <w:sz w:val="20"/>
                <w:szCs w:val="20"/>
                <w:lang w:val="cs-CZ"/>
              </w:rPr>
            </w:pPr>
          </w:p>
        </w:tc>
        <w:tc>
          <w:tcPr>
            <w:tcW w:w="1520" w:type="dxa"/>
            <w:noWrap/>
            <w:tcMar>
              <w:top w:w="0" w:type="dxa"/>
              <w:left w:w="70" w:type="dxa"/>
              <w:bottom w:w="0" w:type="dxa"/>
              <w:right w:w="70" w:type="dxa"/>
            </w:tcMar>
            <w:vAlign w:val="bottom"/>
            <w:hideMark/>
          </w:tcPr>
          <w:p w14:paraId="6AFB4094" w14:textId="77777777" w:rsidR="003E0F58" w:rsidRPr="005C1C3F" w:rsidRDefault="003E0F58" w:rsidP="004D2249">
            <w:pPr>
              <w:jc w:val="left"/>
              <w:rPr>
                <w:rFonts w:cs="Times New Roman"/>
                <w:sz w:val="20"/>
                <w:szCs w:val="20"/>
                <w:lang w:val="cs-CZ"/>
              </w:rPr>
            </w:pPr>
          </w:p>
        </w:tc>
        <w:tc>
          <w:tcPr>
            <w:tcW w:w="1260" w:type="dxa"/>
            <w:noWrap/>
            <w:tcMar>
              <w:top w:w="0" w:type="dxa"/>
              <w:left w:w="70" w:type="dxa"/>
              <w:bottom w:w="0" w:type="dxa"/>
              <w:right w:w="70" w:type="dxa"/>
            </w:tcMar>
            <w:vAlign w:val="bottom"/>
            <w:hideMark/>
          </w:tcPr>
          <w:p w14:paraId="43E9686C" w14:textId="77777777" w:rsidR="003E0F58" w:rsidRPr="005C1C3F" w:rsidRDefault="003E0F58" w:rsidP="004D2249">
            <w:pPr>
              <w:jc w:val="left"/>
              <w:rPr>
                <w:rFonts w:cs="Times New Roman"/>
                <w:sz w:val="20"/>
                <w:szCs w:val="20"/>
                <w:lang w:val="cs-CZ"/>
              </w:rPr>
            </w:pPr>
          </w:p>
        </w:tc>
        <w:tc>
          <w:tcPr>
            <w:tcW w:w="1300" w:type="dxa"/>
            <w:noWrap/>
            <w:tcMar>
              <w:top w:w="0" w:type="dxa"/>
              <w:left w:w="70" w:type="dxa"/>
              <w:bottom w:w="0" w:type="dxa"/>
              <w:right w:w="70" w:type="dxa"/>
            </w:tcMar>
            <w:vAlign w:val="bottom"/>
            <w:hideMark/>
          </w:tcPr>
          <w:p w14:paraId="6C57DE69" w14:textId="77777777" w:rsidR="003E0F58" w:rsidRPr="005C1C3F" w:rsidRDefault="003E0F58" w:rsidP="004D2249">
            <w:pPr>
              <w:jc w:val="left"/>
              <w:rPr>
                <w:rFonts w:cs="Times New Roman"/>
                <w:sz w:val="20"/>
                <w:szCs w:val="20"/>
                <w:lang w:val="cs-CZ"/>
              </w:rPr>
            </w:pPr>
          </w:p>
        </w:tc>
        <w:tc>
          <w:tcPr>
            <w:tcW w:w="1180" w:type="dxa"/>
            <w:noWrap/>
            <w:tcMar>
              <w:top w:w="0" w:type="dxa"/>
              <w:left w:w="70" w:type="dxa"/>
              <w:bottom w:w="0" w:type="dxa"/>
              <w:right w:w="70" w:type="dxa"/>
            </w:tcMar>
            <w:vAlign w:val="bottom"/>
            <w:hideMark/>
          </w:tcPr>
          <w:p w14:paraId="01FC408F" w14:textId="77777777" w:rsidR="003E0F58" w:rsidRPr="005C1C3F" w:rsidRDefault="003E0F58" w:rsidP="004D2249">
            <w:pPr>
              <w:jc w:val="left"/>
              <w:rPr>
                <w:rFonts w:cs="Times New Roman"/>
                <w:sz w:val="20"/>
                <w:szCs w:val="20"/>
                <w:lang w:val="cs-CZ"/>
              </w:rPr>
            </w:pPr>
          </w:p>
        </w:tc>
      </w:tr>
      <w:tr w:rsidR="003E0F58" w:rsidRPr="005C1C3F" w14:paraId="38881D0E" w14:textId="77777777" w:rsidTr="004D2249">
        <w:trPr>
          <w:trHeight w:val="300"/>
        </w:trPr>
        <w:tc>
          <w:tcPr>
            <w:tcW w:w="2800" w:type="dxa"/>
            <w:tcBorders>
              <w:top w:val="nil"/>
              <w:left w:val="single" w:sz="8" w:space="0" w:color="auto"/>
              <w:bottom w:val="single" w:sz="8" w:space="0" w:color="auto"/>
              <w:right w:val="single" w:sz="8" w:space="0" w:color="auto"/>
            </w:tcBorders>
            <w:shd w:val="clear" w:color="auto" w:fill="C6C4C4"/>
            <w:tcMar>
              <w:top w:w="0" w:type="dxa"/>
              <w:left w:w="70" w:type="dxa"/>
              <w:bottom w:w="0" w:type="dxa"/>
              <w:right w:w="70" w:type="dxa"/>
            </w:tcMar>
            <w:vAlign w:val="center"/>
            <w:hideMark/>
          </w:tcPr>
          <w:p w14:paraId="10F3ED12" w14:textId="77777777" w:rsidR="003E0F58" w:rsidRPr="005C1C3F" w:rsidRDefault="003E0F58" w:rsidP="004D2249">
            <w:pPr>
              <w:jc w:val="left"/>
              <w:rPr>
                <w:rFonts w:eastAsia="Calibri" w:cs="Times New Roman"/>
                <w:sz w:val="20"/>
                <w:szCs w:val="20"/>
                <w:lang w:val="cs-CZ"/>
              </w:rPr>
            </w:pPr>
            <w:r w:rsidRPr="005C1C3F">
              <w:rPr>
                <w:rFonts w:eastAsia="Calibri" w:cs="Times New Roman"/>
                <w:b/>
                <w:bCs/>
                <w:color w:val="000000"/>
                <w:sz w:val="20"/>
                <w:szCs w:val="20"/>
                <w:lang w:val="cs-CZ"/>
              </w:rPr>
              <w:t>2017</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8DA7AE4" w14:textId="77777777" w:rsidR="003E0F58" w:rsidRPr="005C1C3F" w:rsidRDefault="003E0F58" w:rsidP="004D2249">
            <w:pPr>
              <w:jc w:val="right"/>
              <w:rPr>
                <w:rFonts w:eastAsia="Calibri" w:cs="Times New Roman"/>
                <w:sz w:val="20"/>
                <w:szCs w:val="20"/>
                <w:lang w:val="cs-CZ"/>
              </w:rPr>
            </w:pPr>
            <w:r w:rsidRPr="005C1C3F">
              <w:rPr>
                <w:rFonts w:eastAsia="Calibri" w:cs="Times New Roman"/>
                <w:color w:val="000000"/>
                <w:sz w:val="20"/>
                <w:szCs w:val="20"/>
                <w:lang w:val="cs-CZ"/>
              </w:rPr>
              <w:t>5</w:t>
            </w:r>
          </w:p>
        </w:tc>
        <w:tc>
          <w:tcPr>
            <w:tcW w:w="12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0A9753C" w14:textId="77777777" w:rsidR="003E0F58" w:rsidRPr="005C1C3F" w:rsidRDefault="003E0F58" w:rsidP="004D2249">
            <w:pPr>
              <w:jc w:val="right"/>
              <w:rPr>
                <w:rFonts w:eastAsia="Calibri" w:cs="Times New Roman"/>
                <w:sz w:val="20"/>
                <w:szCs w:val="20"/>
                <w:lang w:val="cs-CZ"/>
              </w:rPr>
            </w:pPr>
            <w:r w:rsidRPr="005C1C3F">
              <w:rPr>
                <w:rFonts w:eastAsia="Calibri" w:cs="Times New Roman"/>
                <w:color w:val="000000"/>
                <w:sz w:val="20"/>
                <w:szCs w:val="20"/>
                <w:lang w:val="cs-CZ"/>
              </w:rPr>
              <w:t>5</w:t>
            </w:r>
          </w:p>
        </w:tc>
        <w:tc>
          <w:tcPr>
            <w:tcW w:w="14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0037B1B" w14:textId="77777777" w:rsidR="003E0F58" w:rsidRPr="005C1C3F" w:rsidRDefault="003E0F58" w:rsidP="004D2249">
            <w:pPr>
              <w:jc w:val="right"/>
              <w:rPr>
                <w:rFonts w:eastAsia="Calibri" w:cs="Times New Roman"/>
                <w:sz w:val="20"/>
                <w:szCs w:val="20"/>
                <w:lang w:val="cs-CZ"/>
              </w:rPr>
            </w:pPr>
            <w:r w:rsidRPr="005C1C3F">
              <w:rPr>
                <w:rFonts w:eastAsia="Calibri" w:cs="Times New Roman"/>
                <w:color w:val="000000"/>
                <w:sz w:val="20"/>
                <w:szCs w:val="20"/>
                <w:lang w:val="cs-CZ"/>
              </w:rPr>
              <w:t>50</w:t>
            </w:r>
          </w:p>
        </w:tc>
        <w:tc>
          <w:tcPr>
            <w:tcW w:w="16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0967B7A" w14:textId="77777777" w:rsidR="003E0F58" w:rsidRPr="005C1C3F" w:rsidRDefault="003E0F58" w:rsidP="004D2249">
            <w:pPr>
              <w:jc w:val="right"/>
              <w:rPr>
                <w:rFonts w:eastAsia="Calibri" w:cs="Times New Roman"/>
                <w:sz w:val="20"/>
                <w:szCs w:val="20"/>
                <w:lang w:val="cs-CZ"/>
              </w:rPr>
            </w:pPr>
            <w:r w:rsidRPr="005C1C3F">
              <w:rPr>
                <w:rFonts w:eastAsia="Calibri" w:cs="Times New Roman"/>
                <w:color w:val="000000"/>
                <w:sz w:val="20"/>
                <w:szCs w:val="20"/>
                <w:lang w:val="cs-CZ"/>
              </w:rPr>
              <w:t>656 794</w:t>
            </w:r>
          </w:p>
        </w:tc>
        <w:tc>
          <w:tcPr>
            <w:tcW w:w="16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80BA16D" w14:textId="77777777" w:rsidR="003E0F58" w:rsidRPr="005C1C3F" w:rsidRDefault="003E0F58" w:rsidP="004D2249">
            <w:pPr>
              <w:jc w:val="right"/>
              <w:rPr>
                <w:rFonts w:eastAsia="Calibri" w:cs="Times New Roman"/>
                <w:sz w:val="20"/>
                <w:szCs w:val="20"/>
                <w:lang w:val="cs-CZ"/>
              </w:rPr>
            </w:pPr>
            <w:r w:rsidRPr="005C1C3F">
              <w:rPr>
                <w:rFonts w:eastAsia="Calibri" w:cs="Times New Roman"/>
                <w:color w:val="000000"/>
                <w:sz w:val="20"/>
                <w:szCs w:val="20"/>
                <w:lang w:val="cs-CZ"/>
              </w:rPr>
              <w:t>25 795</w:t>
            </w:r>
          </w:p>
        </w:tc>
        <w:tc>
          <w:tcPr>
            <w:tcW w:w="1560" w:type="dxa"/>
            <w:noWrap/>
            <w:tcMar>
              <w:top w:w="0" w:type="dxa"/>
              <w:left w:w="70" w:type="dxa"/>
              <w:bottom w:w="0" w:type="dxa"/>
              <w:right w:w="70" w:type="dxa"/>
            </w:tcMar>
            <w:vAlign w:val="bottom"/>
            <w:hideMark/>
          </w:tcPr>
          <w:p w14:paraId="713CD5F2" w14:textId="77777777" w:rsidR="003E0F58" w:rsidRPr="005C1C3F" w:rsidRDefault="003E0F58" w:rsidP="004D2249">
            <w:pPr>
              <w:jc w:val="left"/>
              <w:rPr>
                <w:rFonts w:eastAsia="Calibri" w:cs="Times New Roman"/>
                <w:sz w:val="20"/>
                <w:szCs w:val="20"/>
                <w:lang w:val="cs-CZ"/>
              </w:rPr>
            </w:pPr>
          </w:p>
        </w:tc>
        <w:tc>
          <w:tcPr>
            <w:tcW w:w="1300" w:type="dxa"/>
            <w:noWrap/>
            <w:tcMar>
              <w:top w:w="0" w:type="dxa"/>
              <w:left w:w="70" w:type="dxa"/>
              <w:bottom w:w="0" w:type="dxa"/>
              <w:right w:w="70" w:type="dxa"/>
            </w:tcMar>
            <w:vAlign w:val="bottom"/>
            <w:hideMark/>
          </w:tcPr>
          <w:p w14:paraId="45E88ECA" w14:textId="77777777" w:rsidR="003E0F58" w:rsidRPr="005C1C3F" w:rsidRDefault="003E0F58" w:rsidP="004D2249">
            <w:pPr>
              <w:jc w:val="left"/>
              <w:rPr>
                <w:rFonts w:cs="Times New Roman"/>
                <w:sz w:val="20"/>
                <w:szCs w:val="20"/>
                <w:lang w:val="cs-CZ"/>
              </w:rPr>
            </w:pPr>
          </w:p>
        </w:tc>
        <w:tc>
          <w:tcPr>
            <w:tcW w:w="960" w:type="dxa"/>
            <w:noWrap/>
            <w:tcMar>
              <w:top w:w="0" w:type="dxa"/>
              <w:left w:w="70" w:type="dxa"/>
              <w:bottom w:w="0" w:type="dxa"/>
              <w:right w:w="70" w:type="dxa"/>
            </w:tcMar>
            <w:vAlign w:val="bottom"/>
            <w:hideMark/>
          </w:tcPr>
          <w:p w14:paraId="05BAA830" w14:textId="77777777" w:rsidR="003E0F58" w:rsidRPr="005C1C3F" w:rsidRDefault="003E0F58" w:rsidP="004D2249">
            <w:pPr>
              <w:jc w:val="left"/>
              <w:rPr>
                <w:rFonts w:cs="Times New Roman"/>
                <w:sz w:val="20"/>
                <w:szCs w:val="20"/>
                <w:lang w:val="cs-CZ"/>
              </w:rPr>
            </w:pPr>
          </w:p>
        </w:tc>
        <w:tc>
          <w:tcPr>
            <w:tcW w:w="1520" w:type="dxa"/>
            <w:noWrap/>
            <w:tcMar>
              <w:top w:w="0" w:type="dxa"/>
              <w:left w:w="70" w:type="dxa"/>
              <w:bottom w:w="0" w:type="dxa"/>
              <w:right w:w="70" w:type="dxa"/>
            </w:tcMar>
            <w:vAlign w:val="bottom"/>
            <w:hideMark/>
          </w:tcPr>
          <w:p w14:paraId="64D2F3E1" w14:textId="77777777" w:rsidR="003E0F58" w:rsidRPr="005C1C3F" w:rsidRDefault="003E0F58" w:rsidP="004D2249">
            <w:pPr>
              <w:jc w:val="left"/>
              <w:rPr>
                <w:rFonts w:cs="Times New Roman"/>
                <w:sz w:val="20"/>
                <w:szCs w:val="20"/>
                <w:lang w:val="cs-CZ"/>
              </w:rPr>
            </w:pPr>
          </w:p>
        </w:tc>
        <w:tc>
          <w:tcPr>
            <w:tcW w:w="1260" w:type="dxa"/>
            <w:noWrap/>
            <w:tcMar>
              <w:top w:w="0" w:type="dxa"/>
              <w:left w:w="70" w:type="dxa"/>
              <w:bottom w:w="0" w:type="dxa"/>
              <w:right w:w="70" w:type="dxa"/>
            </w:tcMar>
            <w:vAlign w:val="bottom"/>
            <w:hideMark/>
          </w:tcPr>
          <w:p w14:paraId="0BE2F2A8" w14:textId="77777777" w:rsidR="003E0F58" w:rsidRPr="005C1C3F" w:rsidRDefault="003E0F58" w:rsidP="004D2249">
            <w:pPr>
              <w:jc w:val="left"/>
              <w:rPr>
                <w:rFonts w:cs="Times New Roman"/>
                <w:sz w:val="20"/>
                <w:szCs w:val="20"/>
                <w:lang w:val="cs-CZ"/>
              </w:rPr>
            </w:pPr>
          </w:p>
        </w:tc>
        <w:tc>
          <w:tcPr>
            <w:tcW w:w="1300" w:type="dxa"/>
            <w:noWrap/>
            <w:tcMar>
              <w:top w:w="0" w:type="dxa"/>
              <w:left w:w="70" w:type="dxa"/>
              <w:bottom w:w="0" w:type="dxa"/>
              <w:right w:w="70" w:type="dxa"/>
            </w:tcMar>
            <w:vAlign w:val="bottom"/>
            <w:hideMark/>
          </w:tcPr>
          <w:p w14:paraId="1C83CA6F" w14:textId="77777777" w:rsidR="003E0F58" w:rsidRPr="005C1C3F" w:rsidRDefault="003E0F58" w:rsidP="004D2249">
            <w:pPr>
              <w:jc w:val="left"/>
              <w:rPr>
                <w:rFonts w:cs="Times New Roman"/>
                <w:sz w:val="20"/>
                <w:szCs w:val="20"/>
                <w:lang w:val="cs-CZ"/>
              </w:rPr>
            </w:pPr>
          </w:p>
        </w:tc>
        <w:tc>
          <w:tcPr>
            <w:tcW w:w="1180" w:type="dxa"/>
            <w:noWrap/>
            <w:tcMar>
              <w:top w:w="0" w:type="dxa"/>
              <w:left w:w="70" w:type="dxa"/>
              <w:bottom w:w="0" w:type="dxa"/>
              <w:right w:w="70" w:type="dxa"/>
            </w:tcMar>
            <w:vAlign w:val="bottom"/>
            <w:hideMark/>
          </w:tcPr>
          <w:p w14:paraId="06F9CF08" w14:textId="77777777" w:rsidR="003E0F58" w:rsidRPr="005C1C3F" w:rsidRDefault="003E0F58" w:rsidP="004D2249">
            <w:pPr>
              <w:jc w:val="left"/>
              <w:rPr>
                <w:rFonts w:cs="Times New Roman"/>
                <w:sz w:val="20"/>
                <w:szCs w:val="20"/>
                <w:lang w:val="cs-CZ"/>
              </w:rPr>
            </w:pPr>
          </w:p>
        </w:tc>
      </w:tr>
      <w:tr w:rsidR="003E0F58" w:rsidRPr="005C1C3F" w14:paraId="676D0CD2" w14:textId="77777777" w:rsidTr="004D2249">
        <w:trPr>
          <w:trHeight w:val="300"/>
        </w:trPr>
        <w:tc>
          <w:tcPr>
            <w:tcW w:w="9800" w:type="dxa"/>
            <w:gridSpan w:val="6"/>
            <w:tcMar>
              <w:top w:w="0" w:type="dxa"/>
              <w:left w:w="70" w:type="dxa"/>
              <w:bottom w:w="0" w:type="dxa"/>
              <w:right w:w="70" w:type="dxa"/>
            </w:tcMar>
            <w:vAlign w:val="center"/>
            <w:hideMark/>
          </w:tcPr>
          <w:p w14:paraId="58CF6FEF" w14:textId="77777777" w:rsidR="003E0F58" w:rsidRPr="005C1C3F" w:rsidRDefault="003E0F58" w:rsidP="005C1C3F">
            <w:pPr>
              <w:pStyle w:val="UZEIZdroj"/>
            </w:pPr>
            <w:r w:rsidRPr="005C1C3F">
              <w:t>*v důsledku víceletých závazků nelze plochy v jednotlivých letech sčítat: Celkem bylo zatravněno 50 ha drah soustředěného odtoku.</w:t>
            </w:r>
          </w:p>
        </w:tc>
        <w:tc>
          <w:tcPr>
            <w:tcW w:w="1560" w:type="dxa"/>
            <w:noWrap/>
            <w:tcMar>
              <w:top w:w="0" w:type="dxa"/>
              <w:left w:w="70" w:type="dxa"/>
              <w:bottom w:w="0" w:type="dxa"/>
              <w:right w:w="70" w:type="dxa"/>
            </w:tcMar>
            <w:vAlign w:val="bottom"/>
            <w:hideMark/>
          </w:tcPr>
          <w:p w14:paraId="29061977" w14:textId="77777777" w:rsidR="003E0F58" w:rsidRPr="005C1C3F" w:rsidRDefault="003E0F58" w:rsidP="005C1C3F">
            <w:pPr>
              <w:pStyle w:val="UZEIZdroj"/>
            </w:pPr>
          </w:p>
        </w:tc>
        <w:tc>
          <w:tcPr>
            <w:tcW w:w="1300" w:type="dxa"/>
            <w:noWrap/>
            <w:tcMar>
              <w:top w:w="0" w:type="dxa"/>
              <w:left w:w="70" w:type="dxa"/>
              <w:bottom w:w="0" w:type="dxa"/>
              <w:right w:w="70" w:type="dxa"/>
            </w:tcMar>
            <w:vAlign w:val="bottom"/>
            <w:hideMark/>
          </w:tcPr>
          <w:p w14:paraId="6A0BA473" w14:textId="77777777" w:rsidR="003E0F58" w:rsidRPr="005C1C3F" w:rsidRDefault="003E0F58" w:rsidP="005C1C3F">
            <w:pPr>
              <w:pStyle w:val="UZEIZdroj"/>
            </w:pPr>
          </w:p>
        </w:tc>
        <w:tc>
          <w:tcPr>
            <w:tcW w:w="960" w:type="dxa"/>
            <w:noWrap/>
            <w:tcMar>
              <w:top w:w="0" w:type="dxa"/>
              <w:left w:w="70" w:type="dxa"/>
              <w:bottom w:w="0" w:type="dxa"/>
              <w:right w:w="70" w:type="dxa"/>
            </w:tcMar>
            <w:vAlign w:val="bottom"/>
            <w:hideMark/>
          </w:tcPr>
          <w:p w14:paraId="5BB0AEC9" w14:textId="77777777" w:rsidR="003E0F58" w:rsidRPr="005C1C3F" w:rsidRDefault="003E0F58" w:rsidP="005C1C3F">
            <w:pPr>
              <w:pStyle w:val="UZEIZdroj"/>
            </w:pPr>
          </w:p>
        </w:tc>
        <w:tc>
          <w:tcPr>
            <w:tcW w:w="1520" w:type="dxa"/>
            <w:noWrap/>
            <w:tcMar>
              <w:top w:w="0" w:type="dxa"/>
              <w:left w:w="70" w:type="dxa"/>
              <w:bottom w:w="0" w:type="dxa"/>
              <w:right w:w="70" w:type="dxa"/>
            </w:tcMar>
            <w:vAlign w:val="bottom"/>
            <w:hideMark/>
          </w:tcPr>
          <w:p w14:paraId="242E3B26" w14:textId="77777777" w:rsidR="003E0F58" w:rsidRPr="005C1C3F" w:rsidRDefault="003E0F58" w:rsidP="005C1C3F">
            <w:pPr>
              <w:pStyle w:val="UZEIZdroj"/>
            </w:pPr>
          </w:p>
        </w:tc>
        <w:tc>
          <w:tcPr>
            <w:tcW w:w="1260" w:type="dxa"/>
            <w:noWrap/>
            <w:tcMar>
              <w:top w:w="0" w:type="dxa"/>
              <w:left w:w="70" w:type="dxa"/>
              <w:bottom w:w="0" w:type="dxa"/>
              <w:right w:w="70" w:type="dxa"/>
            </w:tcMar>
            <w:vAlign w:val="bottom"/>
            <w:hideMark/>
          </w:tcPr>
          <w:p w14:paraId="1C9FEA63" w14:textId="77777777" w:rsidR="003E0F58" w:rsidRPr="005C1C3F" w:rsidRDefault="003E0F58" w:rsidP="005C1C3F">
            <w:pPr>
              <w:pStyle w:val="UZEIZdroj"/>
            </w:pPr>
          </w:p>
        </w:tc>
        <w:tc>
          <w:tcPr>
            <w:tcW w:w="1300" w:type="dxa"/>
            <w:noWrap/>
            <w:tcMar>
              <w:top w:w="0" w:type="dxa"/>
              <w:left w:w="70" w:type="dxa"/>
              <w:bottom w:w="0" w:type="dxa"/>
              <w:right w:w="70" w:type="dxa"/>
            </w:tcMar>
            <w:vAlign w:val="bottom"/>
            <w:hideMark/>
          </w:tcPr>
          <w:p w14:paraId="3DEF99AD" w14:textId="77777777" w:rsidR="003E0F58" w:rsidRPr="005C1C3F" w:rsidRDefault="003E0F58" w:rsidP="005C1C3F">
            <w:pPr>
              <w:pStyle w:val="UZEIZdroj"/>
            </w:pPr>
          </w:p>
        </w:tc>
        <w:tc>
          <w:tcPr>
            <w:tcW w:w="1180" w:type="dxa"/>
            <w:noWrap/>
            <w:tcMar>
              <w:top w:w="0" w:type="dxa"/>
              <w:left w:w="70" w:type="dxa"/>
              <w:bottom w:w="0" w:type="dxa"/>
              <w:right w:w="70" w:type="dxa"/>
            </w:tcMar>
            <w:vAlign w:val="bottom"/>
            <w:hideMark/>
          </w:tcPr>
          <w:p w14:paraId="2BE76727" w14:textId="77777777" w:rsidR="003E0F58" w:rsidRPr="005C1C3F" w:rsidRDefault="003E0F58" w:rsidP="005C1C3F">
            <w:pPr>
              <w:pStyle w:val="UZEIZdroj"/>
            </w:pPr>
          </w:p>
        </w:tc>
      </w:tr>
    </w:tbl>
    <w:p w14:paraId="5D91C355" w14:textId="4018C9AE" w:rsidR="003E0F58" w:rsidRPr="007C705C" w:rsidRDefault="003E0F58" w:rsidP="005C1C3F">
      <w:pPr>
        <w:pStyle w:val="UZEIZdroj"/>
        <w:rPr>
          <w:rFonts w:eastAsiaTheme="minorEastAsia"/>
        </w:rPr>
      </w:pPr>
      <w:r w:rsidRPr="007C705C">
        <w:rPr>
          <w:rFonts w:eastAsiaTheme="minorEastAsia"/>
        </w:rPr>
        <w:t>Stav k</w:t>
      </w:r>
      <w:r w:rsidR="00F075AF">
        <w:rPr>
          <w:rFonts w:eastAsiaTheme="minorEastAsia"/>
        </w:rPr>
        <w:t> </w:t>
      </w:r>
      <w:r w:rsidRPr="007C705C">
        <w:rPr>
          <w:rFonts w:eastAsiaTheme="minorEastAsia"/>
        </w:rPr>
        <w:t>29</w:t>
      </w:r>
      <w:r w:rsidR="00F075AF">
        <w:rPr>
          <w:rFonts w:eastAsiaTheme="minorEastAsia"/>
        </w:rPr>
        <w:t xml:space="preserve"> .6.  </w:t>
      </w:r>
      <w:r w:rsidRPr="007C705C">
        <w:rPr>
          <w:rFonts w:eastAsiaTheme="minorEastAsia"/>
        </w:rPr>
        <w:t>2018</w:t>
      </w:r>
    </w:p>
    <w:p w14:paraId="523AB0D7" w14:textId="16CB6B49" w:rsidR="003E0F58" w:rsidRPr="007C705C" w:rsidRDefault="003E0F58" w:rsidP="00733FC4">
      <w:pPr>
        <w:pStyle w:val="UZEIZdroj"/>
      </w:pPr>
      <w:r w:rsidRPr="007C705C">
        <w:rPr>
          <w:rFonts w:eastAsiaTheme="minorEastAsia"/>
        </w:rPr>
        <w:t>Zdroj: MZe (odbor Řídící orgán PRV)</w:t>
      </w:r>
    </w:p>
    <w:p w14:paraId="309F13A1" w14:textId="2C6979E3" w:rsidR="003E0F58" w:rsidRPr="007C705C" w:rsidRDefault="00733FC4" w:rsidP="00733FC4">
      <w:pPr>
        <w:pStyle w:val="UZEITaB"/>
      </w:pPr>
      <w:bookmarkStart w:id="444" w:name="_Toc77245861"/>
      <w:r>
        <w:t xml:space="preserve"> </w:t>
      </w:r>
      <w:bookmarkStart w:id="445" w:name="_Toc94181628"/>
      <w:r w:rsidR="003E0F58" w:rsidRPr="007C705C">
        <w:t>Přehled o čerpání podpor přispívajících k odolnosti zemědělských podniků vůči klimatickým změnám v rámci opatření 10 PRV (2014-2020) - Zatravňování drah soustředěného odtoku - podané žádosti</w:t>
      </w:r>
      <w:bookmarkEnd w:id="444"/>
      <w:bookmarkEnd w:id="445"/>
    </w:p>
    <w:tbl>
      <w:tblPr>
        <w:tblW w:w="5795" w:type="pct"/>
        <w:tblCellMar>
          <w:left w:w="0" w:type="dxa"/>
          <w:right w:w="0" w:type="dxa"/>
        </w:tblCellMar>
        <w:tblLook w:val="04A0" w:firstRow="1" w:lastRow="0" w:firstColumn="1" w:lastColumn="0" w:noHBand="0" w:noVBand="1"/>
      </w:tblPr>
      <w:tblGrid>
        <w:gridCol w:w="992"/>
        <w:gridCol w:w="1414"/>
        <w:gridCol w:w="2269"/>
        <w:gridCol w:w="3629"/>
        <w:gridCol w:w="177"/>
        <w:gridCol w:w="156"/>
        <w:gridCol w:w="32"/>
        <w:gridCol w:w="166"/>
        <w:gridCol w:w="36"/>
        <w:gridCol w:w="126"/>
        <w:gridCol w:w="189"/>
        <w:gridCol w:w="48"/>
        <w:gridCol w:w="86"/>
        <w:gridCol w:w="84"/>
        <w:gridCol w:w="50"/>
        <w:gridCol w:w="82"/>
        <w:gridCol w:w="90"/>
        <w:gridCol w:w="6"/>
        <w:gridCol w:w="151"/>
        <w:gridCol w:w="13"/>
        <w:gridCol w:w="80"/>
        <w:gridCol w:w="71"/>
        <w:gridCol w:w="93"/>
        <w:gridCol w:w="278"/>
        <w:gridCol w:w="196"/>
      </w:tblGrid>
      <w:tr w:rsidR="00733FC4" w:rsidRPr="00733FC4" w14:paraId="4462F88F" w14:textId="77777777" w:rsidTr="00733FC4">
        <w:trPr>
          <w:trHeight w:val="309"/>
        </w:trPr>
        <w:tc>
          <w:tcPr>
            <w:tcW w:w="3950" w:type="pct"/>
            <w:gridSpan w:val="4"/>
            <w:noWrap/>
            <w:tcMar>
              <w:top w:w="0" w:type="dxa"/>
              <w:left w:w="70" w:type="dxa"/>
              <w:bottom w:w="0" w:type="dxa"/>
              <w:right w:w="70" w:type="dxa"/>
            </w:tcMar>
            <w:vAlign w:val="bottom"/>
            <w:hideMark/>
          </w:tcPr>
          <w:p w14:paraId="61C0D410" w14:textId="77777777" w:rsidR="003E0F58" w:rsidRPr="00733FC4" w:rsidRDefault="003E0F58" w:rsidP="004D2249">
            <w:pPr>
              <w:jc w:val="left"/>
              <w:rPr>
                <w:rFonts w:eastAsia="Calibri" w:cs="Times New Roman"/>
                <w:sz w:val="20"/>
                <w:szCs w:val="20"/>
                <w:lang w:val="cs-CZ"/>
              </w:rPr>
            </w:pPr>
            <w:r w:rsidRPr="00733FC4">
              <w:rPr>
                <w:rFonts w:eastAsia="Calibri" w:cs="Times New Roman"/>
                <w:b/>
                <w:bCs/>
                <w:color w:val="000000"/>
                <w:sz w:val="20"/>
                <w:szCs w:val="20"/>
                <w:lang w:val="cs-CZ"/>
              </w:rPr>
              <w:t>10.1.8. Zatravňování drah soustředěného odtoku - podané žádosti</w:t>
            </w:r>
          </w:p>
        </w:tc>
        <w:tc>
          <w:tcPr>
            <w:tcW w:w="84" w:type="pct"/>
            <w:noWrap/>
            <w:tcMar>
              <w:top w:w="0" w:type="dxa"/>
              <w:left w:w="70" w:type="dxa"/>
              <w:bottom w:w="0" w:type="dxa"/>
              <w:right w:w="70" w:type="dxa"/>
            </w:tcMar>
            <w:vAlign w:val="bottom"/>
            <w:hideMark/>
          </w:tcPr>
          <w:p w14:paraId="3D945C14" w14:textId="77777777" w:rsidR="003E0F58" w:rsidRPr="00733FC4" w:rsidRDefault="003E0F58" w:rsidP="004D2249">
            <w:pPr>
              <w:jc w:val="left"/>
              <w:rPr>
                <w:rFonts w:eastAsia="Calibri" w:cs="Times New Roman"/>
                <w:sz w:val="20"/>
                <w:szCs w:val="20"/>
                <w:lang w:val="cs-CZ"/>
              </w:rPr>
            </w:pPr>
          </w:p>
        </w:tc>
        <w:tc>
          <w:tcPr>
            <w:tcW w:w="185" w:type="pct"/>
            <w:gridSpan w:val="4"/>
            <w:noWrap/>
            <w:tcMar>
              <w:top w:w="0" w:type="dxa"/>
              <w:left w:w="70" w:type="dxa"/>
              <w:bottom w:w="0" w:type="dxa"/>
              <w:right w:w="70" w:type="dxa"/>
            </w:tcMar>
            <w:vAlign w:val="bottom"/>
            <w:hideMark/>
          </w:tcPr>
          <w:p w14:paraId="7F9D452D" w14:textId="77777777" w:rsidR="003E0F58" w:rsidRPr="00733FC4" w:rsidRDefault="003E0F58" w:rsidP="004D2249">
            <w:pPr>
              <w:jc w:val="left"/>
              <w:rPr>
                <w:rFonts w:cs="Times New Roman"/>
                <w:sz w:val="20"/>
                <w:szCs w:val="20"/>
                <w:lang w:val="cs-CZ"/>
              </w:rPr>
            </w:pPr>
          </w:p>
        </w:tc>
        <w:tc>
          <w:tcPr>
            <w:tcW w:w="173" w:type="pct"/>
            <w:gridSpan w:val="3"/>
            <w:noWrap/>
            <w:tcMar>
              <w:top w:w="0" w:type="dxa"/>
              <w:left w:w="70" w:type="dxa"/>
              <w:bottom w:w="0" w:type="dxa"/>
              <w:right w:w="70" w:type="dxa"/>
            </w:tcMar>
            <w:vAlign w:val="bottom"/>
            <w:hideMark/>
          </w:tcPr>
          <w:p w14:paraId="4F73CE5A" w14:textId="77777777" w:rsidR="003E0F58" w:rsidRPr="00733FC4" w:rsidRDefault="003E0F58" w:rsidP="004D2249">
            <w:pPr>
              <w:jc w:val="left"/>
              <w:rPr>
                <w:rFonts w:cs="Times New Roman"/>
                <w:sz w:val="20"/>
                <w:szCs w:val="20"/>
                <w:lang w:val="cs-CZ"/>
              </w:rPr>
            </w:pPr>
          </w:p>
        </w:tc>
        <w:tc>
          <w:tcPr>
            <w:tcW w:w="105" w:type="pct"/>
            <w:gridSpan w:val="3"/>
            <w:noWrap/>
            <w:tcMar>
              <w:top w:w="0" w:type="dxa"/>
              <w:left w:w="70" w:type="dxa"/>
              <w:bottom w:w="0" w:type="dxa"/>
              <w:right w:w="70" w:type="dxa"/>
            </w:tcMar>
            <w:vAlign w:val="bottom"/>
            <w:hideMark/>
          </w:tcPr>
          <w:p w14:paraId="28C0280A" w14:textId="77777777" w:rsidR="003E0F58" w:rsidRPr="00733FC4" w:rsidRDefault="003E0F58" w:rsidP="004D2249">
            <w:pPr>
              <w:jc w:val="left"/>
              <w:rPr>
                <w:rFonts w:cs="Times New Roman"/>
                <w:sz w:val="20"/>
                <w:szCs w:val="20"/>
                <w:lang w:val="cs-CZ"/>
              </w:rPr>
            </w:pPr>
          </w:p>
        </w:tc>
        <w:tc>
          <w:tcPr>
            <w:tcW w:w="82" w:type="pct"/>
            <w:gridSpan w:val="2"/>
            <w:noWrap/>
            <w:tcMar>
              <w:top w:w="0" w:type="dxa"/>
              <w:left w:w="70" w:type="dxa"/>
              <w:bottom w:w="0" w:type="dxa"/>
              <w:right w:w="70" w:type="dxa"/>
            </w:tcMar>
            <w:vAlign w:val="bottom"/>
            <w:hideMark/>
          </w:tcPr>
          <w:p w14:paraId="6ECCDD33" w14:textId="77777777" w:rsidR="003E0F58" w:rsidRPr="00733FC4" w:rsidRDefault="003E0F58" w:rsidP="004D2249">
            <w:pPr>
              <w:jc w:val="left"/>
              <w:rPr>
                <w:rFonts w:cs="Times New Roman"/>
                <w:sz w:val="20"/>
                <w:szCs w:val="20"/>
                <w:lang w:val="cs-CZ"/>
              </w:rPr>
            </w:pPr>
          </w:p>
        </w:tc>
        <w:tc>
          <w:tcPr>
            <w:tcW w:w="118" w:type="pct"/>
            <w:gridSpan w:val="4"/>
            <w:noWrap/>
            <w:tcMar>
              <w:top w:w="0" w:type="dxa"/>
              <w:left w:w="70" w:type="dxa"/>
              <w:bottom w:w="0" w:type="dxa"/>
              <w:right w:w="70" w:type="dxa"/>
            </w:tcMar>
            <w:vAlign w:val="bottom"/>
            <w:hideMark/>
          </w:tcPr>
          <w:p w14:paraId="444ED800" w14:textId="77777777" w:rsidR="003E0F58" w:rsidRPr="00733FC4" w:rsidRDefault="003E0F58" w:rsidP="004D2249">
            <w:pPr>
              <w:jc w:val="left"/>
              <w:rPr>
                <w:rFonts w:cs="Times New Roman"/>
                <w:sz w:val="20"/>
                <w:szCs w:val="20"/>
                <w:lang w:val="cs-CZ"/>
              </w:rPr>
            </w:pPr>
          </w:p>
        </w:tc>
        <w:tc>
          <w:tcPr>
            <w:tcW w:w="78" w:type="pct"/>
            <w:gridSpan w:val="2"/>
            <w:noWrap/>
            <w:tcMar>
              <w:top w:w="0" w:type="dxa"/>
              <w:left w:w="70" w:type="dxa"/>
              <w:bottom w:w="0" w:type="dxa"/>
              <w:right w:w="70" w:type="dxa"/>
            </w:tcMar>
            <w:vAlign w:val="bottom"/>
            <w:hideMark/>
          </w:tcPr>
          <w:p w14:paraId="1FC15630" w14:textId="77777777" w:rsidR="003E0F58" w:rsidRPr="00733FC4" w:rsidRDefault="003E0F58" w:rsidP="004D2249">
            <w:pPr>
              <w:jc w:val="left"/>
              <w:rPr>
                <w:rFonts w:cs="Times New Roman"/>
                <w:sz w:val="20"/>
                <w:szCs w:val="20"/>
                <w:lang w:val="cs-CZ"/>
              </w:rPr>
            </w:pPr>
          </w:p>
        </w:tc>
        <w:tc>
          <w:tcPr>
            <w:tcW w:w="132" w:type="pct"/>
            <w:noWrap/>
            <w:tcMar>
              <w:top w:w="0" w:type="dxa"/>
              <w:left w:w="70" w:type="dxa"/>
              <w:bottom w:w="0" w:type="dxa"/>
              <w:right w:w="70" w:type="dxa"/>
            </w:tcMar>
            <w:vAlign w:val="bottom"/>
            <w:hideMark/>
          </w:tcPr>
          <w:p w14:paraId="57142F46" w14:textId="77777777" w:rsidR="003E0F58" w:rsidRPr="00733FC4" w:rsidRDefault="003E0F58" w:rsidP="004D2249">
            <w:pPr>
              <w:jc w:val="left"/>
              <w:rPr>
                <w:rFonts w:cs="Times New Roman"/>
                <w:sz w:val="20"/>
                <w:szCs w:val="20"/>
                <w:lang w:val="cs-CZ"/>
              </w:rPr>
            </w:pPr>
          </w:p>
        </w:tc>
        <w:tc>
          <w:tcPr>
            <w:tcW w:w="93" w:type="pct"/>
            <w:noWrap/>
            <w:tcMar>
              <w:top w:w="0" w:type="dxa"/>
              <w:left w:w="70" w:type="dxa"/>
              <w:bottom w:w="0" w:type="dxa"/>
              <w:right w:w="70" w:type="dxa"/>
            </w:tcMar>
            <w:vAlign w:val="bottom"/>
            <w:hideMark/>
          </w:tcPr>
          <w:p w14:paraId="3C668757" w14:textId="77777777" w:rsidR="003E0F58" w:rsidRPr="00733FC4" w:rsidRDefault="003E0F58" w:rsidP="004D2249">
            <w:pPr>
              <w:jc w:val="left"/>
              <w:rPr>
                <w:rFonts w:cs="Times New Roman"/>
                <w:sz w:val="20"/>
                <w:szCs w:val="20"/>
                <w:lang w:val="cs-CZ"/>
              </w:rPr>
            </w:pPr>
          </w:p>
        </w:tc>
      </w:tr>
      <w:tr w:rsidR="00733FC4" w:rsidRPr="00733FC4" w14:paraId="452E79D4" w14:textId="77777777" w:rsidTr="00733FC4">
        <w:trPr>
          <w:gridAfter w:val="3"/>
          <w:wAfter w:w="268" w:type="pct"/>
          <w:trHeight w:val="464"/>
        </w:trPr>
        <w:tc>
          <w:tcPr>
            <w:tcW w:w="472" w:type="pct"/>
            <w:tcBorders>
              <w:top w:val="single" w:sz="8" w:space="0" w:color="auto"/>
              <w:left w:val="single" w:sz="8" w:space="0" w:color="auto"/>
              <w:bottom w:val="single" w:sz="8" w:space="0" w:color="auto"/>
              <w:right w:val="single" w:sz="8" w:space="0" w:color="auto"/>
            </w:tcBorders>
            <w:shd w:val="clear" w:color="auto" w:fill="C6C4C4"/>
            <w:tcMar>
              <w:top w:w="0" w:type="dxa"/>
              <w:left w:w="70" w:type="dxa"/>
              <w:bottom w:w="0" w:type="dxa"/>
              <w:right w:w="70" w:type="dxa"/>
            </w:tcMar>
            <w:vAlign w:val="center"/>
            <w:hideMark/>
          </w:tcPr>
          <w:p w14:paraId="23E66BA1" w14:textId="77777777" w:rsidR="003E0F58" w:rsidRPr="00733FC4" w:rsidRDefault="003E0F58" w:rsidP="004D2249">
            <w:pPr>
              <w:jc w:val="left"/>
              <w:rPr>
                <w:rFonts w:eastAsia="Calibri" w:cs="Times New Roman"/>
                <w:sz w:val="20"/>
                <w:szCs w:val="20"/>
                <w:lang w:val="cs-CZ"/>
              </w:rPr>
            </w:pPr>
            <w:r w:rsidRPr="00733FC4">
              <w:rPr>
                <w:rFonts w:eastAsia="Calibri" w:cs="Times New Roman"/>
                <w:b/>
                <w:bCs/>
                <w:color w:val="000000"/>
                <w:sz w:val="20"/>
                <w:szCs w:val="20"/>
                <w:lang w:val="cs-CZ"/>
              </w:rPr>
              <w:t> </w:t>
            </w:r>
          </w:p>
        </w:tc>
        <w:tc>
          <w:tcPr>
            <w:tcW w:w="673" w:type="pct"/>
            <w:tcBorders>
              <w:top w:val="single" w:sz="8" w:space="0" w:color="auto"/>
              <w:left w:val="nil"/>
              <w:bottom w:val="single" w:sz="8" w:space="0" w:color="auto"/>
              <w:right w:val="single" w:sz="8" w:space="0" w:color="auto"/>
            </w:tcBorders>
            <w:shd w:val="clear" w:color="auto" w:fill="C6C4C4"/>
            <w:tcMar>
              <w:top w:w="0" w:type="dxa"/>
              <w:left w:w="70" w:type="dxa"/>
              <w:bottom w:w="0" w:type="dxa"/>
              <w:right w:w="70" w:type="dxa"/>
            </w:tcMar>
            <w:vAlign w:val="center"/>
            <w:hideMark/>
          </w:tcPr>
          <w:p w14:paraId="59BBC59F" w14:textId="77777777" w:rsidR="003E0F58" w:rsidRPr="00733FC4" w:rsidRDefault="003E0F58" w:rsidP="004D2249">
            <w:pPr>
              <w:jc w:val="left"/>
              <w:rPr>
                <w:rFonts w:eastAsia="Calibri" w:cs="Times New Roman"/>
                <w:sz w:val="20"/>
                <w:szCs w:val="20"/>
                <w:lang w:val="cs-CZ"/>
              </w:rPr>
            </w:pPr>
            <w:r w:rsidRPr="00733FC4">
              <w:rPr>
                <w:rFonts w:eastAsia="Calibri" w:cs="Times New Roman"/>
                <w:b/>
                <w:bCs/>
                <w:color w:val="000000"/>
                <w:sz w:val="20"/>
                <w:szCs w:val="20"/>
                <w:lang w:val="cs-CZ"/>
              </w:rPr>
              <w:t>počet žádostí</w:t>
            </w:r>
          </w:p>
        </w:tc>
        <w:tc>
          <w:tcPr>
            <w:tcW w:w="1079" w:type="pct"/>
            <w:tcBorders>
              <w:top w:val="single" w:sz="8" w:space="0" w:color="auto"/>
              <w:left w:val="nil"/>
              <w:bottom w:val="single" w:sz="8" w:space="0" w:color="auto"/>
              <w:right w:val="single" w:sz="8" w:space="0" w:color="auto"/>
            </w:tcBorders>
            <w:shd w:val="clear" w:color="auto" w:fill="C6C4C4"/>
            <w:tcMar>
              <w:top w:w="0" w:type="dxa"/>
              <w:left w:w="70" w:type="dxa"/>
              <w:bottom w:w="0" w:type="dxa"/>
              <w:right w:w="70" w:type="dxa"/>
            </w:tcMar>
            <w:vAlign w:val="center"/>
            <w:hideMark/>
          </w:tcPr>
          <w:p w14:paraId="13993F34" w14:textId="77777777" w:rsidR="003E0F58" w:rsidRPr="00733FC4" w:rsidRDefault="003E0F58" w:rsidP="004D2249">
            <w:pPr>
              <w:jc w:val="left"/>
              <w:rPr>
                <w:rFonts w:eastAsia="Calibri" w:cs="Times New Roman"/>
                <w:sz w:val="20"/>
                <w:szCs w:val="20"/>
                <w:lang w:val="cs-CZ"/>
              </w:rPr>
            </w:pPr>
            <w:r w:rsidRPr="00733FC4">
              <w:rPr>
                <w:rFonts w:eastAsia="Calibri" w:cs="Times New Roman"/>
                <w:b/>
                <w:bCs/>
                <w:color w:val="000000"/>
                <w:sz w:val="20"/>
                <w:szCs w:val="20"/>
                <w:lang w:val="cs-CZ"/>
              </w:rPr>
              <w:t>zažádaná výměra (ha)</w:t>
            </w:r>
          </w:p>
        </w:tc>
        <w:tc>
          <w:tcPr>
            <w:tcW w:w="1726" w:type="pct"/>
            <w:tcBorders>
              <w:top w:val="single" w:sz="8" w:space="0" w:color="auto"/>
              <w:left w:val="nil"/>
              <w:bottom w:val="single" w:sz="8" w:space="0" w:color="auto"/>
              <w:right w:val="single" w:sz="8" w:space="0" w:color="auto"/>
            </w:tcBorders>
            <w:shd w:val="clear" w:color="auto" w:fill="C6C4C4"/>
            <w:tcMar>
              <w:top w:w="0" w:type="dxa"/>
              <w:left w:w="70" w:type="dxa"/>
              <w:bottom w:w="0" w:type="dxa"/>
              <w:right w:w="70" w:type="dxa"/>
            </w:tcMar>
            <w:vAlign w:val="center"/>
            <w:hideMark/>
          </w:tcPr>
          <w:p w14:paraId="791A6A94" w14:textId="77777777" w:rsidR="003E0F58" w:rsidRPr="00733FC4" w:rsidRDefault="003E0F58" w:rsidP="004D2249">
            <w:pPr>
              <w:jc w:val="left"/>
              <w:rPr>
                <w:rFonts w:eastAsia="Calibri" w:cs="Times New Roman"/>
                <w:sz w:val="20"/>
                <w:szCs w:val="20"/>
                <w:lang w:val="cs-CZ"/>
              </w:rPr>
            </w:pPr>
            <w:r w:rsidRPr="00733FC4">
              <w:rPr>
                <w:rFonts w:eastAsia="Calibri" w:cs="Times New Roman"/>
                <w:b/>
                <w:bCs/>
                <w:color w:val="000000"/>
                <w:sz w:val="20"/>
                <w:szCs w:val="20"/>
                <w:lang w:val="cs-CZ"/>
              </w:rPr>
              <w:t>zažádané finanční prostředky (CZK)*</w:t>
            </w:r>
          </w:p>
        </w:tc>
        <w:tc>
          <w:tcPr>
            <w:tcW w:w="158" w:type="pct"/>
            <w:gridSpan w:val="2"/>
            <w:noWrap/>
            <w:tcMar>
              <w:top w:w="0" w:type="dxa"/>
              <w:left w:w="70" w:type="dxa"/>
              <w:bottom w:w="0" w:type="dxa"/>
              <w:right w:w="70" w:type="dxa"/>
            </w:tcMar>
            <w:vAlign w:val="bottom"/>
            <w:hideMark/>
          </w:tcPr>
          <w:p w14:paraId="0577B4EB" w14:textId="77777777" w:rsidR="003E0F58" w:rsidRPr="00733FC4" w:rsidRDefault="003E0F58" w:rsidP="004D2249">
            <w:pPr>
              <w:jc w:val="left"/>
              <w:rPr>
                <w:rFonts w:cs="Times New Roman"/>
                <w:sz w:val="20"/>
                <w:szCs w:val="20"/>
                <w:lang w:val="cs-CZ"/>
              </w:rPr>
            </w:pPr>
          </w:p>
        </w:tc>
        <w:tc>
          <w:tcPr>
            <w:tcW w:w="94" w:type="pct"/>
            <w:gridSpan w:val="2"/>
            <w:noWrap/>
            <w:tcMar>
              <w:top w:w="0" w:type="dxa"/>
              <w:left w:w="70" w:type="dxa"/>
              <w:bottom w:w="0" w:type="dxa"/>
              <w:right w:w="70" w:type="dxa"/>
            </w:tcMar>
            <w:vAlign w:val="bottom"/>
            <w:hideMark/>
          </w:tcPr>
          <w:p w14:paraId="5C64464E" w14:textId="77777777" w:rsidR="003E0F58" w:rsidRPr="00733FC4" w:rsidRDefault="003E0F58" w:rsidP="004D2249">
            <w:pPr>
              <w:jc w:val="left"/>
              <w:rPr>
                <w:rFonts w:cs="Times New Roman"/>
                <w:sz w:val="20"/>
                <w:szCs w:val="20"/>
                <w:lang w:val="cs-CZ"/>
              </w:rPr>
            </w:pPr>
          </w:p>
        </w:tc>
        <w:tc>
          <w:tcPr>
            <w:tcW w:w="77" w:type="pct"/>
            <w:gridSpan w:val="2"/>
            <w:noWrap/>
            <w:tcMar>
              <w:top w:w="0" w:type="dxa"/>
              <w:left w:w="70" w:type="dxa"/>
              <w:bottom w:w="0" w:type="dxa"/>
              <w:right w:w="70" w:type="dxa"/>
            </w:tcMar>
            <w:vAlign w:val="bottom"/>
            <w:hideMark/>
          </w:tcPr>
          <w:p w14:paraId="0DE9FB40" w14:textId="77777777" w:rsidR="003E0F58" w:rsidRPr="00733FC4" w:rsidRDefault="003E0F58" w:rsidP="004D2249">
            <w:pPr>
              <w:jc w:val="left"/>
              <w:rPr>
                <w:rFonts w:cs="Times New Roman"/>
                <w:sz w:val="20"/>
                <w:szCs w:val="20"/>
                <w:lang w:val="cs-CZ"/>
              </w:rPr>
            </w:pPr>
          </w:p>
        </w:tc>
        <w:tc>
          <w:tcPr>
            <w:tcW w:w="154" w:type="pct"/>
            <w:gridSpan w:val="3"/>
            <w:noWrap/>
            <w:tcMar>
              <w:top w:w="0" w:type="dxa"/>
              <w:left w:w="70" w:type="dxa"/>
              <w:bottom w:w="0" w:type="dxa"/>
              <w:right w:w="70" w:type="dxa"/>
            </w:tcMar>
            <w:vAlign w:val="bottom"/>
            <w:hideMark/>
          </w:tcPr>
          <w:p w14:paraId="645882B7" w14:textId="77777777" w:rsidR="003E0F58" w:rsidRPr="00733FC4" w:rsidRDefault="003E0F58" w:rsidP="004D2249">
            <w:pPr>
              <w:jc w:val="left"/>
              <w:rPr>
                <w:rFonts w:cs="Times New Roman"/>
                <w:sz w:val="20"/>
                <w:szCs w:val="20"/>
                <w:lang w:val="cs-CZ"/>
              </w:rPr>
            </w:pPr>
          </w:p>
        </w:tc>
        <w:tc>
          <w:tcPr>
            <w:tcW w:w="103" w:type="pct"/>
            <w:gridSpan w:val="3"/>
            <w:noWrap/>
            <w:tcMar>
              <w:top w:w="0" w:type="dxa"/>
              <w:left w:w="70" w:type="dxa"/>
              <w:bottom w:w="0" w:type="dxa"/>
              <w:right w:w="70" w:type="dxa"/>
            </w:tcMar>
            <w:vAlign w:val="bottom"/>
            <w:hideMark/>
          </w:tcPr>
          <w:p w14:paraId="329B96B9" w14:textId="77777777" w:rsidR="003E0F58" w:rsidRPr="00733FC4" w:rsidRDefault="003E0F58" w:rsidP="004D2249">
            <w:pPr>
              <w:jc w:val="left"/>
              <w:rPr>
                <w:rFonts w:cs="Times New Roman"/>
                <w:sz w:val="20"/>
                <w:szCs w:val="20"/>
                <w:lang w:val="cs-CZ"/>
              </w:rPr>
            </w:pPr>
          </w:p>
        </w:tc>
        <w:tc>
          <w:tcPr>
            <w:tcW w:w="117" w:type="pct"/>
            <w:gridSpan w:val="3"/>
            <w:noWrap/>
            <w:tcMar>
              <w:top w:w="0" w:type="dxa"/>
              <w:left w:w="70" w:type="dxa"/>
              <w:bottom w:w="0" w:type="dxa"/>
              <w:right w:w="70" w:type="dxa"/>
            </w:tcMar>
            <w:vAlign w:val="bottom"/>
            <w:hideMark/>
          </w:tcPr>
          <w:p w14:paraId="15F214CC" w14:textId="77777777" w:rsidR="003E0F58" w:rsidRPr="00733FC4" w:rsidRDefault="003E0F58" w:rsidP="004D2249">
            <w:pPr>
              <w:jc w:val="left"/>
              <w:rPr>
                <w:rFonts w:cs="Times New Roman"/>
                <w:sz w:val="20"/>
                <w:szCs w:val="20"/>
                <w:lang w:val="cs-CZ"/>
              </w:rPr>
            </w:pPr>
          </w:p>
        </w:tc>
        <w:tc>
          <w:tcPr>
            <w:tcW w:w="78" w:type="pct"/>
            <w:gridSpan w:val="3"/>
            <w:noWrap/>
            <w:tcMar>
              <w:top w:w="0" w:type="dxa"/>
              <w:left w:w="70" w:type="dxa"/>
              <w:bottom w:w="0" w:type="dxa"/>
              <w:right w:w="70" w:type="dxa"/>
            </w:tcMar>
            <w:vAlign w:val="bottom"/>
            <w:hideMark/>
          </w:tcPr>
          <w:p w14:paraId="03148492" w14:textId="77777777" w:rsidR="003E0F58" w:rsidRPr="00733FC4" w:rsidRDefault="003E0F58" w:rsidP="004D2249">
            <w:pPr>
              <w:jc w:val="left"/>
              <w:rPr>
                <w:rFonts w:cs="Times New Roman"/>
                <w:sz w:val="20"/>
                <w:szCs w:val="20"/>
                <w:lang w:val="cs-CZ"/>
              </w:rPr>
            </w:pPr>
          </w:p>
        </w:tc>
      </w:tr>
      <w:tr w:rsidR="00733FC4" w:rsidRPr="00733FC4" w14:paraId="29BECC6C" w14:textId="77777777" w:rsidTr="00733FC4">
        <w:trPr>
          <w:gridAfter w:val="5"/>
          <w:wAfter w:w="340" w:type="pct"/>
          <w:trHeight w:val="309"/>
        </w:trPr>
        <w:tc>
          <w:tcPr>
            <w:tcW w:w="472" w:type="pct"/>
            <w:tcBorders>
              <w:top w:val="nil"/>
              <w:left w:val="single" w:sz="8" w:space="0" w:color="auto"/>
              <w:bottom w:val="single" w:sz="8" w:space="0" w:color="auto"/>
              <w:right w:val="single" w:sz="8" w:space="0" w:color="auto"/>
            </w:tcBorders>
            <w:shd w:val="clear" w:color="auto" w:fill="C6C4C4"/>
            <w:tcMar>
              <w:top w:w="0" w:type="dxa"/>
              <w:left w:w="70" w:type="dxa"/>
              <w:bottom w:w="0" w:type="dxa"/>
              <w:right w:w="70" w:type="dxa"/>
            </w:tcMar>
            <w:vAlign w:val="center"/>
            <w:hideMark/>
          </w:tcPr>
          <w:p w14:paraId="23049AFA" w14:textId="77777777" w:rsidR="003E0F58" w:rsidRPr="00733FC4" w:rsidRDefault="003E0F58" w:rsidP="004D2249">
            <w:pPr>
              <w:jc w:val="left"/>
              <w:rPr>
                <w:rFonts w:eastAsia="Calibri" w:cs="Times New Roman"/>
                <w:sz w:val="20"/>
                <w:szCs w:val="20"/>
                <w:lang w:val="cs-CZ"/>
              </w:rPr>
            </w:pPr>
            <w:r w:rsidRPr="00733FC4">
              <w:rPr>
                <w:rFonts w:eastAsia="Calibri" w:cs="Times New Roman"/>
                <w:b/>
                <w:bCs/>
                <w:color w:val="000000"/>
                <w:sz w:val="20"/>
                <w:szCs w:val="20"/>
                <w:lang w:val="cs-CZ"/>
              </w:rPr>
              <w:t>2016</w:t>
            </w:r>
          </w:p>
        </w:tc>
        <w:tc>
          <w:tcPr>
            <w:tcW w:w="673" w:type="pct"/>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2BA34F4" w14:textId="77777777" w:rsidR="003E0F58" w:rsidRPr="00733FC4" w:rsidRDefault="003E0F58" w:rsidP="00733FC4">
            <w:pPr>
              <w:jc w:val="center"/>
              <w:rPr>
                <w:rFonts w:eastAsia="Calibri" w:cs="Times New Roman"/>
                <w:sz w:val="20"/>
                <w:szCs w:val="20"/>
                <w:lang w:val="cs-CZ"/>
              </w:rPr>
            </w:pPr>
            <w:r w:rsidRPr="00733FC4">
              <w:rPr>
                <w:rFonts w:eastAsia="Calibri" w:cs="Times New Roman"/>
                <w:color w:val="000000"/>
                <w:sz w:val="20"/>
                <w:szCs w:val="20"/>
                <w:lang w:val="cs-CZ"/>
              </w:rPr>
              <w:t>2</w:t>
            </w:r>
          </w:p>
        </w:tc>
        <w:tc>
          <w:tcPr>
            <w:tcW w:w="1079" w:type="pct"/>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C8E16BC" w14:textId="77777777" w:rsidR="003E0F58" w:rsidRPr="00733FC4" w:rsidRDefault="003E0F58" w:rsidP="00733FC4">
            <w:pPr>
              <w:jc w:val="center"/>
              <w:rPr>
                <w:rFonts w:eastAsia="Calibri" w:cs="Times New Roman"/>
                <w:sz w:val="20"/>
                <w:szCs w:val="20"/>
                <w:lang w:val="cs-CZ"/>
              </w:rPr>
            </w:pPr>
            <w:r w:rsidRPr="00733FC4">
              <w:rPr>
                <w:rFonts w:eastAsia="Calibri" w:cs="Times New Roman"/>
                <w:color w:val="000000"/>
                <w:sz w:val="20"/>
                <w:szCs w:val="20"/>
                <w:lang w:val="cs-CZ"/>
              </w:rPr>
              <w:t>5</w:t>
            </w:r>
          </w:p>
        </w:tc>
        <w:tc>
          <w:tcPr>
            <w:tcW w:w="1726" w:type="pct"/>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20AF694" w14:textId="77777777" w:rsidR="003E0F58" w:rsidRPr="00733FC4" w:rsidRDefault="003E0F58" w:rsidP="00733FC4">
            <w:pPr>
              <w:jc w:val="center"/>
              <w:rPr>
                <w:rFonts w:eastAsia="Calibri" w:cs="Times New Roman"/>
                <w:sz w:val="20"/>
                <w:szCs w:val="20"/>
                <w:lang w:val="cs-CZ"/>
              </w:rPr>
            </w:pPr>
            <w:r w:rsidRPr="00733FC4">
              <w:rPr>
                <w:rFonts w:eastAsia="Calibri" w:cs="Times New Roman"/>
                <w:color w:val="000000"/>
                <w:sz w:val="20"/>
                <w:szCs w:val="20"/>
                <w:lang w:val="cs-CZ"/>
              </w:rPr>
              <w:t>72 794</w:t>
            </w:r>
          </w:p>
        </w:tc>
        <w:tc>
          <w:tcPr>
            <w:tcW w:w="84" w:type="pct"/>
            <w:noWrap/>
            <w:tcMar>
              <w:top w:w="0" w:type="dxa"/>
              <w:left w:w="70" w:type="dxa"/>
              <w:bottom w:w="0" w:type="dxa"/>
              <w:right w:w="70" w:type="dxa"/>
            </w:tcMar>
            <w:vAlign w:val="bottom"/>
            <w:hideMark/>
          </w:tcPr>
          <w:p w14:paraId="69A252CC" w14:textId="77777777" w:rsidR="003E0F58" w:rsidRPr="00733FC4" w:rsidRDefault="003E0F58" w:rsidP="004D2249">
            <w:pPr>
              <w:jc w:val="left"/>
              <w:rPr>
                <w:rFonts w:cs="Times New Roman"/>
                <w:sz w:val="20"/>
                <w:szCs w:val="20"/>
                <w:lang w:val="cs-CZ"/>
              </w:rPr>
            </w:pPr>
          </w:p>
        </w:tc>
        <w:tc>
          <w:tcPr>
            <w:tcW w:w="89" w:type="pct"/>
            <w:gridSpan w:val="2"/>
            <w:noWrap/>
            <w:tcMar>
              <w:top w:w="0" w:type="dxa"/>
              <w:left w:w="70" w:type="dxa"/>
              <w:bottom w:w="0" w:type="dxa"/>
              <w:right w:w="70" w:type="dxa"/>
            </w:tcMar>
            <w:vAlign w:val="bottom"/>
            <w:hideMark/>
          </w:tcPr>
          <w:p w14:paraId="134F3D72" w14:textId="77777777" w:rsidR="003E0F58" w:rsidRPr="00733FC4" w:rsidRDefault="003E0F58" w:rsidP="004D2249">
            <w:pPr>
              <w:jc w:val="left"/>
              <w:rPr>
                <w:rFonts w:cs="Times New Roman"/>
                <w:sz w:val="20"/>
                <w:szCs w:val="20"/>
                <w:lang w:val="cs-CZ"/>
              </w:rPr>
            </w:pPr>
          </w:p>
        </w:tc>
        <w:tc>
          <w:tcPr>
            <w:tcW w:w="79" w:type="pct"/>
            <w:noWrap/>
            <w:tcMar>
              <w:top w:w="0" w:type="dxa"/>
              <w:left w:w="70" w:type="dxa"/>
              <w:bottom w:w="0" w:type="dxa"/>
              <w:right w:w="70" w:type="dxa"/>
            </w:tcMar>
            <w:vAlign w:val="bottom"/>
            <w:hideMark/>
          </w:tcPr>
          <w:p w14:paraId="61F4F004" w14:textId="77777777" w:rsidR="003E0F58" w:rsidRPr="00733FC4" w:rsidRDefault="003E0F58" w:rsidP="004D2249">
            <w:pPr>
              <w:jc w:val="left"/>
              <w:rPr>
                <w:rFonts w:cs="Times New Roman"/>
                <w:sz w:val="20"/>
                <w:szCs w:val="20"/>
                <w:lang w:val="cs-CZ"/>
              </w:rPr>
            </w:pPr>
          </w:p>
        </w:tc>
        <w:tc>
          <w:tcPr>
            <w:tcW w:w="167" w:type="pct"/>
            <w:gridSpan w:val="3"/>
            <w:noWrap/>
            <w:tcMar>
              <w:top w:w="0" w:type="dxa"/>
              <w:left w:w="70" w:type="dxa"/>
              <w:bottom w:w="0" w:type="dxa"/>
              <w:right w:w="70" w:type="dxa"/>
            </w:tcMar>
            <w:vAlign w:val="bottom"/>
            <w:hideMark/>
          </w:tcPr>
          <w:p w14:paraId="0CA8ACBD" w14:textId="77777777" w:rsidR="003E0F58" w:rsidRPr="00733FC4" w:rsidRDefault="003E0F58" w:rsidP="004D2249">
            <w:pPr>
              <w:jc w:val="left"/>
              <w:rPr>
                <w:rFonts w:cs="Times New Roman"/>
                <w:sz w:val="20"/>
                <w:szCs w:val="20"/>
                <w:lang w:val="cs-CZ"/>
              </w:rPr>
            </w:pPr>
          </w:p>
        </w:tc>
        <w:tc>
          <w:tcPr>
            <w:tcW w:w="104" w:type="pct"/>
            <w:gridSpan w:val="3"/>
            <w:noWrap/>
            <w:tcMar>
              <w:top w:w="0" w:type="dxa"/>
              <w:left w:w="70" w:type="dxa"/>
              <w:bottom w:w="0" w:type="dxa"/>
              <w:right w:w="70" w:type="dxa"/>
            </w:tcMar>
            <w:vAlign w:val="bottom"/>
            <w:hideMark/>
          </w:tcPr>
          <w:p w14:paraId="3DF775A0" w14:textId="77777777" w:rsidR="003E0F58" w:rsidRPr="00733FC4" w:rsidRDefault="003E0F58" w:rsidP="004D2249">
            <w:pPr>
              <w:jc w:val="left"/>
              <w:rPr>
                <w:rFonts w:cs="Times New Roman"/>
                <w:sz w:val="20"/>
                <w:szCs w:val="20"/>
                <w:lang w:val="cs-CZ"/>
              </w:rPr>
            </w:pPr>
          </w:p>
        </w:tc>
        <w:tc>
          <w:tcPr>
            <w:tcW w:w="108" w:type="pct"/>
            <w:gridSpan w:val="4"/>
            <w:noWrap/>
            <w:tcMar>
              <w:top w:w="0" w:type="dxa"/>
              <w:left w:w="70" w:type="dxa"/>
              <w:bottom w:w="0" w:type="dxa"/>
              <w:right w:w="70" w:type="dxa"/>
            </w:tcMar>
            <w:vAlign w:val="bottom"/>
            <w:hideMark/>
          </w:tcPr>
          <w:p w14:paraId="59683FFC" w14:textId="77777777" w:rsidR="003E0F58" w:rsidRPr="00733FC4" w:rsidRDefault="003E0F58" w:rsidP="004D2249">
            <w:pPr>
              <w:jc w:val="left"/>
              <w:rPr>
                <w:rFonts w:cs="Times New Roman"/>
                <w:sz w:val="20"/>
                <w:szCs w:val="20"/>
                <w:lang w:val="cs-CZ"/>
              </w:rPr>
            </w:pPr>
          </w:p>
        </w:tc>
        <w:tc>
          <w:tcPr>
            <w:tcW w:w="78" w:type="pct"/>
            <w:gridSpan w:val="2"/>
            <w:noWrap/>
            <w:tcMar>
              <w:top w:w="0" w:type="dxa"/>
              <w:left w:w="70" w:type="dxa"/>
              <w:bottom w:w="0" w:type="dxa"/>
              <w:right w:w="70" w:type="dxa"/>
            </w:tcMar>
            <w:vAlign w:val="bottom"/>
            <w:hideMark/>
          </w:tcPr>
          <w:p w14:paraId="0F6B7D9E" w14:textId="77777777" w:rsidR="003E0F58" w:rsidRPr="00733FC4" w:rsidRDefault="003E0F58" w:rsidP="004D2249">
            <w:pPr>
              <w:jc w:val="left"/>
              <w:rPr>
                <w:rFonts w:cs="Times New Roman"/>
                <w:sz w:val="20"/>
                <w:szCs w:val="20"/>
                <w:lang w:val="cs-CZ"/>
              </w:rPr>
            </w:pPr>
          </w:p>
        </w:tc>
      </w:tr>
      <w:tr w:rsidR="00733FC4" w:rsidRPr="00733FC4" w14:paraId="116A9E03" w14:textId="77777777" w:rsidTr="00733FC4">
        <w:trPr>
          <w:gridAfter w:val="5"/>
          <w:wAfter w:w="340" w:type="pct"/>
          <w:trHeight w:val="309"/>
        </w:trPr>
        <w:tc>
          <w:tcPr>
            <w:tcW w:w="472" w:type="pct"/>
            <w:tcBorders>
              <w:top w:val="nil"/>
              <w:left w:val="single" w:sz="8" w:space="0" w:color="auto"/>
              <w:bottom w:val="single" w:sz="8" w:space="0" w:color="auto"/>
              <w:right w:val="single" w:sz="8" w:space="0" w:color="auto"/>
            </w:tcBorders>
            <w:shd w:val="clear" w:color="auto" w:fill="C6C4C4"/>
            <w:tcMar>
              <w:top w:w="0" w:type="dxa"/>
              <w:left w:w="70" w:type="dxa"/>
              <w:bottom w:w="0" w:type="dxa"/>
              <w:right w:w="70" w:type="dxa"/>
            </w:tcMar>
            <w:vAlign w:val="center"/>
            <w:hideMark/>
          </w:tcPr>
          <w:p w14:paraId="17B523A7" w14:textId="77777777" w:rsidR="003E0F58" w:rsidRPr="00733FC4" w:rsidRDefault="003E0F58" w:rsidP="004D2249">
            <w:pPr>
              <w:jc w:val="left"/>
              <w:rPr>
                <w:rFonts w:eastAsia="Calibri" w:cs="Times New Roman"/>
                <w:sz w:val="20"/>
                <w:szCs w:val="20"/>
                <w:lang w:val="cs-CZ"/>
              </w:rPr>
            </w:pPr>
            <w:r w:rsidRPr="00733FC4">
              <w:rPr>
                <w:rFonts w:eastAsia="Calibri" w:cs="Times New Roman"/>
                <w:b/>
                <w:bCs/>
                <w:color w:val="000000"/>
                <w:sz w:val="20"/>
                <w:szCs w:val="20"/>
                <w:lang w:val="cs-CZ"/>
              </w:rPr>
              <w:t>2017</w:t>
            </w:r>
          </w:p>
        </w:tc>
        <w:tc>
          <w:tcPr>
            <w:tcW w:w="673" w:type="pct"/>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B257E09" w14:textId="77777777" w:rsidR="003E0F58" w:rsidRPr="00733FC4" w:rsidRDefault="003E0F58" w:rsidP="00733FC4">
            <w:pPr>
              <w:jc w:val="center"/>
              <w:rPr>
                <w:rFonts w:eastAsia="Calibri" w:cs="Times New Roman"/>
                <w:sz w:val="20"/>
                <w:szCs w:val="20"/>
                <w:lang w:val="cs-CZ"/>
              </w:rPr>
            </w:pPr>
            <w:r w:rsidRPr="00733FC4">
              <w:rPr>
                <w:rFonts w:eastAsia="Calibri" w:cs="Times New Roman"/>
                <w:color w:val="000000"/>
                <w:sz w:val="20"/>
                <w:szCs w:val="20"/>
                <w:lang w:val="cs-CZ"/>
              </w:rPr>
              <w:t>5</w:t>
            </w:r>
          </w:p>
        </w:tc>
        <w:tc>
          <w:tcPr>
            <w:tcW w:w="1079" w:type="pct"/>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860D3DF" w14:textId="77777777" w:rsidR="003E0F58" w:rsidRPr="00733FC4" w:rsidRDefault="003E0F58" w:rsidP="00733FC4">
            <w:pPr>
              <w:jc w:val="center"/>
              <w:rPr>
                <w:rFonts w:eastAsia="Calibri" w:cs="Times New Roman"/>
                <w:sz w:val="20"/>
                <w:szCs w:val="20"/>
                <w:lang w:val="cs-CZ"/>
              </w:rPr>
            </w:pPr>
            <w:r w:rsidRPr="00733FC4">
              <w:rPr>
                <w:rFonts w:eastAsia="Calibri" w:cs="Times New Roman"/>
                <w:color w:val="000000"/>
                <w:sz w:val="20"/>
                <w:szCs w:val="20"/>
                <w:lang w:val="cs-CZ"/>
              </w:rPr>
              <w:t>50</w:t>
            </w:r>
          </w:p>
        </w:tc>
        <w:tc>
          <w:tcPr>
            <w:tcW w:w="1726" w:type="pct"/>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5ACD91F" w14:textId="77777777" w:rsidR="003E0F58" w:rsidRPr="00733FC4" w:rsidRDefault="003E0F58" w:rsidP="00733FC4">
            <w:pPr>
              <w:jc w:val="center"/>
              <w:rPr>
                <w:rFonts w:eastAsia="Calibri" w:cs="Times New Roman"/>
                <w:sz w:val="20"/>
                <w:szCs w:val="20"/>
                <w:lang w:val="cs-CZ"/>
              </w:rPr>
            </w:pPr>
            <w:r w:rsidRPr="00733FC4">
              <w:rPr>
                <w:rFonts w:eastAsia="Calibri" w:cs="Times New Roman"/>
                <w:color w:val="000000"/>
                <w:sz w:val="20"/>
                <w:szCs w:val="20"/>
                <w:lang w:val="cs-CZ"/>
              </w:rPr>
              <w:t>756 429</w:t>
            </w:r>
          </w:p>
        </w:tc>
        <w:tc>
          <w:tcPr>
            <w:tcW w:w="84" w:type="pct"/>
            <w:noWrap/>
            <w:tcMar>
              <w:top w:w="0" w:type="dxa"/>
              <w:left w:w="70" w:type="dxa"/>
              <w:bottom w:w="0" w:type="dxa"/>
              <w:right w:w="70" w:type="dxa"/>
            </w:tcMar>
            <w:vAlign w:val="bottom"/>
            <w:hideMark/>
          </w:tcPr>
          <w:p w14:paraId="53123C33" w14:textId="77777777" w:rsidR="003E0F58" w:rsidRPr="00733FC4" w:rsidRDefault="003E0F58" w:rsidP="004D2249">
            <w:pPr>
              <w:jc w:val="left"/>
              <w:rPr>
                <w:rFonts w:cs="Times New Roman"/>
                <w:sz w:val="20"/>
                <w:szCs w:val="20"/>
                <w:lang w:val="cs-CZ"/>
              </w:rPr>
            </w:pPr>
          </w:p>
        </w:tc>
        <w:tc>
          <w:tcPr>
            <w:tcW w:w="89" w:type="pct"/>
            <w:gridSpan w:val="2"/>
            <w:noWrap/>
            <w:tcMar>
              <w:top w:w="0" w:type="dxa"/>
              <w:left w:w="70" w:type="dxa"/>
              <w:bottom w:w="0" w:type="dxa"/>
              <w:right w:w="70" w:type="dxa"/>
            </w:tcMar>
            <w:vAlign w:val="bottom"/>
            <w:hideMark/>
          </w:tcPr>
          <w:p w14:paraId="7D9C445E" w14:textId="77777777" w:rsidR="003E0F58" w:rsidRPr="00733FC4" w:rsidRDefault="003E0F58" w:rsidP="004D2249">
            <w:pPr>
              <w:jc w:val="left"/>
              <w:rPr>
                <w:rFonts w:cs="Times New Roman"/>
                <w:sz w:val="20"/>
                <w:szCs w:val="20"/>
                <w:lang w:val="cs-CZ"/>
              </w:rPr>
            </w:pPr>
          </w:p>
        </w:tc>
        <w:tc>
          <w:tcPr>
            <w:tcW w:w="79" w:type="pct"/>
            <w:noWrap/>
            <w:tcMar>
              <w:top w:w="0" w:type="dxa"/>
              <w:left w:w="70" w:type="dxa"/>
              <w:bottom w:w="0" w:type="dxa"/>
              <w:right w:w="70" w:type="dxa"/>
            </w:tcMar>
            <w:vAlign w:val="bottom"/>
            <w:hideMark/>
          </w:tcPr>
          <w:p w14:paraId="6EF7D42A" w14:textId="77777777" w:rsidR="003E0F58" w:rsidRPr="00733FC4" w:rsidRDefault="003E0F58" w:rsidP="004D2249">
            <w:pPr>
              <w:jc w:val="left"/>
              <w:rPr>
                <w:rFonts w:cs="Times New Roman"/>
                <w:sz w:val="20"/>
                <w:szCs w:val="20"/>
                <w:lang w:val="cs-CZ"/>
              </w:rPr>
            </w:pPr>
          </w:p>
        </w:tc>
        <w:tc>
          <w:tcPr>
            <w:tcW w:w="167" w:type="pct"/>
            <w:gridSpan w:val="3"/>
            <w:noWrap/>
            <w:tcMar>
              <w:top w:w="0" w:type="dxa"/>
              <w:left w:w="70" w:type="dxa"/>
              <w:bottom w:w="0" w:type="dxa"/>
              <w:right w:w="70" w:type="dxa"/>
            </w:tcMar>
            <w:vAlign w:val="bottom"/>
            <w:hideMark/>
          </w:tcPr>
          <w:p w14:paraId="34933F94" w14:textId="77777777" w:rsidR="003E0F58" w:rsidRPr="00733FC4" w:rsidRDefault="003E0F58" w:rsidP="004D2249">
            <w:pPr>
              <w:jc w:val="left"/>
              <w:rPr>
                <w:rFonts w:cs="Times New Roman"/>
                <w:sz w:val="20"/>
                <w:szCs w:val="20"/>
                <w:lang w:val="cs-CZ"/>
              </w:rPr>
            </w:pPr>
          </w:p>
        </w:tc>
        <w:tc>
          <w:tcPr>
            <w:tcW w:w="104" w:type="pct"/>
            <w:gridSpan w:val="3"/>
            <w:noWrap/>
            <w:tcMar>
              <w:top w:w="0" w:type="dxa"/>
              <w:left w:w="70" w:type="dxa"/>
              <w:bottom w:w="0" w:type="dxa"/>
              <w:right w:w="70" w:type="dxa"/>
            </w:tcMar>
            <w:vAlign w:val="bottom"/>
            <w:hideMark/>
          </w:tcPr>
          <w:p w14:paraId="0FFACF09" w14:textId="77777777" w:rsidR="003E0F58" w:rsidRPr="00733FC4" w:rsidRDefault="003E0F58" w:rsidP="004D2249">
            <w:pPr>
              <w:jc w:val="left"/>
              <w:rPr>
                <w:rFonts w:cs="Times New Roman"/>
                <w:sz w:val="20"/>
                <w:szCs w:val="20"/>
                <w:lang w:val="cs-CZ"/>
              </w:rPr>
            </w:pPr>
          </w:p>
        </w:tc>
        <w:tc>
          <w:tcPr>
            <w:tcW w:w="108" w:type="pct"/>
            <w:gridSpan w:val="4"/>
            <w:noWrap/>
            <w:tcMar>
              <w:top w:w="0" w:type="dxa"/>
              <w:left w:w="70" w:type="dxa"/>
              <w:bottom w:w="0" w:type="dxa"/>
              <w:right w:w="70" w:type="dxa"/>
            </w:tcMar>
            <w:vAlign w:val="bottom"/>
            <w:hideMark/>
          </w:tcPr>
          <w:p w14:paraId="23E53D93" w14:textId="77777777" w:rsidR="003E0F58" w:rsidRPr="00733FC4" w:rsidRDefault="003E0F58" w:rsidP="004D2249">
            <w:pPr>
              <w:jc w:val="left"/>
              <w:rPr>
                <w:rFonts w:cs="Times New Roman"/>
                <w:sz w:val="20"/>
                <w:szCs w:val="20"/>
                <w:lang w:val="cs-CZ"/>
              </w:rPr>
            </w:pPr>
          </w:p>
        </w:tc>
        <w:tc>
          <w:tcPr>
            <w:tcW w:w="78" w:type="pct"/>
            <w:gridSpan w:val="2"/>
            <w:noWrap/>
            <w:tcMar>
              <w:top w:w="0" w:type="dxa"/>
              <w:left w:w="70" w:type="dxa"/>
              <w:bottom w:w="0" w:type="dxa"/>
              <w:right w:w="70" w:type="dxa"/>
            </w:tcMar>
            <w:vAlign w:val="bottom"/>
            <w:hideMark/>
          </w:tcPr>
          <w:p w14:paraId="2C77F7CF" w14:textId="77777777" w:rsidR="003E0F58" w:rsidRPr="00733FC4" w:rsidRDefault="003E0F58" w:rsidP="004D2249">
            <w:pPr>
              <w:jc w:val="left"/>
              <w:rPr>
                <w:rFonts w:cs="Times New Roman"/>
                <w:sz w:val="20"/>
                <w:szCs w:val="20"/>
                <w:lang w:val="cs-CZ"/>
              </w:rPr>
            </w:pPr>
          </w:p>
        </w:tc>
      </w:tr>
    </w:tbl>
    <w:p w14:paraId="423C9C73" w14:textId="77777777" w:rsidR="003E0F58" w:rsidRPr="007C705C" w:rsidRDefault="003E0F58" w:rsidP="00733FC4">
      <w:pPr>
        <w:pStyle w:val="UZEIZdroj"/>
        <w:spacing w:after="0"/>
        <w:rPr>
          <w:sz w:val="22"/>
        </w:rPr>
      </w:pPr>
      <w:r w:rsidRPr="007C705C">
        <w:t xml:space="preserve">*v důsledku odlišného kurzu se mohou hodnoty u zažádaných a proplacených finančních prostředků v jednotlivých letech lišit. </w:t>
      </w:r>
    </w:p>
    <w:p w14:paraId="2A4ACCEF" w14:textId="22CD2B03" w:rsidR="003E0F58" w:rsidRPr="007C705C" w:rsidRDefault="003E0F58" w:rsidP="00733FC4">
      <w:pPr>
        <w:pStyle w:val="UZEIZdroj"/>
        <w:spacing w:after="0"/>
        <w:rPr>
          <w:rFonts w:eastAsiaTheme="minorEastAsia"/>
        </w:rPr>
      </w:pPr>
      <w:r w:rsidRPr="007C705C">
        <w:rPr>
          <w:color w:val="1F497D"/>
          <w:sz w:val="22"/>
        </w:rPr>
        <w:t> </w:t>
      </w:r>
      <w:r w:rsidRPr="007C705C">
        <w:rPr>
          <w:rFonts w:eastAsiaTheme="minorEastAsia"/>
        </w:rPr>
        <w:t>Stav k 29.</w:t>
      </w:r>
      <w:r w:rsidR="00F075AF">
        <w:rPr>
          <w:rFonts w:eastAsiaTheme="minorEastAsia"/>
        </w:rPr>
        <w:t xml:space="preserve"> </w:t>
      </w:r>
      <w:r w:rsidRPr="007C705C">
        <w:rPr>
          <w:rFonts w:eastAsiaTheme="minorEastAsia"/>
        </w:rPr>
        <w:t>6.</w:t>
      </w:r>
      <w:r w:rsidR="00F075AF">
        <w:rPr>
          <w:rFonts w:eastAsiaTheme="minorEastAsia"/>
        </w:rPr>
        <w:t xml:space="preserve"> </w:t>
      </w:r>
      <w:r w:rsidRPr="007C705C">
        <w:rPr>
          <w:rFonts w:eastAsiaTheme="minorEastAsia"/>
        </w:rPr>
        <w:t>2018</w:t>
      </w:r>
    </w:p>
    <w:p w14:paraId="12A4A88C" w14:textId="77777777" w:rsidR="003E0F58" w:rsidRPr="007C705C" w:rsidRDefault="003E0F58" w:rsidP="00733FC4">
      <w:pPr>
        <w:pStyle w:val="UZEIZdroj"/>
        <w:spacing w:after="0"/>
        <w:rPr>
          <w:sz w:val="22"/>
        </w:rPr>
      </w:pPr>
      <w:r w:rsidRPr="007C705C">
        <w:rPr>
          <w:rFonts w:eastAsiaTheme="minorEastAsia"/>
        </w:rPr>
        <w:t>Zdroj: MZe (odbor Řídící orgán PRV)</w:t>
      </w:r>
    </w:p>
    <w:p w14:paraId="51E2AD6B" w14:textId="77777777" w:rsidR="003E0F58" w:rsidRPr="007C705C" w:rsidRDefault="003E0F58" w:rsidP="003E0F58">
      <w:pPr>
        <w:pStyle w:val="Odstavecseseznamem"/>
        <w:rPr>
          <w:lang w:eastAsia="x-none"/>
        </w:rPr>
      </w:pPr>
    </w:p>
    <w:p w14:paraId="0023C24F" w14:textId="7764D02A" w:rsidR="003E0F58" w:rsidRPr="007C705C" w:rsidRDefault="003E0F58" w:rsidP="00733FC4">
      <w:pPr>
        <w:pStyle w:val="UZEINormaln"/>
        <w:rPr>
          <w:rFonts w:eastAsiaTheme="minorEastAsia"/>
        </w:rPr>
      </w:pPr>
      <w:r w:rsidRPr="007C705C">
        <w:rPr>
          <w:rFonts w:eastAsiaTheme="minorEastAsia"/>
        </w:rPr>
        <w:t>K PO 5E (Průběžná hodnotící zpráva Naviga4, 31.</w:t>
      </w:r>
      <w:r w:rsidR="00F075AF">
        <w:rPr>
          <w:rFonts w:eastAsiaTheme="minorEastAsia"/>
        </w:rPr>
        <w:t xml:space="preserve"> </w:t>
      </w:r>
      <w:r w:rsidRPr="007C705C">
        <w:rPr>
          <w:rFonts w:eastAsiaTheme="minorEastAsia"/>
        </w:rPr>
        <w:t>12.</w:t>
      </w:r>
      <w:r w:rsidR="00F075AF">
        <w:rPr>
          <w:rFonts w:eastAsiaTheme="minorEastAsia"/>
        </w:rPr>
        <w:t xml:space="preserve"> </w:t>
      </w:r>
      <w:r w:rsidRPr="007C705C">
        <w:rPr>
          <w:rFonts w:eastAsiaTheme="minorEastAsia"/>
        </w:rPr>
        <w:t>2017): Stav implementace operace 8.1.1 k 31. 12. 2017 je stále na velmi nízké úrovni. V rámci operace 8.1.1 je stále proplaceno minimum finančních prostředků a závazky pokrývají pouze minimální rozsah (cca 12 % cílové hodnoty) plochy k zalesnění. Při aktuálním rozsahu závazkované plochy v rámci operace 8.1.1, který činí 118 ha, lze potenciální přírůstek zásoby uhlíku aktuálně závazkované plochy k zalesnění stanovit na 188 Mg C za rok, oproti situaci bez realizace opatření (pro srovnání, při dosažení původně očekávané rozlohy zalesněné plochy, 1 000 ha, by byla očekávaná rychlost sekvestrace 1 600 Mg C/rok). Čerpání v rámci operací na zatravňování orné půdy (10.1.5, 10.1.8) je prozatím velmi nízké. K roku 2017 je na zatravnění orné půdy (10.1.5) zažádáno celkem 7,8 tis. ha, tj. 22 % očekávané plochy (která činí 36 000 ha). Extrémně nízký je prozatím zájem žadatelů o zatravňování drah soustředěného odtoku, kde bylo roku 2017 závazkováno zatravnění pouze 50 ha z. p. s vymezenou DSO, a to výhradně na jižní Moravě. Způsobilá plocha je tak pokryta pouze z 1 % a očekávaná plocha závazků, která činí 400 ha, je pokryta z 12 %. Na základě stávajících závazků bylo tedy v roce 2017 zatravněno v rámci operací 10.1.5 a 10.1.8 celkem 7 867 ha orné půdy. Pokud tedy vezmeme v úvahu 1) průměrnou hodnotu sekvestrace v důsledku zatravnění orné půdy 1,79 Mg/ha/rok a 2) rozsah závazkované plochy v rámci opatření 10.1.5 a 10.1.8, který činí 7 867 ha, lze sekvestrační potenciál (přírůstek zásoby uhlíku) aktuálně závazkované plochy stanovit na 14,1 Gg C za rok (14 082 Mg C/rok), oproti situaci bez realizace opatření (pro srovnání, při dosažení očekávané rozlohy zatravněné plochy, 36 400 ha, by byla očekávaná rychlost sekvestrace 65,2 Gg/rok). Příspěvek zatravňování orné půdy a drah soustředěného odtoku v rámci AEKO ve vztahu k prioritní oblasti 5E přispět k prevenci klimatických změn ve smyslu snížení uvolňování uhlíku, resp. snížení hodnoty CO2 vypouštěného do ovzduší byl u zatravnění v letech 2015–2017 v přepočtu na území celé ČR vyčíslen na zadržení 23,8 Gg (23,8 tis. tun) CO2. Z hlediska finančního ocenění byl střední odhad průměrné hodnoty uhlíku stanoven na 2 836 Kč za tunu CO2 za rok, a celková úspora pro ČR na uhlíkové stopě díky zatravňování tak byla pro rok 2017 stanovena na přibližně 67,48 mil. Kč.</w:t>
      </w:r>
    </w:p>
    <w:p w14:paraId="5676B327" w14:textId="5FD03597" w:rsidR="003E0F58" w:rsidRPr="00733FC4" w:rsidRDefault="003E0F58" w:rsidP="00733FC4">
      <w:pPr>
        <w:pStyle w:val="UZEINormaln"/>
        <w:rPr>
          <w:rFonts w:eastAsiaTheme="minorEastAsia"/>
        </w:rPr>
      </w:pPr>
      <w:r w:rsidRPr="007C705C">
        <w:rPr>
          <w:rFonts w:eastAsiaTheme="minorEastAsia"/>
        </w:rPr>
        <w:t xml:space="preserve">Dle kontextových ukazatelů činil v roce 2016 Les a jiné zalesněné plochy 2 670 tis. ha (ČSÚ), tj. podíl na výměře půdy 0,3383 % z půdy celkem (Výpočet ÚZEI 2015). Celkový odhadovaný obsah organického uhlíku v orné půdě v roce 2009 činil 220,23 Mt (Megatuny) (EK 2015), přičemž průměrný obsah org. C byl 19,63 g/kg (EK 2015). </w:t>
      </w:r>
    </w:p>
    <w:p w14:paraId="22C3B676" w14:textId="77777777" w:rsidR="003E0F58" w:rsidRPr="007C705C" w:rsidRDefault="003E0F58" w:rsidP="008A1AE3">
      <w:pPr>
        <w:pStyle w:val="Odstavecseseznamem"/>
        <w:numPr>
          <w:ilvl w:val="0"/>
          <w:numId w:val="19"/>
        </w:numPr>
        <w:spacing w:before="60" w:line="360" w:lineRule="atLeast"/>
        <w:rPr>
          <w:rFonts w:eastAsiaTheme="minorEastAsia"/>
          <w:b/>
          <w:bCs/>
        </w:rPr>
      </w:pPr>
      <w:r w:rsidRPr="007C705C">
        <w:rPr>
          <w:rFonts w:eastAsiaTheme="minorEastAsia"/>
          <w:b/>
          <w:bCs/>
        </w:rPr>
        <w:t>Nevyužitý potenciál a neefektivní výroba energií z OZE v zemědělství a lesnictví</w:t>
      </w:r>
    </w:p>
    <w:p w14:paraId="0E3B392A" w14:textId="200C11C2" w:rsidR="003E0F58" w:rsidRPr="007C705C" w:rsidRDefault="003E0F58" w:rsidP="00733FC4">
      <w:pPr>
        <w:pStyle w:val="UZEINormaln"/>
        <w:rPr>
          <w:rFonts w:eastAsiaTheme="minorEastAsia"/>
        </w:rPr>
      </w:pPr>
      <w:r w:rsidRPr="007C705C">
        <w:rPr>
          <w:rFonts w:eastAsiaTheme="minorEastAsia"/>
        </w:rPr>
        <w:t>V současném PRV 14+ cílí na jmenované problémy PO 5C Usnadnění dodávek a využívání energie z obnovitelných zdrojů, vedlejších produktů, odpadu, reziduí a jiných nepotravinářských surovin pro účely ekologického hospodářství opatřením M06 ROZVOJ ZEMĚDĚLSKÝCH PODNIKŮ A PODNIKATELSKÉ ČINNOSTI a to operacemi 6.4.1, 6.4.3 a dále opatřením M16 SPOLUPRÁCE operací 16.6.1 (Průběžná hodnotící zpráva Naviga4, 31.</w:t>
      </w:r>
      <w:r w:rsidR="00601C1D">
        <w:rPr>
          <w:rFonts w:eastAsiaTheme="minorEastAsia"/>
        </w:rPr>
        <w:t xml:space="preserve"> </w:t>
      </w:r>
      <w:r w:rsidRPr="007C705C">
        <w:rPr>
          <w:rFonts w:eastAsiaTheme="minorEastAsia"/>
        </w:rPr>
        <w:t>12.</w:t>
      </w:r>
      <w:r w:rsidR="00601C1D">
        <w:rPr>
          <w:rFonts w:eastAsiaTheme="minorEastAsia"/>
        </w:rPr>
        <w:t xml:space="preserve"> </w:t>
      </w:r>
      <w:r w:rsidRPr="007C705C">
        <w:rPr>
          <w:rFonts w:eastAsiaTheme="minorEastAsia"/>
        </w:rPr>
        <w:t>2017).</w:t>
      </w:r>
    </w:p>
    <w:p w14:paraId="110CC1C0" w14:textId="77777777" w:rsidR="003E0F58" w:rsidRPr="007C705C" w:rsidRDefault="003E0F58" w:rsidP="003E0F58">
      <w:pPr>
        <w:ind w:firstLine="360"/>
        <w:rPr>
          <w:rFonts w:eastAsiaTheme="minorEastAsia" w:cs="Times New Roman"/>
          <w:lang w:val="cs-CZ"/>
        </w:rPr>
      </w:pPr>
      <w:r w:rsidRPr="007C705C">
        <w:rPr>
          <w:rFonts w:eastAsiaTheme="minorEastAsia" w:cs="Times New Roman"/>
          <w:lang w:val="cs-CZ"/>
        </w:rPr>
        <w:t>Přehled kódů a názvů operací uvedených v textu výše:</w:t>
      </w:r>
    </w:p>
    <w:p w14:paraId="31718CC9" w14:textId="77777777" w:rsidR="003E0F58" w:rsidRPr="007C705C" w:rsidRDefault="003E0F58" w:rsidP="003E0F58">
      <w:pPr>
        <w:pStyle w:val="Odstavecseseznamem"/>
        <w:rPr>
          <w:rFonts w:eastAsiaTheme="minorEastAsia"/>
        </w:rPr>
      </w:pPr>
      <w:r w:rsidRPr="007C705C">
        <w:rPr>
          <w:rFonts w:eastAsiaTheme="minorEastAsia"/>
        </w:rPr>
        <w:t>6.4.1 INVESTICE DO NEZEMĚDĚLSKÝCH ČINNOSTÍ</w:t>
      </w:r>
    </w:p>
    <w:p w14:paraId="6C32D109" w14:textId="77777777" w:rsidR="003E0F58" w:rsidRPr="007C705C" w:rsidRDefault="003E0F58" w:rsidP="003E0F58">
      <w:pPr>
        <w:pStyle w:val="Odstavecseseznamem"/>
        <w:rPr>
          <w:rFonts w:eastAsiaTheme="minorEastAsia"/>
        </w:rPr>
      </w:pPr>
      <w:r w:rsidRPr="007C705C">
        <w:rPr>
          <w:rFonts w:eastAsiaTheme="minorEastAsia"/>
        </w:rPr>
        <w:t>6.4.3 INVESTICE NA PODPORU ENERGIE Z OBNOVITELNÝCH ZDROJŮ</w:t>
      </w:r>
    </w:p>
    <w:p w14:paraId="748A3430" w14:textId="77777777" w:rsidR="003E0F58" w:rsidRPr="007C705C" w:rsidRDefault="003E0F58" w:rsidP="003E0F58">
      <w:pPr>
        <w:pStyle w:val="Odstavecseseznamem"/>
        <w:rPr>
          <w:rFonts w:eastAsiaTheme="minorEastAsia"/>
        </w:rPr>
      </w:pPr>
      <w:r w:rsidRPr="007C705C">
        <w:rPr>
          <w:rFonts w:eastAsiaTheme="minorEastAsia"/>
        </w:rPr>
        <w:t>16.6.1 HORIZONTÁLNÍ A VERTIKÁLNÍ SPOLUPRÁCE PŘI UDRŽITELNÉM ZAJIŠŤOVÁNÍ BIOMASY PRO VÝROBU ENERGIE A V PRŮMYSLOVÝCH PROCESECH</w:t>
      </w:r>
    </w:p>
    <w:p w14:paraId="75010142" w14:textId="77777777" w:rsidR="003E0F58" w:rsidRPr="007C705C" w:rsidRDefault="003E0F58" w:rsidP="00733FC4">
      <w:pPr>
        <w:pStyle w:val="UZEINormaln"/>
        <w:rPr>
          <w:rFonts w:eastAsiaTheme="minorEastAsia"/>
        </w:rPr>
      </w:pPr>
      <w:r w:rsidRPr="007C705C">
        <w:rPr>
          <w:rFonts w:eastAsiaTheme="minorEastAsia"/>
        </w:rPr>
        <w:lastRenderedPageBreak/>
        <w:t>V následující tabulce je znázorněna struktura čerpání prostředků v opatřeních zaměřených na využívání biomasy v energetice.</w:t>
      </w:r>
    </w:p>
    <w:p w14:paraId="2F36FC53" w14:textId="1CD6781C" w:rsidR="003E0F58" w:rsidRPr="007C705C" w:rsidRDefault="00733FC4" w:rsidP="00733FC4">
      <w:pPr>
        <w:pStyle w:val="UZEITaB"/>
        <w:rPr>
          <w:rFonts w:eastAsiaTheme="minorEastAsia"/>
        </w:rPr>
      </w:pPr>
      <w:bookmarkStart w:id="446" w:name="_Toc77245862"/>
      <w:r>
        <w:rPr>
          <w:rFonts w:eastAsiaTheme="minorEastAsia"/>
        </w:rPr>
        <w:t xml:space="preserve"> </w:t>
      </w:r>
      <w:bookmarkStart w:id="447" w:name="_Toc94181629"/>
      <w:r w:rsidR="003E0F58" w:rsidRPr="007C705C">
        <w:rPr>
          <w:rFonts w:eastAsiaTheme="minorEastAsia"/>
        </w:rPr>
        <w:t>Přehled o čerpání podpor na investice do zpracování biomasy v rámci opatření 6 a 16 PRV (2014-2020)</w:t>
      </w:r>
      <w:bookmarkEnd w:id="446"/>
      <w:bookmarkEnd w:id="447"/>
    </w:p>
    <w:tbl>
      <w:tblPr>
        <w:tblW w:w="9077" w:type="dxa"/>
        <w:tblBorders>
          <w:top w:val="single" w:sz="8" w:space="0" w:color="4F81BD"/>
          <w:bottom w:val="single" w:sz="8" w:space="0" w:color="4F81BD"/>
        </w:tblBorders>
        <w:tblLayout w:type="fixed"/>
        <w:tblLook w:val="0000" w:firstRow="0" w:lastRow="0" w:firstColumn="0" w:lastColumn="0" w:noHBand="0" w:noVBand="0"/>
      </w:tblPr>
      <w:tblGrid>
        <w:gridCol w:w="2266"/>
        <w:gridCol w:w="1243"/>
        <w:gridCol w:w="1311"/>
        <w:gridCol w:w="1701"/>
        <w:gridCol w:w="1134"/>
        <w:gridCol w:w="1422"/>
      </w:tblGrid>
      <w:tr w:rsidR="003E0F58" w:rsidRPr="00733FC4" w14:paraId="72124E66" w14:textId="77777777" w:rsidTr="004D2249">
        <w:trPr>
          <w:trHeight w:val="340"/>
        </w:trPr>
        <w:tc>
          <w:tcPr>
            <w:tcW w:w="2266" w:type="dxa"/>
            <w:tcBorders>
              <w:left w:val="nil"/>
              <w:bottom w:val="nil"/>
              <w:right w:val="nil"/>
            </w:tcBorders>
            <w:shd w:val="clear" w:color="auto" w:fill="D3DFEE"/>
          </w:tcPr>
          <w:p w14:paraId="6B7ADA69" w14:textId="77777777" w:rsidR="003E0F58" w:rsidRPr="00733FC4" w:rsidRDefault="003E0F58" w:rsidP="004D2249">
            <w:pPr>
              <w:spacing w:before="100" w:beforeAutospacing="1" w:after="100" w:afterAutospacing="1"/>
              <w:jc w:val="center"/>
              <w:rPr>
                <w:rFonts w:cs="Times New Roman"/>
                <w:b/>
                <w:bCs/>
                <w:color w:val="365F91"/>
                <w:sz w:val="20"/>
                <w:szCs w:val="20"/>
                <w:lang w:val="cs-CZ"/>
              </w:rPr>
            </w:pPr>
          </w:p>
        </w:tc>
        <w:tc>
          <w:tcPr>
            <w:tcW w:w="1243" w:type="dxa"/>
            <w:tcBorders>
              <w:left w:val="nil"/>
              <w:right w:val="nil"/>
            </w:tcBorders>
            <w:shd w:val="clear" w:color="auto" w:fill="D3DFEE"/>
          </w:tcPr>
          <w:p w14:paraId="6319DB50" w14:textId="77777777" w:rsidR="003E0F58" w:rsidRPr="00733FC4" w:rsidRDefault="003E0F58" w:rsidP="004D2249">
            <w:pPr>
              <w:spacing w:before="100" w:beforeAutospacing="1" w:after="100" w:afterAutospacing="1"/>
              <w:ind w:firstLine="40"/>
              <w:jc w:val="center"/>
              <w:rPr>
                <w:rFonts w:eastAsiaTheme="minorEastAsia" w:cs="Times New Roman"/>
                <w:b/>
                <w:bCs/>
                <w:color w:val="365F91"/>
                <w:sz w:val="20"/>
                <w:szCs w:val="20"/>
                <w:lang w:val="cs-CZ"/>
              </w:rPr>
            </w:pPr>
            <w:r w:rsidRPr="00733FC4">
              <w:rPr>
                <w:rFonts w:eastAsiaTheme="minorEastAsia" w:cs="Times New Roman"/>
                <w:b/>
                <w:bCs/>
                <w:color w:val="365F91"/>
                <w:sz w:val="20"/>
                <w:szCs w:val="20"/>
                <w:lang w:val="cs-CZ"/>
              </w:rPr>
              <w:t>6.4.1. peletárny</w:t>
            </w:r>
          </w:p>
        </w:tc>
        <w:tc>
          <w:tcPr>
            <w:tcW w:w="1311" w:type="dxa"/>
            <w:tcBorders>
              <w:left w:val="nil"/>
              <w:bottom w:val="nil"/>
              <w:right w:val="nil"/>
            </w:tcBorders>
            <w:shd w:val="clear" w:color="auto" w:fill="D3DFEE"/>
            <w:vAlign w:val="center"/>
          </w:tcPr>
          <w:p w14:paraId="71FF7EED" w14:textId="77777777" w:rsidR="003E0F58" w:rsidRPr="00733FC4" w:rsidRDefault="003E0F58" w:rsidP="004D2249">
            <w:pPr>
              <w:spacing w:before="100" w:beforeAutospacing="1" w:after="100" w:afterAutospacing="1"/>
              <w:ind w:firstLine="40"/>
              <w:jc w:val="center"/>
              <w:rPr>
                <w:rFonts w:eastAsiaTheme="minorEastAsia" w:cs="Times New Roman"/>
                <w:b/>
                <w:bCs/>
                <w:color w:val="365F91"/>
                <w:sz w:val="20"/>
                <w:szCs w:val="20"/>
                <w:lang w:val="cs-CZ"/>
              </w:rPr>
            </w:pPr>
            <w:r w:rsidRPr="00733FC4">
              <w:rPr>
                <w:rFonts w:eastAsiaTheme="minorEastAsia" w:cs="Times New Roman"/>
                <w:b/>
                <w:bCs/>
                <w:color w:val="365F91"/>
                <w:sz w:val="20"/>
                <w:szCs w:val="20"/>
                <w:lang w:val="cs-CZ"/>
              </w:rPr>
              <w:t>6.4.3. BPS</w:t>
            </w:r>
          </w:p>
        </w:tc>
        <w:tc>
          <w:tcPr>
            <w:tcW w:w="1701" w:type="dxa"/>
            <w:tcBorders>
              <w:left w:val="nil"/>
              <w:right w:val="nil"/>
            </w:tcBorders>
            <w:shd w:val="clear" w:color="auto" w:fill="D3DFEE"/>
            <w:vAlign w:val="center"/>
          </w:tcPr>
          <w:p w14:paraId="71B53564" w14:textId="77777777" w:rsidR="003E0F58" w:rsidRPr="00733FC4" w:rsidRDefault="003E0F58" w:rsidP="004D2249">
            <w:pPr>
              <w:spacing w:before="100" w:beforeAutospacing="1" w:after="100" w:afterAutospacing="1"/>
              <w:ind w:firstLine="40"/>
              <w:jc w:val="center"/>
              <w:rPr>
                <w:rFonts w:eastAsiaTheme="minorEastAsia" w:cs="Times New Roman"/>
                <w:b/>
                <w:bCs/>
                <w:color w:val="365F91"/>
                <w:sz w:val="20"/>
                <w:szCs w:val="20"/>
                <w:lang w:val="cs-CZ"/>
              </w:rPr>
            </w:pPr>
            <w:r w:rsidRPr="00733FC4">
              <w:rPr>
                <w:rFonts w:eastAsiaTheme="minorEastAsia" w:cs="Times New Roman"/>
                <w:b/>
                <w:bCs/>
                <w:color w:val="365F91"/>
                <w:sz w:val="20"/>
                <w:szCs w:val="20"/>
                <w:lang w:val="cs-CZ"/>
              </w:rPr>
              <w:t>6.4.3. peletárny</w:t>
            </w:r>
          </w:p>
        </w:tc>
        <w:tc>
          <w:tcPr>
            <w:tcW w:w="1134" w:type="dxa"/>
            <w:tcBorders>
              <w:left w:val="nil"/>
              <w:right w:val="nil"/>
            </w:tcBorders>
            <w:shd w:val="clear" w:color="auto" w:fill="D3DFEE"/>
          </w:tcPr>
          <w:p w14:paraId="4FCE41BA" w14:textId="77777777" w:rsidR="003E0F58" w:rsidRPr="00733FC4" w:rsidRDefault="003E0F58" w:rsidP="004D2249">
            <w:pPr>
              <w:spacing w:before="100" w:beforeAutospacing="1" w:after="100" w:afterAutospacing="1"/>
              <w:ind w:firstLine="40"/>
              <w:jc w:val="center"/>
              <w:rPr>
                <w:rFonts w:eastAsiaTheme="minorEastAsia" w:cs="Times New Roman"/>
                <w:b/>
                <w:bCs/>
                <w:color w:val="365F91"/>
                <w:sz w:val="20"/>
                <w:szCs w:val="20"/>
                <w:lang w:val="cs-CZ"/>
              </w:rPr>
            </w:pPr>
            <w:r w:rsidRPr="00733FC4">
              <w:rPr>
                <w:rFonts w:eastAsiaTheme="minorEastAsia" w:cs="Times New Roman"/>
                <w:b/>
                <w:bCs/>
                <w:color w:val="365F91"/>
                <w:sz w:val="20"/>
                <w:szCs w:val="20"/>
                <w:lang w:val="cs-CZ"/>
              </w:rPr>
              <w:t>16.6.1. biomasa</w:t>
            </w:r>
          </w:p>
        </w:tc>
        <w:tc>
          <w:tcPr>
            <w:tcW w:w="1422" w:type="dxa"/>
            <w:tcBorders>
              <w:left w:val="nil"/>
              <w:bottom w:val="nil"/>
              <w:right w:val="nil"/>
            </w:tcBorders>
            <w:shd w:val="clear" w:color="auto" w:fill="D3DFEE"/>
          </w:tcPr>
          <w:p w14:paraId="36BC54E9" w14:textId="77777777" w:rsidR="003E0F58" w:rsidRPr="00733FC4" w:rsidRDefault="003E0F58" w:rsidP="004D2249">
            <w:pPr>
              <w:spacing w:before="100" w:beforeAutospacing="1" w:after="100" w:afterAutospacing="1"/>
              <w:ind w:firstLine="40"/>
              <w:jc w:val="center"/>
              <w:rPr>
                <w:rFonts w:eastAsiaTheme="minorEastAsia" w:cs="Times New Roman"/>
                <w:b/>
                <w:bCs/>
                <w:color w:val="365F91"/>
                <w:sz w:val="20"/>
                <w:szCs w:val="20"/>
                <w:lang w:val="cs-CZ"/>
              </w:rPr>
            </w:pPr>
            <w:r w:rsidRPr="00733FC4">
              <w:rPr>
                <w:rFonts w:eastAsiaTheme="minorEastAsia" w:cs="Times New Roman"/>
                <w:b/>
                <w:bCs/>
                <w:color w:val="365F91"/>
                <w:sz w:val="20"/>
                <w:szCs w:val="20"/>
                <w:lang w:val="cs-CZ"/>
              </w:rPr>
              <w:t>Celkem</w:t>
            </w:r>
          </w:p>
        </w:tc>
      </w:tr>
      <w:tr w:rsidR="003E0F58" w:rsidRPr="00733FC4" w14:paraId="54516D4D" w14:textId="77777777" w:rsidTr="004D2249">
        <w:trPr>
          <w:trHeight w:val="283"/>
        </w:trPr>
        <w:tc>
          <w:tcPr>
            <w:tcW w:w="2266" w:type="dxa"/>
            <w:tcBorders>
              <w:left w:val="nil"/>
              <w:bottom w:val="nil"/>
              <w:right w:val="nil"/>
            </w:tcBorders>
            <w:shd w:val="clear" w:color="auto" w:fill="auto"/>
          </w:tcPr>
          <w:p w14:paraId="4356A481" w14:textId="77777777" w:rsidR="003E0F58" w:rsidRPr="00733FC4" w:rsidRDefault="003E0F58" w:rsidP="004D2249">
            <w:pPr>
              <w:spacing w:before="100" w:beforeAutospacing="1" w:after="100" w:afterAutospacing="1"/>
              <w:ind w:firstLine="37"/>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Zaregistrované projekty (ks)</w:t>
            </w:r>
          </w:p>
        </w:tc>
        <w:tc>
          <w:tcPr>
            <w:tcW w:w="1243" w:type="dxa"/>
            <w:shd w:val="clear" w:color="auto" w:fill="auto"/>
            <w:vAlign w:val="center"/>
          </w:tcPr>
          <w:p w14:paraId="6DF1AFAB" w14:textId="77777777" w:rsidR="003E0F58" w:rsidRPr="00733FC4"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7</w:t>
            </w:r>
          </w:p>
        </w:tc>
        <w:tc>
          <w:tcPr>
            <w:tcW w:w="1311" w:type="dxa"/>
            <w:tcBorders>
              <w:left w:val="nil"/>
              <w:bottom w:val="nil"/>
              <w:right w:val="nil"/>
            </w:tcBorders>
            <w:shd w:val="clear" w:color="auto" w:fill="auto"/>
            <w:vAlign w:val="center"/>
          </w:tcPr>
          <w:p w14:paraId="6BED25E9" w14:textId="77777777" w:rsidR="003E0F58" w:rsidRPr="00733FC4"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0</w:t>
            </w:r>
          </w:p>
        </w:tc>
        <w:tc>
          <w:tcPr>
            <w:tcW w:w="1701" w:type="dxa"/>
            <w:shd w:val="clear" w:color="auto" w:fill="auto"/>
            <w:vAlign w:val="center"/>
          </w:tcPr>
          <w:p w14:paraId="03D43FFA" w14:textId="77777777" w:rsidR="003E0F58" w:rsidRPr="00733FC4"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33</w:t>
            </w:r>
          </w:p>
        </w:tc>
        <w:tc>
          <w:tcPr>
            <w:tcW w:w="1134" w:type="dxa"/>
            <w:vAlign w:val="center"/>
          </w:tcPr>
          <w:p w14:paraId="00A715B1" w14:textId="77777777" w:rsidR="003E0F58" w:rsidRPr="00733FC4"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0</w:t>
            </w:r>
          </w:p>
        </w:tc>
        <w:tc>
          <w:tcPr>
            <w:tcW w:w="1422" w:type="dxa"/>
            <w:tcBorders>
              <w:left w:val="nil"/>
              <w:bottom w:val="nil"/>
              <w:right w:val="nil"/>
            </w:tcBorders>
            <w:shd w:val="clear" w:color="auto" w:fill="auto"/>
            <w:vAlign w:val="center"/>
          </w:tcPr>
          <w:p w14:paraId="24F7DFCC" w14:textId="77777777" w:rsidR="003E0F58" w:rsidRPr="00733FC4"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40</w:t>
            </w:r>
          </w:p>
        </w:tc>
      </w:tr>
      <w:tr w:rsidR="003E0F58" w:rsidRPr="00733FC4" w14:paraId="7FC07E49" w14:textId="77777777" w:rsidTr="004D2249">
        <w:trPr>
          <w:trHeight w:val="283"/>
        </w:trPr>
        <w:tc>
          <w:tcPr>
            <w:tcW w:w="2266" w:type="dxa"/>
            <w:tcBorders>
              <w:left w:val="nil"/>
              <w:bottom w:val="nil"/>
              <w:right w:val="nil"/>
            </w:tcBorders>
            <w:shd w:val="clear" w:color="auto" w:fill="D3DFEE"/>
          </w:tcPr>
          <w:p w14:paraId="52DB004C" w14:textId="77777777" w:rsidR="003E0F58" w:rsidRPr="00733FC4" w:rsidRDefault="003E0F58" w:rsidP="004D2249">
            <w:pPr>
              <w:spacing w:before="100" w:beforeAutospacing="1" w:after="100" w:afterAutospacing="1"/>
              <w:ind w:firstLine="37"/>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Částka za zaregistr. projekty (Kč)</w:t>
            </w:r>
          </w:p>
        </w:tc>
        <w:tc>
          <w:tcPr>
            <w:tcW w:w="1243" w:type="dxa"/>
            <w:tcBorders>
              <w:left w:val="nil"/>
              <w:right w:val="nil"/>
            </w:tcBorders>
            <w:shd w:val="clear" w:color="auto" w:fill="D3DFEE"/>
            <w:vAlign w:val="center"/>
          </w:tcPr>
          <w:p w14:paraId="36A7332F" w14:textId="77777777" w:rsidR="003E0F58" w:rsidRPr="00733FC4"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9 538 500</w:t>
            </w:r>
          </w:p>
        </w:tc>
        <w:tc>
          <w:tcPr>
            <w:tcW w:w="1311" w:type="dxa"/>
            <w:tcBorders>
              <w:left w:val="nil"/>
              <w:bottom w:val="nil"/>
              <w:right w:val="nil"/>
            </w:tcBorders>
            <w:shd w:val="clear" w:color="auto" w:fill="D3DFEE"/>
            <w:vAlign w:val="center"/>
          </w:tcPr>
          <w:p w14:paraId="4763682B" w14:textId="77777777" w:rsidR="003E0F58" w:rsidRPr="00733FC4"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w:t>
            </w:r>
          </w:p>
        </w:tc>
        <w:tc>
          <w:tcPr>
            <w:tcW w:w="1701" w:type="dxa"/>
            <w:tcBorders>
              <w:left w:val="nil"/>
              <w:right w:val="nil"/>
            </w:tcBorders>
            <w:shd w:val="clear" w:color="auto" w:fill="D3DFEE"/>
            <w:vAlign w:val="center"/>
          </w:tcPr>
          <w:p w14:paraId="4BA00825" w14:textId="77777777" w:rsidR="003E0F58" w:rsidRPr="00733FC4"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58 027 949</w:t>
            </w:r>
          </w:p>
        </w:tc>
        <w:tc>
          <w:tcPr>
            <w:tcW w:w="1134" w:type="dxa"/>
            <w:tcBorders>
              <w:left w:val="nil"/>
              <w:right w:val="nil"/>
            </w:tcBorders>
            <w:shd w:val="clear" w:color="auto" w:fill="D3DFEE"/>
            <w:vAlign w:val="center"/>
          </w:tcPr>
          <w:p w14:paraId="55655B11" w14:textId="77777777" w:rsidR="003E0F58" w:rsidRPr="00733FC4"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0</w:t>
            </w:r>
          </w:p>
        </w:tc>
        <w:tc>
          <w:tcPr>
            <w:tcW w:w="1422" w:type="dxa"/>
            <w:tcBorders>
              <w:left w:val="nil"/>
              <w:bottom w:val="nil"/>
              <w:right w:val="nil"/>
            </w:tcBorders>
            <w:shd w:val="clear" w:color="auto" w:fill="D3DFEE"/>
            <w:vAlign w:val="center"/>
          </w:tcPr>
          <w:p w14:paraId="2C637D09" w14:textId="77777777" w:rsidR="003E0F58" w:rsidRPr="00733FC4"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67566449</w:t>
            </w:r>
          </w:p>
        </w:tc>
      </w:tr>
      <w:tr w:rsidR="003E0F58" w:rsidRPr="00733FC4" w14:paraId="1C8AC84F" w14:textId="77777777" w:rsidTr="004D2249">
        <w:trPr>
          <w:trHeight w:val="283"/>
        </w:trPr>
        <w:tc>
          <w:tcPr>
            <w:tcW w:w="2266" w:type="dxa"/>
            <w:tcBorders>
              <w:left w:val="nil"/>
              <w:bottom w:val="nil"/>
              <w:right w:val="nil"/>
            </w:tcBorders>
            <w:shd w:val="clear" w:color="auto" w:fill="auto"/>
          </w:tcPr>
          <w:p w14:paraId="16B9A351" w14:textId="77777777" w:rsidR="003E0F58" w:rsidRPr="00733FC4" w:rsidRDefault="003E0F58" w:rsidP="004D2249">
            <w:pPr>
              <w:spacing w:before="100" w:beforeAutospacing="1" w:after="100" w:afterAutospacing="1"/>
              <w:ind w:firstLine="37"/>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Schválené projekty (ks)</w:t>
            </w:r>
          </w:p>
        </w:tc>
        <w:tc>
          <w:tcPr>
            <w:tcW w:w="1243" w:type="dxa"/>
            <w:shd w:val="clear" w:color="auto" w:fill="auto"/>
            <w:vAlign w:val="center"/>
          </w:tcPr>
          <w:p w14:paraId="6ABB2A5F" w14:textId="77777777" w:rsidR="003E0F58" w:rsidRPr="00733FC4"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0</w:t>
            </w:r>
          </w:p>
        </w:tc>
        <w:tc>
          <w:tcPr>
            <w:tcW w:w="1311" w:type="dxa"/>
            <w:tcBorders>
              <w:left w:val="nil"/>
              <w:bottom w:val="nil"/>
              <w:right w:val="nil"/>
            </w:tcBorders>
            <w:shd w:val="clear" w:color="auto" w:fill="auto"/>
            <w:vAlign w:val="center"/>
          </w:tcPr>
          <w:p w14:paraId="29557773" w14:textId="77777777" w:rsidR="003E0F58" w:rsidRPr="00733FC4"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0</w:t>
            </w:r>
          </w:p>
        </w:tc>
        <w:tc>
          <w:tcPr>
            <w:tcW w:w="1701" w:type="dxa"/>
            <w:shd w:val="clear" w:color="auto" w:fill="auto"/>
            <w:vAlign w:val="center"/>
          </w:tcPr>
          <w:p w14:paraId="4ED430B2" w14:textId="77777777" w:rsidR="003E0F58" w:rsidRPr="00733FC4"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20</w:t>
            </w:r>
          </w:p>
        </w:tc>
        <w:tc>
          <w:tcPr>
            <w:tcW w:w="1134" w:type="dxa"/>
            <w:vAlign w:val="center"/>
          </w:tcPr>
          <w:p w14:paraId="3D5D062A" w14:textId="77777777" w:rsidR="003E0F58" w:rsidRPr="00733FC4"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0</w:t>
            </w:r>
          </w:p>
        </w:tc>
        <w:tc>
          <w:tcPr>
            <w:tcW w:w="1422" w:type="dxa"/>
            <w:tcBorders>
              <w:left w:val="nil"/>
              <w:bottom w:val="nil"/>
              <w:right w:val="nil"/>
            </w:tcBorders>
            <w:shd w:val="clear" w:color="auto" w:fill="auto"/>
            <w:vAlign w:val="center"/>
          </w:tcPr>
          <w:p w14:paraId="34C24982" w14:textId="77777777" w:rsidR="003E0F58" w:rsidRPr="00733FC4"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20</w:t>
            </w:r>
          </w:p>
        </w:tc>
      </w:tr>
      <w:tr w:rsidR="003E0F58" w:rsidRPr="00733FC4" w14:paraId="4E9C3906" w14:textId="77777777" w:rsidTr="004D2249">
        <w:trPr>
          <w:trHeight w:val="283"/>
        </w:trPr>
        <w:tc>
          <w:tcPr>
            <w:tcW w:w="2266" w:type="dxa"/>
            <w:tcBorders>
              <w:left w:val="nil"/>
              <w:bottom w:val="nil"/>
              <w:right w:val="nil"/>
            </w:tcBorders>
            <w:shd w:val="clear" w:color="auto" w:fill="D3DFEE"/>
          </w:tcPr>
          <w:p w14:paraId="13334E80" w14:textId="77777777" w:rsidR="003E0F58" w:rsidRPr="00733FC4" w:rsidRDefault="003E0F58" w:rsidP="004D2249">
            <w:pPr>
              <w:spacing w:before="100" w:beforeAutospacing="1" w:after="100" w:afterAutospacing="1"/>
              <w:ind w:firstLine="37"/>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Částka za schválené projekty (Kč)</w:t>
            </w:r>
          </w:p>
        </w:tc>
        <w:tc>
          <w:tcPr>
            <w:tcW w:w="1243" w:type="dxa"/>
            <w:tcBorders>
              <w:left w:val="nil"/>
              <w:right w:val="nil"/>
            </w:tcBorders>
            <w:shd w:val="clear" w:color="auto" w:fill="D3DFEE"/>
            <w:vAlign w:val="center"/>
          </w:tcPr>
          <w:p w14:paraId="32574923" w14:textId="77777777" w:rsidR="003E0F58" w:rsidRPr="00733FC4"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0</w:t>
            </w:r>
          </w:p>
        </w:tc>
        <w:tc>
          <w:tcPr>
            <w:tcW w:w="1311" w:type="dxa"/>
            <w:tcBorders>
              <w:left w:val="nil"/>
              <w:bottom w:val="nil"/>
              <w:right w:val="nil"/>
            </w:tcBorders>
            <w:shd w:val="clear" w:color="auto" w:fill="D3DFEE"/>
            <w:vAlign w:val="center"/>
          </w:tcPr>
          <w:p w14:paraId="599D85E0" w14:textId="77777777" w:rsidR="003E0F58" w:rsidRPr="00733FC4"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0</w:t>
            </w:r>
          </w:p>
        </w:tc>
        <w:tc>
          <w:tcPr>
            <w:tcW w:w="1701" w:type="dxa"/>
            <w:tcBorders>
              <w:left w:val="nil"/>
              <w:right w:val="nil"/>
            </w:tcBorders>
            <w:shd w:val="clear" w:color="auto" w:fill="D3DFEE"/>
            <w:vAlign w:val="center"/>
          </w:tcPr>
          <w:p w14:paraId="0B25CB21" w14:textId="77777777" w:rsidR="003E0F58" w:rsidRPr="00733FC4"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36 737 316</w:t>
            </w:r>
          </w:p>
        </w:tc>
        <w:tc>
          <w:tcPr>
            <w:tcW w:w="1134" w:type="dxa"/>
            <w:tcBorders>
              <w:left w:val="nil"/>
              <w:right w:val="nil"/>
            </w:tcBorders>
            <w:shd w:val="clear" w:color="auto" w:fill="D3DFEE"/>
            <w:vAlign w:val="center"/>
          </w:tcPr>
          <w:p w14:paraId="43EE61EB" w14:textId="77777777" w:rsidR="003E0F58" w:rsidRPr="00733FC4"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0</w:t>
            </w:r>
          </w:p>
        </w:tc>
        <w:tc>
          <w:tcPr>
            <w:tcW w:w="1422" w:type="dxa"/>
            <w:tcBorders>
              <w:left w:val="nil"/>
              <w:bottom w:val="nil"/>
              <w:right w:val="nil"/>
            </w:tcBorders>
            <w:shd w:val="clear" w:color="auto" w:fill="D3DFEE"/>
            <w:vAlign w:val="center"/>
          </w:tcPr>
          <w:p w14:paraId="2B2F3F4D" w14:textId="77777777" w:rsidR="003E0F58" w:rsidRPr="00733FC4"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36737316</w:t>
            </w:r>
          </w:p>
        </w:tc>
      </w:tr>
      <w:tr w:rsidR="003E0F58" w:rsidRPr="00733FC4" w14:paraId="4B57E29E" w14:textId="77777777" w:rsidTr="004D2249">
        <w:trPr>
          <w:trHeight w:val="283"/>
        </w:trPr>
        <w:tc>
          <w:tcPr>
            <w:tcW w:w="2266" w:type="dxa"/>
            <w:tcBorders>
              <w:left w:val="nil"/>
              <w:bottom w:val="nil"/>
              <w:right w:val="nil"/>
            </w:tcBorders>
            <w:shd w:val="clear" w:color="auto" w:fill="auto"/>
          </w:tcPr>
          <w:p w14:paraId="5A448307" w14:textId="77777777" w:rsidR="003E0F58" w:rsidRPr="00733FC4" w:rsidRDefault="003E0F58" w:rsidP="004D2249">
            <w:pPr>
              <w:spacing w:before="100" w:beforeAutospacing="1" w:after="100" w:afterAutospacing="1"/>
              <w:ind w:firstLine="37"/>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Podané žádosti o proplacení (ks)</w:t>
            </w:r>
          </w:p>
        </w:tc>
        <w:tc>
          <w:tcPr>
            <w:tcW w:w="1243" w:type="dxa"/>
            <w:shd w:val="clear" w:color="auto" w:fill="auto"/>
            <w:vAlign w:val="center"/>
          </w:tcPr>
          <w:p w14:paraId="11639A4F" w14:textId="77777777" w:rsidR="003E0F58" w:rsidRPr="00733FC4"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0</w:t>
            </w:r>
          </w:p>
        </w:tc>
        <w:tc>
          <w:tcPr>
            <w:tcW w:w="1311" w:type="dxa"/>
            <w:tcBorders>
              <w:left w:val="nil"/>
              <w:bottom w:val="nil"/>
              <w:right w:val="nil"/>
            </w:tcBorders>
            <w:shd w:val="clear" w:color="auto" w:fill="auto"/>
            <w:vAlign w:val="center"/>
          </w:tcPr>
          <w:p w14:paraId="3523785B" w14:textId="77777777" w:rsidR="003E0F58" w:rsidRPr="00733FC4"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0</w:t>
            </w:r>
          </w:p>
        </w:tc>
        <w:tc>
          <w:tcPr>
            <w:tcW w:w="1701" w:type="dxa"/>
            <w:shd w:val="clear" w:color="auto" w:fill="auto"/>
            <w:vAlign w:val="center"/>
          </w:tcPr>
          <w:p w14:paraId="2CCD029E" w14:textId="77777777" w:rsidR="003E0F58" w:rsidRPr="00733FC4"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6</w:t>
            </w:r>
          </w:p>
        </w:tc>
        <w:tc>
          <w:tcPr>
            <w:tcW w:w="1134" w:type="dxa"/>
            <w:vAlign w:val="center"/>
          </w:tcPr>
          <w:p w14:paraId="4FEA2CC8" w14:textId="77777777" w:rsidR="003E0F58" w:rsidRPr="00733FC4"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0</w:t>
            </w:r>
          </w:p>
        </w:tc>
        <w:tc>
          <w:tcPr>
            <w:tcW w:w="1422" w:type="dxa"/>
            <w:tcBorders>
              <w:left w:val="nil"/>
              <w:bottom w:val="nil"/>
              <w:right w:val="nil"/>
            </w:tcBorders>
            <w:shd w:val="clear" w:color="auto" w:fill="auto"/>
            <w:vAlign w:val="center"/>
          </w:tcPr>
          <w:p w14:paraId="65C4D623" w14:textId="77777777" w:rsidR="003E0F58" w:rsidRPr="00733FC4"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6</w:t>
            </w:r>
          </w:p>
        </w:tc>
      </w:tr>
      <w:tr w:rsidR="003E0F58" w:rsidRPr="00733FC4" w14:paraId="5EEF95D2" w14:textId="77777777" w:rsidTr="004D2249">
        <w:trPr>
          <w:trHeight w:val="283"/>
        </w:trPr>
        <w:tc>
          <w:tcPr>
            <w:tcW w:w="2266" w:type="dxa"/>
            <w:tcBorders>
              <w:left w:val="nil"/>
              <w:bottom w:val="nil"/>
              <w:right w:val="nil"/>
            </w:tcBorders>
            <w:shd w:val="clear" w:color="auto" w:fill="D3DFEE"/>
          </w:tcPr>
          <w:p w14:paraId="059DA271" w14:textId="77777777" w:rsidR="003E0F58" w:rsidRPr="00733FC4" w:rsidRDefault="003E0F58" w:rsidP="004D2249">
            <w:pPr>
              <w:spacing w:before="100" w:beforeAutospacing="1" w:after="100" w:afterAutospacing="1"/>
              <w:ind w:firstLine="37"/>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Částka za podané žádosti o propl. (Kč)</w:t>
            </w:r>
          </w:p>
        </w:tc>
        <w:tc>
          <w:tcPr>
            <w:tcW w:w="1243" w:type="dxa"/>
            <w:tcBorders>
              <w:left w:val="nil"/>
              <w:right w:val="nil"/>
            </w:tcBorders>
            <w:shd w:val="clear" w:color="auto" w:fill="D3DFEE"/>
            <w:vAlign w:val="center"/>
          </w:tcPr>
          <w:p w14:paraId="0B6D70C4" w14:textId="77777777" w:rsidR="003E0F58" w:rsidRPr="00733FC4"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0</w:t>
            </w:r>
          </w:p>
        </w:tc>
        <w:tc>
          <w:tcPr>
            <w:tcW w:w="1311" w:type="dxa"/>
            <w:tcBorders>
              <w:left w:val="nil"/>
              <w:bottom w:val="nil"/>
              <w:right w:val="nil"/>
            </w:tcBorders>
            <w:shd w:val="clear" w:color="auto" w:fill="D3DFEE"/>
            <w:vAlign w:val="center"/>
          </w:tcPr>
          <w:p w14:paraId="008BCD06" w14:textId="77777777" w:rsidR="003E0F58" w:rsidRPr="00733FC4"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0</w:t>
            </w:r>
          </w:p>
        </w:tc>
        <w:tc>
          <w:tcPr>
            <w:tcW w:w="1701" w:type="dxa"/>
            <w:tcBorders>
              <w:left w:val="nil"/>
              <w:right w:val="nil"/>
            </w:tcBorders>
            <w:shd w:val="clear" w:color="auto" w:fill="D3DFEE"/>
            <w:vAlign w:val="center"/>
          </w:tcPr>
          <w:p w14:paraId="0E450D0A" w14:textId="77777777" w:rsidR="003E0F58" w:rsidRPr="00733FC4"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9 781 733</w:t>
            </w:r>
          </w:p>
        </w:tc>
        <w:tc>
          <w:tcPr>
            <w:tcW w:w="1134" w:type="dxa"/>
            <w:tcBorders>
              <w:left w:val="nil"/>
              <w:right w:val="nil"/>
            </w:tcBorders>
            <w:shd w:val="clear" w:color="auto" w:fill="D3DFEE"/>
            <w:vAlign w:val="center"/>
          </w:tcPr>
          <w:p w14:paraId="0A11F268" w14:textId="77777777" w:rsidR="003E0F58" w:rsidRPr="00733FC4"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0</w:t>
            </w:r>
          </w:p>
        </w:tc>
        <w:tc>
          <w:tcPr>
            <w:tcW w:w="1422" w:type="dxa"/>
            <w:tcBorders>
              <w:left w:val="nil"/>
              <w:bottom w:val="nil"/>
              <w:right w:val="nil"/>
            </w:tcBorders>
            <w:shd w:val="clear" w:color="auto" w:fill="D3DFEE"/>
            <w:vAlign w:val="center"/>
          </w:tcPr>
          <w:p w14:paraId="6D8D407B" w14:textId="77777777" w:rsidR="003E0F58" w:rsidRPr="00733FC4"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9781733</w:t>
            </w:r>
          </w:p>
        </w:tc>
      </w:tr>
      <w:tr w:rsidR="003E0F58" w:rsidRPr="00733FC4" w14:paraId="4BB5407B" w14:textId="77777777" w:rsidTr="004D2249">
        <w:trPr>
          <w:trHeight w:val="283"/>
        </w:trPr>
        <w:tc>
          <w:tcPr>
            <w:tcW w:w="2266" w:type="dxa"/>
            <w:tcBorders>
              <w:left w:val="nil"/>
              <w:bottom w:val="nil"/>
              <w:right w:val="nil"/>
            </w:tcBorders>
            <w:shd w:val="clear" w:color="auto" w:fill="auto"/>
          </w:tcPr>
          <w:p w14:paraId="28538783" w14:textId="77777777" w:rsidR="003E0F58" w:rsidRPr="00733FC4" w:rsidRDefault="003E0F58" w:rsidP="004D2249">
            <w:pPr>
              <w:spacing w:before="100" w:beforeAutospacing="1" w:after="100" w:afterAutospacing="1"/>
              <w:ind w:firstLine="37"/>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Proplacené projekty (ks)</w:t>
            </w:r>
          </w:p>
        </w:tc>
        <w:tc>
          <w:tcPr>
            <w:tcW w:w="1243" w:type="dxa"/>
            <w:shd w:val="clear" w:color="auto" w:fill="auto"/>
            <w:vAlign w:val="center"/>
          </w:tcPr>
          <w:p w14:paraId="2782677C" w14:textId="77777777" w:rsidR="003E0F58" w:rsidRPr="00733FC4"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0</w:t>
            </w:r>
          </w:p>
        </w:tc>
        <w:tc>
          <w:tcPr>
            <w:tcW w:w="1311" w:type="dxa"/>
            <w:tcBorders>
              <w:left w:val="nil"/>
              <w:bottom w:val="nil"/>
              <w:right w:val="nil"/>
            </w:tcBorders>
            <w:shd w:val="clear" w:color="auto" w:fill="auto"/>
            <w:vAlign w:val="center"/>
          </w:tcPr>
          <w:p w14:paraId="50C8D10B" w14:textId="77777777" w:rsidR="003E0F58" w:rsidRPr="00733FC4"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0</w:t>
            </w:r>
          </w:p>
        </w:tc>
        <w:tc>
          <w:tcPr>
            <w:tcW w:w="1701" w:type="dxa"/>
            <w:shd w:val="clear" w:color="auto" w:fill="auto"/>
            <w:vAlign w:val="center"/>
          </w:tcPr>
          <w:p w14:paraId="43087A66" w14:textId="77777777" w:rsidR="003E0F58" w:rsidRPr="00733FC4"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3</w:t>
            </w:r>
          </w:p>
        </w:tc>
        <w:tc>
          <w:tcPr>
            <w:tcW w:w="1134" w:type="dxa"/>
            <w:vAlign w:val="center"/>
          </w:tcPr>
          <w:p w14:paraId="374C6802" w14:textId="77777777" w:rsidR="003E0F58" w:rsidRPr="00733FC4"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0</w:t>
            </w:r>
          </w:p>
        </w:tc>
        <w:tc>
          <w:tcPr>
            <w:tcW w:w="1422" w:type="dxa"/>
            <w:tcBorders>
              <w:left w:val="nil"/>
              <w:bottom w:val="nil"/>
              <w:right w:val="nil"/>
            </w:tcBorders>
            <w:shd w:val="clear" w:color="auto" w:fill="auto"/>
            <w:vAlign w:val="center"/>
          </w:tcPr>
          <w:p w14:paraId="093EDD1C" w14:textId="77777777" w:rsidR="003E0F58" w:rsidRPr="00733FC4"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3</w:t>
            </w:r>
          </w:p>
        </w:tc>
      </w:tr>
      <w:tr w:rsidR="003E0F58" w:rsidRPr="00733FC4" w14:paraId="2AC4FEB9" w14:textId="77777777" w:rsidTr="004D2249">
        <w:trPr>
          <w:trHeight w:val="283"/>
        </w:trPr>
        <w:tc>
          <w:tcPr>
            <w:tcW w:w="2266" w:type="dxa"/>
            <w:tcBorders>
              <w:left w:val="nil"/>
              <w:right w:val="nil"/>
            </w:tcBorders>
            <w:shd w:val="clear" w:color="auto" w:fill="D3DFEE"/>
          </w:tcPr>
          <w:p w14:paraId="03778933" w14:textId="77777777" w:rsidR="003E0F58" w:rsidRPr="00733FC4" w:rsidRDefault="003E0F58" w:rsidP="004D2249">
            <w:pPr>
              <w:spacing w:before="100" w:beforeAutospacing="1" w:after="100" w:afterAutospacing="1"/>
              <w:ind w:firstLine="37"/>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Proplaceno (Kč)</w:t>
            </w:r>
          </w:p>
        </w:tc>
        <w:tc>
          <w:tcPr>
            <w:tcW w:w="1243" w:type="dxa"/>
            <w:tcBorders>
              <w:left w:val="nil"/>
              <w:right w:val="nil"/>
            </w:tcBorders>
            <w:shd w:val="clear" w:color="auto" w:fill="D3DFEE"/>
            <w:vAlign w:val="center"/>
          </w:tcPr>
          <w:p w14:paraId="1BD72D31" w14:textId="77777777" w:rsidR="003E0F58" w:rsidRPr="00733FC4"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0</w:t>
            </w:r>
          </w:p>
        </w:tc>
        <w:tc>
          <w:tcPr>
            <w:tcW w:w="1311" w:type="dxa"/>
            <w:tcBorders>
              <w:left w:val="nil"/>
              <w:right w:val="nil"/>
            </w:tcBorders>
            <w:shd w:val="clear" w:color="auto" w:fill="D3DFEE"/>
            <w:vAlign w:val="center"/>
          </w:tcPr>
          <w:p w14:paraId="28ED651A" w14:textId="77777777" w:rsidR="003E0F58" w:rsidRPr="00733FC4"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0</w:t>
            </w:r>
          </w:p>
        </w:tc>
        <w:tc>
          <w:tcPr>
            <w:tcW w:w="1701" w:type="dxa"/>
            <w:tcBorders>
              <w:left w:val="nil"/>
              <w:right w:val="nil"/>
            </w:tcBorders>
            <w:shd w:val="clear" w:color="auto" w:fill="D3DFEE"/>
            <w:vAlign w:val="center"/>
          </w:tcPr>
          <w:p w14:paraId="364C680B" w14:textId="77777777" w:rsidR="003E0F58" w:rsidRPr="00733FC4"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4 656 002</w:t>
            </w:r>
          </w:p>
        </w:tc>
        <w:tc>
          <w:tcPr>
            <w:tcW w:w="1134" w:type="dxa"/>
            <w:tcBorders>
              <w:left w:val="nil"/>
              <w:right w:val="nil"/>
            </w:tcBorders>
            <w:shd w:val="clear" w:color="auto" w:fill="D3DFEE"/>
            <w:vAlign w:val="center"/>
          </w:tcPr>
          <w:p w14:paraId="2C40406B" w14:textId="77777777" w:rsidR="003E0F58" w:rsidRPr="00733FC4"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0</w:t>
            </w:r>
          </w:p>
        </w:tc>
        <w:tc>
          <w:tcPr>
            <w:tcW w:w="1422" w:type="dxa"/>
            <w:tcBorders>
              <w:left w:val="nil"/>
              <w:right w:val="nil"/>
            </w:tcBorders>
            <w:shd w:val="clear" w:color="auto" w:fill="D3DFEE"/>
            <w:vAlign w:val="center"/>
          </w:tcPr>
          <w:p w14:paraId="37F41B38" w14:textId="77777777" w:rsidR="003E0F58" w:rsidRPr="00733FC4" w:rsidRDefault="003E0F58" w:rsidP="004D2249">
            <w:pPr>
              <w:spacing w:before="100" w:beforeAutospacing="1" w:after="100" w:afterAutospacing="1"/>
              <w:ind w:firstLine="40"/>
              <w:jc w:val="center"/>
              <w:rPr>
                <w:rFonts w:eastAsiaTheme="minorEastAsia" w:cs="Times New Roman"/>
                <w:color w:val="365F91"/>
                <w:sz w:val="20"/>
                <w:szCs w:val="20"/>
                <w:lang w:val="cs-CZ"/>
              </w:rPr>
            </w:pPr>
            <w:r w:rsidRPr="00733FC4">
              <w:rPr>
                <w:rFonts w:eastAsiaTheme="minorEastAsia" w:cs="Times New Roman"/>
                <w:color w:val="365F91"/>
                <w:sz w:val="20"/>
                <w:szCs w:val="20"/>
                <w:lang w:val="cs-CZ"/>
              </w:rPr>
              <w:t>4656002</w:t>
            </w:r>
          </w:p>
        </w:tc>
      </w:tr>
    </w:tbl>
    <w:p w14:paraId="626CCEB4" w14:textId="4CB61B83" w:rsidR="003E0F58" w:rsidRPr="007C705C" w:rsidRDefault="003E0F58" w:rsidP="00733FC4">
      <w:pPr>
        <w:pStyle w:val="UZEIZdroj"/>
      </w:pPr>
      <w:r w:rsidRPr="007C705C">
        <w:t>Stav k 29.</w:t>
      </w:r>
      <w:r w:rsidR="00601C1D">
        <w:t xml:space="preserve"> </w:t>
      </w:r>
      <w:r w:rsidRPr="007C705C">
        <w:t>6.</w:t>
      </w:r>
      <w:r w:rsidR="00601C1D">
        <w:t xml:space="preserve"> </w:t>
      </w:r>
      <w:r w:rsidRPr="007C705C">
        <w:t>2018</w:t>
      </w:r>
    </w:p>
    <w:p w14:paraId="3387BE63" w14:textId="6B97F3AF" w:rsidR="003E0F58" w:rsidRPr="007C705C" w:rsidRDefault="003E0F58" w:rsidP="00733FC4">
      <w:pPr>
        <w:pStyle w:val="UZEIZdroj"/>
      </w:pPr>
      <w:r w:rsidRPr="007C705C">
        <w:t>Zdroj: MZe (odbor Řídící orgán PRV)</w:t>
      </w:r>
    </w:p>
    <w:p w14:paraId="799F9CDA" w14:textId="5B471A93" w:rsidR="003E0F58" w:rsidRPr="007C705C" w:rsidRDefault="003E0F58" w:rsidP="00733FC4">
      <w:pPr>
        <w:pStyle w:val="UZEINormaln"/>
        <w:rPr>
          <w:rFonts w:eastAsiaTheme="minorEastAsia"/>
        </w:rPr>
      </w:pPr>
      <w:r w:rsidRPr="007C705C">
        <w:rPr>
          <w:rFonts w:eastAsiaTheme="minorEastAsia"/>
        </w:rPr>
        <w:t>Problém současná SZP spíše řeší neúspěšně. Zdůvodnění se opírá o (Průběžnou hodnotící zprávu Naviga4, z 30.</w:t>
      </w:r>
      <w:r w:rsidR="00601C1D">
        <w:rPr>
          <w:rFonts w:eastAsiaTheme="minorEastAsia"/>
        </w:rPr>
        <w:t xml:space="preserve"> </w:t>
      </w:r>
      <w:r w:rsidRPr="007C705C">
        <w:rPr>
          <w:rFonts w:eastAsiaTheme="minorEastAsia"/>
        </w:rPr>
        <w:t>6.</w:t>
      </w:r>
      <w:r w:rsidR="00601C1D">
        <w:rPr>
          <w:rFonts w:eastAsiaTheme="minorEastAsia"/>
        </w:rPr>
        <w:t xml:space="preserve"> </w:t>
      </w:r>
      <w:r w:rsidRPr="007C705C">
        <w:rPr>
          <w:rFonts w:eastAsiaTheme="minorEastAsia"/>
        </w:rPr>
        <w:t>2018):</w:t>
      </w:r>
    </w:p>
    <w:p w14:paraId="7B515393" w14:textId="77777777" w:rsidR="003E0F58" w:rsidRPr="007C705C" w:rsidRDefault="003E0F58" w:rsidP="00733FC4">
      <w:pPr>
        <w:pStyle w:val="UZEINormaln"/>
        <w:rPr>
          <w:rFonts w:eastAsiaTheme="minorEastAsia"/>
        </w:rPr>
      </w:pPr>
      <w:r w:rsidRPr="007C705C">
        <w:rPr>
          <w:rFonts w:eastAsiaTheme="minorEastAsia"/>
        </w:rPr>
        <w:t>V tuto chvíli lze hodnotit příspěvek PRV k usnadnění dodávek a využívání energie z obnovitelných zdrojů, vedlejších produktů, odpadů a reziduí pouze v omezené míře.</w:t>
      </w:r>
    </w:p>
    <w:p w14:paraId="7A001C52" w14:textId="77777777" w:rsidR="003E0F58" w:rsidRPr="007C705C" w:rsidRDefault="003E0F58" w:rsidP="00733FC4">
      <w:pPr>
        <w:pStyle w:val="UZEINormaln"/>
        <w:rPr>
          <w:rFonts w:eastAsiaTheme="minorEastAsia"/>
        </w:rPr>
      </w:pPr>
      <w:r w:rsidRPr="007C705C">
        <w:rPr>
          <w:rFonts w:eastAsiaTheme="minorEastAsia"/>
        </w:rPr>
        <w:t xml:space="preserve">Vzhledem k průběhu implementace a současných legislativních podmínek, které snižují absorpční kapacitu pro využití podpory v záměru b) operace 6.4.3 k nule, měl hodnotitel vážné obavy o naplnění cílové hodnoty pro veřejné výdaje na operaci 6.4.3. PRV dosud nepřispěl k udržitelnému zajišťování biomasy pro výrobu energie formou nových spoluprací. I přes dvě kola výzvy (3. a 5.), kdy bylo možno žádat. Jako vhodné řešení tak hodnotitel vnímal návrh řídícího orgánu o zrušení záměru b) operace 6.4.3 a o přesun záměru a) do operace 6.4.1 včetně finančních prostředků. </w:t>
      </w:r>
    </w:p>
    <w:p w14:paraId="714B619C" w14:textId="77777777" w:rsidR="003E0F58" w:rsidRPr="007C705C" w:rsidRDefault="003E0F58" w:rsidP="00733FC4">
      <w:pPr>
        <w:pStyle w:val="UZEINormaln"/>
        <w:rPr>
          <w:rFonts w:eastAsiaTheme="minorEastAsia"/>
        </w:rPr>
      </w:pPr>
      <w:r w:rsidRPr="007C705C">
        <w:rPr>
          <w:rFonts w:eastAsiaTheme="minorEastAsia"/>
        </w:rPr>
        <w:t>Nárůst zemědělské diverzifikace jako důsledek intervencí operací PRV v oblasti využívání OZE (agrárních produktů) k energetickým účelům je v současné době nízký a zaostává za očekáváním. Příspěvek v produkci energie z bioplynových stanic je nulový.</w:t>
      </w:r>
    </w:p>
    <w:p w14:paraId="53E514FD" w14:textId="3FD25CE8" w:rsidR="003E0F58" w:rsidRPr="00B029F9" w:rsidRDefault="003E0F58" w:rsidP="00B029F9">
      <w:pPr>
        <w:pStyle w:val="UZEINormaln"/>
        <w:rPr>
          <w:rFonts w:eastAsiaTheme="minorEastAsia"/>
        </w:rPr>
      </w:pPr>
      <w:r w:rsidRPr="007C705C">
        <w:rPr>
          <w:rFonts w:eastAsiaTheme="minorEastAsia"/>
        </w:rPr>
        <w:t xml:space="preserve">Kontextový indikátor Výroba obnovitelné energie v zemědělství dosáhl v roce 2015 hodnoty 976 kToe (MPO) a ve stejném roce indikátor Výroba obnovitelné energie v lesnictví 2 821 kToe (MPO). Zatímco indikátor Výroba obnovitelné energie v zemědělství vykazuje v letech 2013 – 2015 mírně klesající tendenci, adekvátní indikátor v lesnictví vykazuje jen mírný růst (viz. </w:t>
      </w:r>
      <w:r w:rsidR="00B029F9">
        <w:rPr>
          <w:rFonts w:eastAsiaTheme="minorEastAsia"/>
        </w:rPr>
        <w:fldChar w:fldCharType="begin"/>
      </w:r>
      <w:r w:rsidR="00B029F9">
        <w:rPr>
          <w:rFonts w:eastAsiaTheme="minorEastAsia"/>
        </w:rPr>
        <w:instrText xml:space="preserve"> REF _Ref7418457 \r \h </w:instrText>
      </w:r>
      <w:r w:rsidR="00B029F9">
        <w:rPr>
          <w:rFonts w:eastAsiaTheme="minorEastAsia"/>
        </w:rPr>
      </w:r>
      <w:r w:rsidR="00B029F9">
        <w:rPr>
          <w:rFonts w:eastAsiaTheme="minorEastAsia"/>
        </w:rPr>
        <w:fldChar w:fldCharType="separate"/>
      </w:r>
      <w:r w:rsidR="00127D64">
        <w:rPr>
          <w:rFonts w:eastAsiaTheme="minorEastAsia"/>
        </w:rPr>
        <w:t>Tabulka 38</w:t>
      </w:r>
      <w:r w:rsidR="00B029F9">
        <w:rPr>
          <w:rFonts w:eastAsiaTheme="minorEastAsia"/>
        </w:rPr>
        <w:fldChar w:fldCharType="end"/>
      </w:r>
      <w:r w:rsidRPr="007C705C">
        <w:rPr>
          <w:rFonts w:eastAsiaTheme="minorEastAsia"/>
        </w:rPr>
        <w:t>).</w:t>
      </w:r>
    </w:p>
    <w:p w14:paraId="70D99AA9" w14:textId="5B407FD3" w:rsidR="003E0F58" w:rsidRPr="00B029F9" w:rsidRDefault="003E0F58" w:rsidP="00B029F9">
      <w:pPr>
        <w:pStyle w:val="Seznamsodrkami"/>
        <w:numPr>
          <w:ilvl w:val="0"/>
          <w:numId w:val="0"/>
        </w:numPr>
        <w:ind w:left="360"/>
        <w:rPr>
          <w:b/>
        </w:rPr>
      </w:pPr>
      <w:r w:rsidRPr="007C705C">
        <w:rPr>
          <w:b/>
        </w:rPr>
        <w:t>LESY:</w:t>
      </w:r>
    </w:p>
    <w:p w14:paraId="670F3410" w14:textId="77777777" w:rsidR="003E0F58" w:rsidRPr="007C705C" w:rsidRDefault="003E0F58" w:rsidP="008A1AE3">
      <w:pPr>
        <w:pStyle w:val="Odstavecseseznamem"/>
        <w:numPr>
          <w:ilvl w:val="0"/>
          <w:numId w:val="37"/>
        </w:numPr>
        <w:spacing w:before="60" w:line="360" w:lineRule="atLeast"/>
        <w:rPr>
          <w:rFonts w:eastAsiaTheme="minorEastAsia"/>
          <w:b/>
          <w:bCs/>
        </w:rPr>
      </w:pPr>
      <w:r w:rsidRPr="007C705C">
        <w:rPr>
          <w:rFonts w:eastAsiaTheme="minorEastAsia"/>
          <w:b/>
          <w:bCs/>
        </w:rPr>
        <w:t>Zdravotní stav lesů</w:t>
      </w:r>
    </w:p>
    <w:p w14:paraId="25013C76" w14:textId="17530BAC" w:rsidR="003E0F58" w:rsidRPr="00B029F9" w:rsidRDefault="003E0F58" w:rsidP="00B029F9">
      <w:pPr>
        <w:pStyle w:val="UZEINormaln"/>
        <w:rPr>
          <w:rFonts w:eastAsia="Calibri"/>
        </w:rPr>
      </w:pPr>
      <w:r w:rsidRPr="007C705C">
        <w:rPr>
          <w:rFonts w:eastAsia="Calibri"/>
        </w:rPr>
        <w:t xml:space="preserve">Operace 8.4.1 Obnova lesních porostů po kalamitách má podpořit snížení negativních dopadů škod způsobených přírodními katastrofami a katastrofickými událostmi. Jedná se o obnovu lesních porostů po abiotických, především po větrných, kalamitách. V průběhu programového období začala být podporována obnova smrkových a borových porostů poškozených suchem. U této operace je podporováno odstraňování poškozených lesních porostů určených k </w:t>
      </w:r>
      <w:r w:rsidRPr="007C705C">
        <w:rPr>
          <w:rFonts w:eastAsia="Calibri"/>
        </w:rPr>
        <w:lastRenderedPageBreak/>
        <w:t>rekonstrukci do 40 let věku, příprava ploch před obnovou a umělá obnova na plochách po kalamitních těžbách včetně ochrany založených porostů. Operace je zacílena na lesní pozemky na území celé České republiky mimo Prahu.</w:t>
      </w:r>
    </w:p>
    <w:p w14:paraId="3B793A08" w14:textId="62BC24D9" w:rsidR="003E0F58" w:rsidRPr="007C705C" w:rsidRDefault="003E0F58" w:rsidP="00B029F9">
      <w:pPr>
        <w:pStyle w:val="UZEITaB"/>
        <w:rPr>
          <w:rFonts w:eastAsia="Calibri"/>
        </w:rPr>
      </w:pPr>
      <w:bookmarkStart w:id="448" w:name="_Toc15309860"/>
      <w:bookmarkStart w:id="449" w:name="_Toc77245863"/>
      <w:bookmarkStart w:id="450" w:name="_Toc94181630"/>
      <w:r w:rsidRPr="007C705C">
        <w:rPr>
          <w:rFonts w:eastAsia="Calibri"/>
        </w:rPr>
        <w:t>Celkový stav implementace operace 8.4.1– alokace 10 368 000 EUR (269 568 000 Kč)</w:t>
      </w:r>
      <w:bookmarkEnd w:id="448"/>
      <w:bookmarkEnd w:id="449"/>
      <w:bookmarkEnd w:id="450"/>
    </w:p>
    <w:tbl>
      <w:tblPr>
        <w:tblpPr w:leftFromText="141" w:rightFromText="141" w:vertAnchor="text" w:horzAnchor="margin" w:tblpY="140"/>
        <w:tblW w:w="10212" w:type="dxa"/>
        <w:tblCellMar>
          <w:left w:w="70" w:type="dxa"/>
          <w:right w:w="70" w:type="dxa"/>
        </w:tblCellMar>
        <w:tblLook w:val="04A0" w:firstRow="1" w:lastRow="0" w:firstColumn="1" w:lastColumn="0" w:noHBand="0" w:noVBand="1"/>
      </w:tblPr>
      <w:tblGrid>
        <w:gridCol w:w="3356"/>
        <w:gridCol w:w="1465"/>
        <w:gridCol w:w="1428"/>
        <w:gridCol w:w="1286"/>
        <w:gridCol w:w="1286"/>
        <w:gridCol w:w="1391"/>
      </w:tblGrid>
      <w:tr w:rsidR="00B029F9" w:rsidRPr="007C705C" w14:paraId="0EE1A9F2" w14:textId="77777777" w:rsidTr="00B029F9">
        <w:trPr>
          <w:trHeight w:val="227"/>
        </w:trPr>
        <w:tc>
          <w:tcPr>
            <w:tcW w:w="3356" w:type="dxa"/>
            <w:tcBorders>
              <w:top w:val="single" w:sz="8" w:space="0" w:color="auto"/>
              <w:left w:val="single" w:sz="8" w:space="0" w:color="auto"/>
              <w:bottom w:val="single" w:sz="4" w:space="0" w:color="auto"/>
              <w:right w:val="single" w:sz="4" w:space="0" w:color="auto"/>
            </w:tcBorders>
            <w:shd w:val="clear" w:color="auto" w:fill="auto"/>
            <w:vAlign w:val="bottom"/>
            <w:hideMark/>
          </w:tcPr>
          <w:p w14:paraId="7453F791" w14:textId="77777777" w:rsidR="00B029F9" w:rsidRPr="007C705C" w:rsidRDefault="00B029F9" w:rsidP="00B029F9">
            <w:pPr>
              <w:rPr>
                <w:rFonts w:cs="Times New Roman"/>
                <w:bCs/>
                <w:color w:val="000000"/>
                <w:sz w:val="20"/>
                <w:szCs w:val="20"/>
                <w:lang w:val="cs-CZ"/>
              </w:rPr>
            </w:pPr>
            <w:r w:rsidRPr="007C705C">
              <w:rPr>
                <w:rFonts w:cs="Times New Roman"/>
                <w:color w:val="000000"/>
                <w:sz w:val="20"/>
                <w:szCs w:val="20"/>
                <w:lang w:val="cs-CZ"/>
              </w:rPr>
              <w:t>Operace 8.4.1</w:t>
            </w:r>
          </w:p>
        </w:tc>
        <w:tc>
          <w:tcPr>
            <w:tcW w:w="1465" w:type="dxa"/>
            <w:tcBorders>
              <w:top w:val="single" w:sz="8" w:space="0" w:color="auto"/>
              <w:left w:val="nil"/>
              <w:bottom w:val="single" w:sz="4" w:space="0" w:color="auto"/>
              <w:right w:val="single" w:sz="4" w:space="0" w:color="auto"/>
            </w:tcBorders>
            <w:shd w:val="clear" w:color="auto" w:fill="auto"/>
            <w:noWrap/>
            <w:vAlign w:val="center"/>
            <w:hideMark/>
          </w:tcPr>
          <w:p w14:paraId="544D6F82" w14:textId="77777777" w:rsidR="00B029F9" w:rsidRPr="007C705C" w:rsidRDefault="00B029F9" w:rsidP="00B029F9">
            <w:pPr>
              <w:jc w:val="center"/>
              <w:rPr>
                <w:rFonts w:cs="Times New Roman"/>
                <w:bCs/>
                <w:color w:val="000000"/>
                <w:sz w:val="20"/>
                <w:szCs w:val="20"/>
                <w:lang w:val="cs-CZ"/>
              </w:rPr>
            </w:pPr>
            <w:r w:rsidRPr="007C705C">
              <w:rPr>
                <w:rFonts w:cs="Times New Roman"/>
                <w:bCs/>
                <w:color w:val="000000"/>
                <w:sz w:val="20"/>
                <w:szCs w:val="20"/>
                <w:lang w:val="cs-CZ"/>
              </w:rPr>
              <w:t>2. kolo – V. 2016</w:t>
            </w:r>
          </w:p>
        </w:tc>
        <w:tc>
          <w:tcPr>
            <w:tcW w:w="1428" w:type="dxa"/>
            <w:tcBorders>
              <w:top w:val="single" w:sz="8" w:space="0" w:color="auto"/>
              <w:left w:val="nil"/>
              <w:bottom w:val="single" w:sz="4" w:space="0" w:color="auto"/>
              <w:right w:val="single" w:sz="4" w:space="0" w:color="auto"/>
            </w:tcBorders>
          </w:tcPr>
          <w:p w14:paraId="39BBB58E" w14:textId="77777777" w:rsidR="00B029F9" w:rsidRPr="007C705C" w:rsidRDefault="00B029F9" w:rsidP="00B029F9">
            <w:pPr>
              <w:jc w:val="center"/>
              <w:rPr>
                <w:rFonts w:cs="Times New Roman"/>
                <w:bCs/>
                <w:color w:val="000000"/>
                <w:sz w:val="20"/>
                <w:szCs w:val="20"/>
                <w:lang w:val="cs-CZ"/>
              </w:rPr>
            </w:pPr>
            <w:r w:rsidRPr="007C705C">
              <w:rPr>
                <w:rFonts w:cs="Times New Roman"/>
                <w:bCs/>
                <w:color w:val="000000"/>
                <w:sz w:val="20"/>
                <w:szCs w:val="20"/>
                <w:lang w:val="cs-CZ"/>
              </w:rPr>
              <w:t>5. kolo – X. 2017</w:t>
            </w:r>
          </w:p>
        </w:tc>
        <w:tc>
          <w:tcPr>
            <w:tcW w:w="1286" w:type="dxa"/>
            <w:tcBorders>
              <w:top w:val="single" w:sz="8" w:space="0" w:color="auto"/>
              <w:left w:val="nil"/>
              <w:bottom w:val="single" w:sz="4" w:space="0" w:color="auto"/>
              <w:right w:val="single" w:sz="4" w:space="0" w:color="auto"/>
            </w:tcBorders>
          </w:tcPr>
          <w:p w14:paraId="7130CE91" w14:textId="77777777" w:rsidR="00B029F9" w:rsidRPr="007C705C" w:rsidRDefault="00B029F9" w:rsidP="00B029F9">
            <w:pPr>
              <w:jc w:val="center"/>
              <w:rPr>
                <w:rFonts w:cs="Times New Roman"/>
                <w:bCs/>
                <w:color w:val="000000"/>
                <w:sz w:val="20"/>
                <w:szCs w:val="20"/>
                <w:lang w:val="cs-CZ"/>
              </w:rPr>
            </w:pPr>
            <w:r w:rsidRPr="007C705C">
              <w:rPr>
                <w:rFonts w:cs="Times New Roman"/>
                <w:bCs/>
                <w:color w:val="000000"/>
                <w:sz w:val="20"/>
                <w:szCs w:val="20"/>
                <w:lang w:val="cs-CZ"/>
              </w:rPr>
              <w:t>6. kolo – IV. 2018</w:t>
            </w:r>
          </w:p>
        </w:tc>
        <w:tc>
          <w:tcPr>
            <w:tcW w:w="1286" w:type="dxa"/>
            <w:tcBorders>
              <w:top w:val="single" w:sz="8" w:space="0" w:color="auto"/>
              <w:left w:val="nil"/>
              <w:bottom w:val="single" w:sz="4" w:space="0" w:color="auto"/>
              <w:right w:val="single" w:sz="4" w:space="0" w:color="auto"/>
            </w:tcBorders>
          </w:tcPr>
          <w:p w14:paraId="7871838A" w14:textId="77777777" w:rsidR="00B029F9" w:rsidRPr="007C705C" w:rsidRDefault="00B029F9" w:rsidP="00B029F9">
            <w:pPr>
              <w:jc w:val="center"/>
              <w:rPr>
                <w:rFonts w:cs="Times New Roman"/>
                <w:bCs/>
                <w:color w:val="000000"/>
                <w:sz w:val="20"/>
                <w:szCs w:val="20"/>
                <w:lang w:val="cs-CZ"/>
              </w:rPr>
            </w:pPr>
            <w:r w:rsidRPr="007C705C">
              <w:rPr>
                <w:rFonts w:cs="Times New Roman"/>
                <w:bCs/>
                <w:color w:val="000000"/>
                <w:sz w:val="20"/>
                <w:szCs w:val="20"/>
                <w:lang w:val="cs-CZ"/>
              </w:rPr>
              <w:t>7. kolo – X. 2018</w:t>
            </w:r>
          </w:p>
        </w:tc>
        <w:tc>
          <w:tcPr>
            <w:tcW w:w="1391" w:type="dxa"/>
            <w:tcBorders>
              <w:top w:val="single" w:sz="8" w:space="0" w:color="auto"/>
              <w:left w:val="nil"/>
              <w:bottom w:val="single" w:sz="4" w:space="0" w:color="auto"/>
              <w:right w:val="single" w:sz="4" w:space="0" w:color="auto"/>
            </w:tcBorders>
          </w:tcPr>
          <w:p w14:paraId="35D03082" w14:textId="77777777" w:rsidR="00B029F9" w:rsidRPr="007C705C" w:rsidRDefault="00B029F9" w:rsidP="00B029F9">
            <w:pPr>
              <w:jc w:val="center"/>
              <w:rPr>
                <w:rFonts w:cs="Times New Roman"/>
                <w:bCs/>
                <w:color w:val="000000"/>
                <w:sz w:val="20"/>
                <w:szCs w:val="20"/>
                <w:lang w:val="cs-CZ"/>
              </w:rPr>
            </w:pPr>
            <w:r w:rsidRPr="007C705C">
              <w:rPr>
                <w:rFonts w:cs="Times New Roman"/>
                <w:bCs/>
                <w:color w:val="000000"/>
                <w:sz w:val="20"/>
                <w:szCs w:val="20"/>
                <w:lang w:val="cs-CZ"/>
              </w:rPr>
              <w:t>8. kolo – X. 2019</w:t>
            </w:r>
          </w:p>
        </w:tc>
      </w:tr>
      <w:tr w:rsidR="00B029F9" w:rsidRPr="007C705C" w14:paraId="501F4D46" w14:textId="77777777" w:rsidTr="00B029F9">
        <w:trPr>
          <w:trHeight w:val="227"/>
        </w:trPr>
        <w:tc>
          <w:tcPr>
            <w:tcW w:w="3356" w:type="dxa"/>
            <w:tcBorders>
              <w:top w:val="nil"/>
              <w:left w:val="single" w:sz="8" w:space="0" w:color="auto"/>
              <w:bottom w:val="single" w:sz="4" w:space="0" w:color="auto"/>
              <w:right w:val="single" w:sz="4" w:space="0" w:color="auto"/>
            </w:tcBorders>
            <w:shd w:val="clear" w:color="auto" w:fill="auto"/>
            <w:vAlign w:val="center"/>
            <w:hideMark/>
          </w:tcPr>
          <w:p w14:paraId="02415DAB" w14:textId="77777777" w:rsidR="00B029F9" w:rsidRPr="007C705C" w:rsidRDefault="00B029F9" w:rsidP="00B029F9">
            <w:pPr>
              <w:rPr>
                <w:rFonts w:cs="Times New Roman"/>
                <w:color w:val="000000"/>
                <w:sz w:val="20"/>
                <w:szCs w:val="20"/>
                <w:lang w:val="cs-CZ"/>
              </w:rPr>
            </w:pPr>
            <w:r w:rsidRPr="007C705C">
              <w:rPr>
                <w:rFonts w:cs="Times New Roman"/>
                <w:color w:val="000000"/>
                <w:sz w:val="20"/>
                <w:szCs w:val="20"/>
                <w:lang w:val="cs-CZ"/>
              </w:rPr>
              <w:t>Počet zaregistrovaných projektů (ks)</w:t>
            </w:r>
          </w:p>
        </w:tc>
        <w:tc>
          <w:tcPr>
            <w:tcW w:w="1465" w:type="dxa"/>
            <w:tcBorders>
              <w:top w:val="nil"/>
              <w:left w:val="nil"/>
              <w:bottom w:val="single" w:sz="4" w:space="0" w:color="auto"/>
              <w:right w:val="single" w:sz="4" w:space="0" w:color="auto"/>
            </w:tcBorders>
            <w:shd w:val="clear" w:color="auto" w:fill="auto"/>
            <w:noWrap/>
            <w:vAlign w:val="center"/>
            <w:hideMark/>
          </w:tcPr>
          <w:p w14:paraId="20B317CE"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41</w:t>
            </w:r>
          </w:p>
        </w:tc>
        <w:tc>
          <w:tcPr>
            <w:tcW w:w="1428" w:type="dxa"/>
            <w:tcBorders>
              <w:top w:val="nil"/>
              <w:left w:val="nil"/>
              <w:bottom w:val="single" w:sz="4" w:space="0" w:color="auto"/>
              <w:right w:val="single" w:sz="4" w:space="0" w:color="auto"/>
            </w:tcBorders>
            <w:vAlign w:val="center"/>
          </w:tcPr>
          <w:p w14:paraId="11A4F389"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65</w:t>
            </w:r>
          </w:p>
        </w:tc>
        <w:tc>
          <w:tcPr>
            <w:tcW w:w="1286" w:type="dxa"/>
            <w:tcBorders>
              <w:top w:val="nil"/>
              <w:left w:val="nil"/>
              <w:bottom w:val="single" w:sz="4" w:space="0" w:color="auto"/>
              <w:right w:val="single" w:sz="4" w:space="0" w:color="auto"/>
            </w:tcBorders>
            <w:vAlign w:val="center"/>
          </w:tcPr>
          <w:p w14:paraId="001F9402"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39</w:t>
            </w:r>
          </w:p>
        </w:tc>
        <w:tc>
          <w:tcPr>
            <w:tcW w:w="1286" w:type="dxa"/>
            <w:tcBorders>
              <w:top w:val="nil"/>
              <w:left w:val="nil"/>
              <w:bottom w:val="single" w:sz="4" w:space="0" w:color="auto"/>
              <w:right w:val="single" w:sz="4" w:space="0" w:color="auto"/>
            </w:tcBorders>
            <w:vAlign w:val="center"/>
          </w:tcPr>
          <w:p w14:paraId="567DBDE8"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66</w:t>
            </w:r>
          </w:p>
        </w:tc>
        <w:tc>
          <w:tcPr>
            <w:tcW w:w="1391" w:type="dxa"/>
            <w:tcBorders>
              <w:top w:val="nil"/>
              <w:left w:val="nil"/>
              <w:bottom w:val="single" w:sz="4" w:space="0" w:color="auto"/>
              <w:right w:val="single" w:sz="4" w:space="0" w:color="auto"/>
            </w:tcBorders>
            <w:vAlign w:val="center"/>
          </w:tcPr>
          <w:p w14:paraId="30EB5B6E"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87</w:t>
            </w:r>
          </w:p>
        </w:tc>
      </w:tr>
      <w:tr w:rsidR="00B029F9" w:rsidRPr="007C705C" w14:paraId="46E49B5E" w14:textId="77777777" w:rsidTr="00B029F9">
        <w:trPr>
          <w:trHeight w:val="227"/>
        </w:trPr>
        <w:tc>
          <w:tcPr>
            <w:tcW w:w="3356" w:type="dxa"/>
            <w:tcBorders>
              <w:top w:val="nil"/>
              <w:left w:val="single" w:sz="8" w:space="0" w:color="auto"/>
              <w:bottom w:val="single" w:sz="4" w:space="0" w:color="auto"/>
              <w:right w:val="single" w:sz="4" w:space="0" w:color="auto"/>
            </w:tcBorders>
            <w:shd w:val="clear" w:color="auto" w:fill="auto"/>
            <w:vAlign w:val="center"/>
            <w:hideMark/>
          </w:tcPr>
          <w:p w14:paraId="5BE446C0" w14:textId="77777777" w:rsidR="00B029F9" w:rsidRPr="007C705C" w:rsidRDefault="00B029F9" w:rsidP="00B029F9">
            <w:pPr>
              <w:rPr>
                <w:rFonts w:cs="Times New Roman"/>
                <w:color w:val="000000"/>
                <w:sz w:val="20"/>
                <w:szCs w:val="20"/>
                <w:lang w:val="cs-CZ"/>
              </w:rPr>
            </w:pPr>
            <w:r w:rsidRPr="007C705C">
              <w:rPr>
                <w:rFonts w:cs="Times New Roman"/>
                <w:color w:val="000000"/>
                <w:sz w:val="20"/>
                <w:szCs w:val="20"/>
                <w:lang w:val="cs-CZ"/>
              </w:rPr>
              <w:t xml:space="preserve">Částka za zaregistrované projekty (Kč) </w:t>
            </w:r>
          </w:p>
        </w:tc>
        <w:tc>
          <w:tcPr>
            <w:tcW w:w="1465" w:type="dxa"/>
            <w:tcBorders>
              <w:top w:val="nil"/>
              <w:left w:val="nil"/>
              <w:bottom w:val="single" w:sz="4" w:space="0" w:color="auto"/>
              <w:right w:val="single" w:sz="4" w:space="0" w:color="auto"/>
            </w:tcBorders>
            <w:shd w:val="clear" w:color="auto" w:fill="auto"/>
            <w:noWrap/>
            <w:vAlign w:val="center"/>
            <w:hideMark/>
          </w:tcPr>
          <w:p w14:paraId="5F7B2929"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55 478 017</w:t>
            </w:r>
          </w:p>
        </w:tc>
        <w:tc>
          <w:tcPr>
            <w:tcW w:w="1428" w:type="dxa"/>
            <w:tcBorders>
              <w:top w:val="nil"/>
              <w:left w:val="nil"/>
              <w:bottom w:val="single" w:sz="4" w:space="0" w:color="auto"/>
              <w:right w:val="single" w:sz="4" w:space="0" w:color="auto"/>
            </w:tcBorders>
            <w:vAlign w:val="center"/>
          </w:tcPr>
          <w:p w14:paraId="12E6FBF0"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97 516 530</w:t>
            </w:r>
          </w:p>
        </w:tc>
        <w:tc>
          <w:tcPr>
            <w:tcW w:w="1286" w:type="dxa"/>
            <w:tcBorders>
              <w:top w:val="nil"/>
              <w:left w:val="nil"/>
              <w:bottom w:val="single" w:sz="4" w:space="0" w:color="auto"/>
              <w:right w:val="single" w:sz="4" w:space="0" w:color="auto"/>
            </w:tcBorders>
            <w:vAlign w:val="center"/>
          </w:tcPr>
          <w:p w14:paraId="425BEB32"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29 371 712</w:t>
            </w:r>
          </w:p>
        </w:tc>
        <w:tc>
          <w:tcPr>
            <w:tcW w:w="1286" w:type="dxa"/>
            <w:tcBorders>
              <w:top w:val="nil"/>
              <w:left w:val="nil"/>
              <w:bottom w:val="single" w:sz="4" w:space="0" w:color="auto"/>
              <w:right w:val="single" w:sz="4" w:space="0" w:color="auto"/>
            </w:tcBorders>
            <w:vAlign w:val="center"/>
          </w:tcPr>
          <w:p w14:paraId="5B5AC22B"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102 568 199</w:t>
            </w:r>
          </w:p>
        </w:tc>
        <w:tc>
          <w:tcPr>
            <w:tcW w:w="1391" w:type="dxa"/>
            <w:tcBorders>
              <w:top w:val="nil"/>
              <w:left w:val="nil"/>
              <w:bottom w:val="single" w:sz="4" w:space="0" w:color="auto"/>
              <w:right w:val="single" w:sz="4" w:space="0" w:color="auto"/>
            </w:tcBorders>
            <w:vAlign w:val="center"/>
          </w:tcPr>
          <w:p w14:paraId="43D7BFC4"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216 095 459</w:t>
            </w:r>
          </w:p>
        </w:tc>
      </w:tr>
      <w:tr w:rsidR="00B029F9" w:rsidRPr="007C705C" w14:paraId="5BCB4B00" w14:textId="77777777" w:rsidTr="00B029F9">
        <w:trPr>
          <w:trHeight w:val="227"/>
        </w:trPr>
        <w:tc>
          <w:tcPr>
            <w:tcW w:w="3356" w:type="dxa"/>
            <w:tcBorders>
              <w:top w:val="nil"/>
              <w:left w:val="single" w:sz="8" w:space="0" w:color="auto"/>
              <w:bottom w:val="single" w:sz="4" w:space="0" w:color="auto"/>
              <w:right w:val="single" w:sz="4" w:space="0" w:color="auto"/>
            </w:tcBorders>
            <w:shd w:val="clear" w:color="auto" w:fill="auto"/>
            <w:vAlign w:val="center"/>
            <w:hideMark/>
          </w:tcPr>
          <w:p w14:paraId="4B2944D5" w14:textId="77777777" w:rsidR="00B029F9" w:rsidRPr="007C705C" w:rsidRDefault="00B029F9" w:rsidP="00B029F9">
            <w:pPr>
              <w:rPr>
                <w:rFonts w:cs="Times New Roman"/>
                <w:color w:val="000000"/>
                <w:sz w:val="20"/>
                <w:szCs w:val="20"/>
                <w:lang w:val="cs-CZ"/>
              </w:rPr>
            </w:pPr>
            <w:r w:rsidRPr="007C705C">
              <w:rPr>
                <w:rFonts w:cs="Times New Roman"/>
                <w:color w:val="000000"/>
                <w:sz w:val="20"/>
                <w:szCs w:val="20"/>
                <w:lang w:val="cs-CZ"/>
              </w:rPr>
              <w:t>Počet schválených projektů (ks)</w:t>
            </w:r>
          </w:p>
        </w:tc>
        <w:tc>
          <w:tcPr>
            <w:tcW w:w="1465" w:type="dxa"/>
            <w:tcBorders>
              <w:top w:val="nil"/>
              <w:left w:val="nil"/>
              <w:bottom w:val="single" w:sz="4" w:space="0" w:color="auto"/>
              <w:right w:val="single" w:sz="4" w:space="0" w:color="auto"/>
            </w:tcBorders>
            <w:shd w:val="clear" w:color="auto" w:fill="auto"/>
            <w:noWrap/>
            <w:vAlign w:val="center"/>
            <w:hideMark/>
          </w:tcPr>
          <w:p w14:paraId="09427780"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30</w:t>
            </w:r>
          </w:p>
        </w:tc>
        <w:tc>
          <w:tcPr>
            <w:tcW w:w="1428" w:type="dxa"/>
            <w:tcBorders>
              <w:top w:val="nil"/>
              <w:left w:val="nil"/>
              <w:bottom w:val="single" w:sz="4" w:space="0" w:color="auto"/>
              <w:right w:val="single" w:sz="4" w:space="0" w:color="auto"/>
            </w:tcBorders>
            <w:vAlign w:val="center"/>
          </w:tcPr>
          <w:p w14:paraId="55EF0DFD"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47</w:t>
            </w:r>
          </w:p>
        </w:tc>
        <w:tc>
          <w:tcPr>
            <w:tcW w:w="1286" w:type="dxa"/>
            <w:tcBorders>
              <w:top w:val="nil"/>
              <w:left w:val="nil"/>
              <w:bottom w:val="single" w:sz="4" w:space="0" w:color="auto"/>
              <w:right w:val="single" w:sz="4" w:space="0" w:color="auto"/>
            </w:tcBorders>
            <w:vAlign w:val="center"/>
          </w:tcPr>
          <w:p w14:paraId="4EF88E5B"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29</w:t>
            </w:r>
          </w:p>
        </w:tc>
        <w:tc>
          <w:tcPr>
            <w:tcW w:w="1286" w:type="dxa"/>
            <w:tcBorders>
              <w:top w:val="nil"/>
              <w:left w:val="nil"/>
              <w:bottom w:val="single" w:sz="4" w:space="0" w:color="auto"/>
              <w:right w:val="single" w:sz="4" w:space="0" w:color="auto"/>
            </w:tcBorders>
            <w:vAlign w:val="center"/>
          </w:tcPr>
          <w:p w14:paraId="307A2508"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43</w:t>
            </w:r>
          </w:p>
        </w:tc>
        <w:tc>
          <w:tcPr>
            <w:tcW w:w="1391" w:type="dxa"/>
            <w:tcBorders>
              <w:top w:val="nil"/>
              <w:left w:val="nil"/>
              <w:bottom w:val="single" w:sz="4" w:space="0" w:color="auto"/>
              <w:right w:val="single" w:sz="4" w:space="0" w:color="auto"/>
            </w:tcBorders>
            <w:vAlign w:val="center"/>
          </w:tcPr>
          <w:p w14:paraId="58EB73EE"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37</w:t>
            </w:r>
          </w:p>
        </w:tc>
      </w:tr>
      <w:tr w:rsidR="00B029F9" w:rsidRPr="007C705C" w14:paraId="6D1B6A07" w14:textId="77777777" w:rsidTr="00B029F9">
        <w:trPr>
          <w:trHeight w:val="227"/>
        </w:trPr>
        <w:tc>
          <w:tcPr>
            <w:tcW w:w="3356" w:type="dxa"/>
            <w:tcBorders>
              <w:top w:val="nil"/>
              <w:left w:val="single" w:sz="8" w:space="0" w:color="auto"/>
              <w:bottom w:val="single" w:sz="4" w:space="0" w:color="auto"/>
              <w:right w:val="single" w:sz="4" w:space="0" w:color="auto"/>
            </w:tcBorders>
            <w:shd w:val="clear" w:color="auto" w:fill="auto"/>
            <w:vAlign w:val="center"/>
            <w:hideMark/>
          </w:tcPr>
          <w:p w14:paraId="21091B2A" w14:textId="77777777" w:rsidR="00B029F9" w:rsidRPr="007C705C" w:rsidRDefault="00B029F9" w:rsidP="00B029F9">
            <w:pPr>
              <w:rPr>
                <w:rFonts w:cs="Times New Roman"/>
                <w:color w:val="000000"/>
                <w:sz w:val="20"/>
                <w:szCs w:val="20"/>
                <w:lang w:val="cs-CZ"/>
              </w:rPr>
            </w:pPr>
            <w:r w:rsidRPr="007C705C">
              <w:rPr>
                <w:rFonts w:cs="Times New Roman"/>
                <w:color w:val="000000"/>
                <w:sz w:val="20"/>
                <w:szCs w:val="20"/>
                <w:lang w:val="cs-CZ"/>
              </w:rPr>
              <w:t xml:space="preserve">Částka za schválené projekty (Kč) </w:t>
            </w:r>
          </w:p>
        </w:tc>
        <w:tc>
          <w:tcPr>
            <w:tcW w:w="1465" w:type="dxa"/>
            <w:tcBorders>
              <w:top w:val="nil"/>
              <w:left w:val="nil"/>
              <w:bottom w:val="single" w:sz="4" w:space="0" w:color="auto"/>
              <w:right w:val="single" w:sz="4" w:space="0" w:color="auto"/>
            </w:tcBorders>
            <w:shd w:val="clear" w:color="auto" w:fill="auto"/>
            <w:noWrap/>
            <w:vAlign w:val="center"/>
            <w:hideMark/>
          </w:tcPr>
          <w:p w14:paraId="7563DDC4"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48 165 976</w:t>
            </w:r>
          </w:p>
        </w:tc>
        <w:tc>
          <w:tcPr>
            <w:tcW w:w="1428" w:type="dxa"/>
            <w:tcBorders>
              <w:top w:val="nil"/>
              <w:left w:val="nil"/>
              <w:bottom w:val="single" w:sz="4" w:space="0" w:color="auto"/>
              <w:right w:val="single" w:sz="4" w:space="0" w:color="auto"/>
            </w:tcBorders>
            <w:vAlign w:val="center"/>
          </w:tcPr>
          <w:p w14:paraId="133F9B4C"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82 567 789</w:t>
            </w:r>
          </w:p>
        </w:tc>
        <w:tc>
          <w:tcPr>
            <w:tcW w:w="1286" w:type="dxa"/>
            <w:tcBorders>
              <w:top w:val="nil"/>
              <w:left w:val="nil"/>
              <w:bottom w:val="single" w:sz="4" w:space="0" w:color="auto"/>
              <w:right w:val="single" w:sz="4" w:space="0" w:color="auto"/>
            </w:tcBorders>
            <w:vAlign w:val="center"/>
          </w:tcPr>
          <w:p w14:paraId="0A356617"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18 614 371</w:t>
            </w:r>
          </w:p>
        </w:tc>
        <w:tc>
          <w:tcPr>
            <w:tcW w:w="1286" w:type="dxa"/>
            <w:tcBorders>
              <w:top w:val="nil"/>
              <w:left w:val="nil"/>
              <w:bottom w:val="single" w:sz="4" w:space="0" w:color="auto"/>
              <w:right w:val="single" w:sz="4" w:space="0" w:color="auto"/>
            </w:tcBorders>
            <w:vAlign w:val="center"/>
          </w:tcPr>
          <w:p w14:paraId="3D9A2BAA"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75 796 806</w:t>
            </w:r>
          </w:p>
        </w:tc>
        <w:tc>
          <w:tcPr>
            <w:tcW w:w="1391" w:type="dxa"/>
            <w:tcBorders>
              <w:top w:val="nil"/>
              <w:left w:val="nil"/>
              <w:bottom w:val="single" w:sz="4" w:space="0" w:color="auto"/>
              <w:right w:val="single" w:sz="4" w:space="0" w:color="auto"/>
            </w:tcBorders>
            <w:vAlign w:val="center"/>
          </w:tcPr>
          <w:p w14:paraId="5E89F225"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46 615 452</w:t>
            </w:r>
          </w:p>
        </w:tc>
      </w:tr>
      <w:tr w:rsidR="00B029F9" w:rsidRPr="007C705C" w14:paraId="7B1FCCFB" w14:textId="77777777" w:rsidTr="00B029F9">
        <w:trPr>
          <w:trHeight w:val="227"/>
        </w:trPr>
        <w:tc>
          <w:tcPr>
            <w:tcW w:w="3356" w:type="dxa"/>
            <w:tcBorders>
              <w:top w:val="nil"/>
              <w:left w:val="single" w:sz="8" w:space="0" w:color="auto"/>
              <w:bottom w:val="single" w:sz="4" w:space="0" w:color="auto"/>
              <w:right w:val="single" w:sz="4" w:space="0" w:color="auto"/>
            </w:tcBorders>
            <w:shd w:val="clear" w:color="auto" w:fill="auto"/>
            <w:vAlign w:val="center"/>
            <w:hideMark/>
          </w:tcPr>
          <w:p w14:paraId="4FBF80A8" w14:textId="77777777" w:rsidR="00B029F9" w:rsidRPr="007C705C" w:rsidRDefault="00B029F9" w:rsidP="00B029F9">
            <w:pPr>
              <w:rPr>
                <w:rFonts w:cs="Times New Roman"/>
                <w:color w:val="000000"/>
                <w:sz w:val="20"/>
                <w:szCs w:val="20"/>
                <w:lang w:val="cs-CZ"/>
              </w:rPr>
            </w:pPr>
            <w:r w:rsidRPr="007C705C">
              <w:rPr>
                <w:rFonts w:cs="Times New Roman"/>
                <w:color w:val="000000"/>
                <w:sz w:val="20"/>
                <w:szCs w:val="20"/>
                <w:lang w:val="cs-CZ"/>
              </w:rPr>
              <w:t>Počet proplacených projektů (ks)</w:t>
            </w:r>
          </w:p>
        </w:tc>
        <w:tc>
          <w:tcPr>
            <w:tcW w:w="1465" w:type="dxa"/>
            <w:tcBorders>
              <w:top w:val="nil"/>
              <w:left w:val="nil"/>
              <w:bottom w:val="single" w:sz="4" w:space="0" w:color="auto"/>
              <w:right w:val="single" w:sz="4" w:space="0" w:color="auto"/>
            </w:tcBorders>
            <w:shd w:val="clear" w:color="auto" w:fill="auto"/>
            <w:noWrap/>
            <w:vAlign w:val="center"/>
            <w:hideMark/>
          </w:tcPr>
          <w:p w14:paraId="00B79F73"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30</w:t>
            </w:r>
          </w:p>
        </w:tc>
        <w:tc>
          <w:tcPr>
            <w:tcW w:w="1428" w:type="dxa"/>
            <w:tcBorders>
              <w:top w:val="nil"/>
              <w:left w:val="nil"/>
              <w:bottom w:val="single" w:sz="4" w:space="0" w:color="auto"/>
              <w:right w:val="single" w:sz="4" w:space="0" w:color="auto"/>
            </w:tcBorders>
            <w:vAlign w:val="center"/>
          </w:tcPr>
          <w:p w14:paraId="1F6CC044"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34</w:t>
            </w:r>
          </w:p>
        </w:tc>
        <w:tc>
          <w:tcPr>
            <w:tcW w:w="1286" w:type="dxa"/>
            <w:tcBorders>
              <w:top w:val="nil"/>
              <w:left w:val="nil"/>
              <w:bottom w:val="single" w:sz="4" w:space="0" w:color="auto"/>
              <w:right w:val="single" w:sz="4" w:space="0" w:color="auto"/>
            </w:tcBorders>
            <w:vAlign w:val="center"/>
          </w:tcPr>
          <w:p w14:paraId="2A18C11B"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20</w:t>
            </w:r>
          </w:p>
        </w:tc>
        <w:tc>
          <w:tcPr>
            <w:tcW w:w="1286" w:type="dxa"/>
            <w:tcBorders>
              <w:top w:val="nil"/>
              <w:left w:val="nil"/>
              <w:bottom w:val="single" w:sz="4" w:space="0" w:color="auto"/>
              <w:right w:val="single" w:sz="4" w:space="0" w:color="auto"/>
            </w:tcBorders>
            <w:vAlign w:val="center"/>
          </w:tcPr>
          <w:p w14:paraId="12B4E3F8"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7</w:t>
            </w:r>
          </w:p>
        </w:tc>
        <w:tc>
          <w:tcPr>
            <w:tcW w:w="1391" w:type="dxa"/>
            <w:tcBorders>
              <w:top w:val="nil"/>
              <w:left w:val="nil"/>
              <w:bottom w:val="single" w:sz="4" w:space="0" w:color="auto"/>
              <w:right w:val="single" w:sz="4" w:space="0" w:color="auto"/>
            </w:tcBorders>
            <w:vAlign w:val="center"/>
          </w:tcPr>
          <w:p w14:paraId="409A50F0"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0</w:t>
            </w:r>
          </w:p>
        </w:tc>
      </w:tr>
      <w:tr w:rsidR="00B029F9" w:rsidRPr="007C705C" w14:paraId="00133AFA" w14:textId="77777777" w:rsidTr="00B029F9">
        <w:trPr>
          <w:trHeight w:val="227"/>
        </w:trPr>
        <w:tc>
          <w:tcPr>
            <w:tcW w:w="3356" w:type="dxa"/>
            <w:tcBorders>
              <w:top w:val="nil"/>
              <w:left w:val="single" w:sz="8" w:space="0" w:color="auto"/>
              <w:bottom w:val="single" w:sz="8" w:space="0" w:color="auto"/>
              <w:right w:val="single" w:sz="4" w:space="0" w:color="auto"/>
            </w:tcBorders>
            <w:shd w:val="clear" w:color="auto" w:fill="auto"/>
            <w:vAlign w:val="center"/>
            <w:hideMark/>
          </w:tcPr>
          <w:p w14:paraId="0E07ADC6" w14:textId="77777777" w:rsidR="00B029F9" w:rsidRPr="007C705C" w:rsidRDefault="00B029F9" w:rsidP="00B029F9">
            <w:pPr>
              <w:rPr>
                <w:rFonts w:cs="Times New Roman"/>
                <w:color w:val="000000"/>
                <w:sz w:val="20"/>
                <w:szCs w:val="20"/>
                <w:lang w:val="cs-CZ"/>
              </w:rPr>
            </w:pPr>
            <w:r w:rsidRPr="007C705C">
              <w:rPr>
                <w:rFonts w:cs="Times New Roman"/>
                <w:color w:val="000000"/>
                <w:sz w:val="20"/>
                <w:szCs w:val="20"/>
                <w:lang w:val="cs-CZ"/>
              </w:rPr>
              <w:t>Proplacená částka (Kč)</w:t>
            </w:r>
          </w:p>
        </w:tc>
        <w:tc>
          <w:tcPr>
            <w:tcW w:w="1465" w:type="dxa"/>
            <w:tcBorders>
              <w:top w:val="nil"/>
              <w:left w:val="nil"/>
              <w:bottom w:val="single" w:sz="8" w:space="0" w:color="auto"/>
              <w:right w:val="single" w:sz="4" w:space="0" w:color="auto"/>
            </w:tcBorders>
            <w:shd w:val="clear" w:color="auto" w:fill="auto"/>
            <w:noWrap/>
            <w:vAlign w:val="center"/>
            <w:hideMark/>
          </w:tcPr>
          <w:p w14:paraId="57A250AE"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46 492 906</w:t>
            </w:r>
          </w:p>
        </w:tc>
        <w:tc>
          <w:tcPr>
            <w:tcW w:w="1428" w:type="dxa"/>
            <w:tcBorders>
              <w:top w:val="nil"/>
              <w:left w:val="nil"/>
              <w:bottom w:val="single" w:sz="8" w:space="0" w:color="auto"/>
              <w:right w:val="single" w:sz="4" w:space="0" w:color="auto"/>
            </w:tcBorders>
            <w:vAlign w:val="center"/>
          </w:tcPr>
          <w:p w14:paraId="08FE158E"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45 045 907</w:t>
            </w:r>
          </w:p>
        </w:tc>
        <w:tc>
          <w:tcPr>
            <w:tcW w:w="1286" w:type="dxa"/>
            <w:tcBorders>
              <w:top w:val="nil"/>
              <w:left w:val="nil"/>
              <w:bottom w:val="single" w:sz="8" w:space="0" w:color="auto"/>
              <w:right w:val="single" w:sz="4" w:space="0" w:color="auto"/>
            </w:tcBorders>
            <w:vAlign w:val="center"/>
          </w:tcPr>
          <w:p w14:paraId="168DA31C"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12 099 982</w:t>
            </w:r>
          </w:p>
        </w:tc>
        <w:tc>
          <w:tcPr>
            <w:tcW w:w="1286" w:type="dxa"/>
            <w:tcBorders>
              <w:top w:val="nil"/>
              <w:left w:val="nil"/>
              <w:bottom w:val="single" w:sz="8" w:space="0" w:color="auto"/>
              <w:right w:val="single" w:sz="4" w:space="0" w:color="auto"/>
            </w:tcBorders>
            <w:vAlign w:val="center"/>
          </w:tcPr>
          <w:p w14:paraId="52B71754"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5 102 606</w:t>
            </w:r>
          </w:p>
        </w:tc>
        <w:tc>
          <w:tcPr>
            <w:tcW w:w="1391" w:type="dxa"/>
            <w:tcBorders>
              <w:top w:val="nil"/>
              <w:left w:val="nil"/>
              <w:bottom w:val="single" w:sz="8" w:space="0" w:color="auto"/>
              <w:right w:val="single" w:sz="4" w:space="0" w:color="auto"/>
            </w:tcBorders>
            <w:vAlign w:val="center"/>
          </w:tcPr>
          <w:p w14:paraId="5506C728"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0</w:t>
            </w:r>
          </w:p>
        </w:tc>
      </w:tr>
    </w:tbl>
    <w:p w14:paraId="08668411" w14:textId="3D08345D" w:rsidR="003E0F58" w:rsidRPr="007C705C" w:rsidRDefault="003E0F58" w:rsidP="00B029F9">
      <w:pPr>
        <w:pStyle w:val="UZEIZdroj"/>
      </w:pPr>
      <w:r w:rsidRPr="007C705C">
        <w:t>Pozn.: Stav k 30.</w:t>
      </w:r>
      <w:r w:rsidR="00601C1D">
        <w:t xml:space="preserve"> </w:t>
      </w:r>
      <w:r w:rsidRPr="007C705C">
        <w:t>6.</w:t>
      </w:r>
      <w:r w:rsidR="00601C1D">
        <w:t xml:space="preserve"> </w:t>
      </w:r>
      <w:r w:rsidRPr="007C705C">
        <w:t>2020.</w:t>
      </w:r>
    </w:p>
    <w:p w14:paraId="7609EA33" w14:textId="0E750C40" w:rsidR="003E0F58" w:rsidRPr="007C705C" w:rsidRDefault="003E0F58" w:rsidP="00B029F9">
      <w:pPr>
        <w:pStyle w:val="UZEINormaln"/>
        <w:rPr>
          <w:rFonts w:eastAsia="Calibri"/>
        </w:rPr>
      </w:pPr>
      <w:r w:rsidRPr="007C705C">
        <w:rPr>
          <w:rFonts w:eastAsia="Calibri"/>
        </w:rPr>
        <w:t>Kontextové ukazatele pro tuto operaci nejsou stanoveny.</w:t>
      </w:r>
    </w:p>
    <w:p w14:paraId="756AA72D" w14:textId="77777777" w:rsidR="003E0F58" w:rsidRPr="007C705C" w:rsidRDefault="003E0F58" w:rsidP="003E0F58">
      <w:pPr>
        <w:rPr>
          <w:rFonts w:cs="Times New Roman"/>
          <w:i/>
          <w:lang w:val="cs-CZ"/>
        </w:rPr>
      </w:pPr>
      <w:r w:rsidRPr="007C705C">
        <w:rPr>
          <w:rFonts w:cs="Times New Roman"/>
          <w:i/>
          <w:lang w:val="cs-CZ"/>
        </w:rPr>
        <w:t>Druhové, věkové a prostorové složení lesních porostů</w:t>
      </w:r>
    </w:p>
    <w:p w14:paraId="65D7DFFC" w14:textId="09BEA64C" w:rsidR="003E0F58" w:rsidRPr="00B029F9" w:rsidRDefault="003E0F58" w:rsidP="00B029F9">
      <w:pPr>
        <w:spacing w:before="120" w:line="276" w:lineRule="auto"/>
        <w:ind w:left="567" w:right="113"/>
        <w:rPr>
          <w:rFonts w:eastAsia="Calibri" w:cs="Times New Roman"/>
          <w:szCs w:val="24"/>
          <w:lang w:val="cs-CZ"/>
        </w:rPr>
      </w:pPr>
      <w:r w:rsidRPr="007C705C">
        <w:rPr>
          <w:rFonts w:eastAsia="Calibri" w:cs="Times New Roman"/>
          <w:szCs w:val="24"/>
          <w:lang w:val="cs-CZ"/>
        </w:rPr>
        <w:t>Operace 8.5.1 Investice do ochrany melioračních a zpevňujících dřevin</w:t>
      </w:r>
    </w:p>
    <w:p w14:paraId="25B8C03B" w14:textId="31356733" w:rsidR="003E0F58" w:rsidRPr="007C705C" w:rsidRDefault="00B029F9" w:rsidP="00B029F9">
      <w:pPr>
        <w:pStyle w:val="UZEITaB"/>
        <w:rPr>
          <w:rFonts w:eastAsia="Calibri"/>
        </w:rPr>
      </w:pPr>
      <w:bookmarkStart w:id="451" w:name="_Toc15309861"/>
      <w:bookmarkStart w:id="452" w:name="_Toc77245864"/>
      <w:r>
        <w:rPr>
          <w:rFonts w:eastAsia="Calibri"/>
        </w:rPr>
        <w:t xml:space="preserve"> </w:t>
      </w:r>
      <w:bookmarkStart w:id="453" w:name="_Toc94181631"/>
      <w:r w:rsidR="003E0F58" w:rsidRPr="007C705C">
        <w:rPr>
          <w:rFonts w:eastAsia="Calibri"/>
        </w:rPr>
        <w:t>Celkový stav implementace operace 8.5.1– alokace 6 923 077 EUR (180 000 000 Kč)</w:t>
      </w:r>
      <w:bookmarkEnd w:id="451"/>
      <w:bookmarkEnd w:id="452"/>
      <w:bookmarkEnd w:id="453"/>
    </w:p>
    <w:tbl>
      <w:tblPr>
        <w:tblpPr w:leftFromText="141" w:rightFromText="141" w:vertAnchor="text" w:horzAnchor="margin" w:tblpY="24"/>
        <w:tblW w:w="10196" w:type="dxa"/>
        <w:tblCellMar>
          <w:left w:w="70" w:type="dxa"/>
          <w:right w:w="70" w:type="dxa"/>
        </w:tblCellMar>
        <w:tblLook w:val="04A0" w:firstRow="1" w:lastRow="0" w:firstColumn="1" w:lastColumn="0" w:noHBand="0" w:noVBand="1"/>
      </w:tblPr>
      <w:tblGrid>
        <w:gridCol w:w="3392"/>
        <w:gridCol w:w="1418"/>
        <w:gridCol w:w="1701"/>
        <w:gridCol w:w="1701"/>
        <w:gridCol w:w="1984"/>
      </w:tblGrid>
      <w:tr w:rsidR="00B029F9" w:rsidRPr="007C705C" w14:paraId="19F5369C" w14:textId="77777777" w:rsidTr="00B029F9">
        <w:trPr>
          <w:trHeight w:val="227"/>
        </w:trPr>
        <w:tc>
          <w:tcPr>
            <w:tcW w:w="3392" w:type="dxa"/>
            <w:tcBorders>
              <w:top w:val="single" w:sz="8" w:space="0" w:color="auto"/>
              <w:left w:val="single" w:sz="8" w:space="0" w:color="auto"/>
              <w:bottom w:val="single" w:sz="4" w:space="0" w:color="auto"/>
              <w:right w:val="single" w:sz="4" w:space="0" w:color="auto"/>
            </w:tcBorders>
            <w:shd w:val="clear" w:color="auto" w:fill="auto"/>
            <w:vAlign w:val="bottom"/>
            <w:hideMark/>
          </w:tcPr>
          <w:p w14:paraId="6D949E0E" w14:textId="77777777" w:rsidR="00B029F9" w:rsidRPr="007C705C" w:rsidRDefault="00B029F9" w:rsidP="00B029F9">
            <w:pPr>
              <w:rPr>
                <w:rFonts w:cs="Times New Roman"/>
                <w:bCs/>
                <w:sz w:val="20"/>
                <w:szCs w:val="20"/>
                <w:lang w:val="cs-CZ"/>
              </w:rPr>
            </w:pPr>
            <w:r w:rsidRPr="007C705C">
              <w:rPr>
                <w:rFonts w:cs="Times New Roman"/>
                <w:sz w:val="20"/>
                <w:szCs w:val="20"/>
                <w:lang w:val="cs-CZ"/>
              </w:rPr>
              <w:t>Operace 8.5.1</w:t>
            </w:r>
          </w:p>
        </w:tc>
        <w:tc>
          <w:tcPr>
            <w:tcW w:w="1418" w:type="dxa"/>
            <w:tcBorders>
              <w:top w:val="single" w:sz="8" w:space="0" w:color="auto"/>
              <w:left w:val="nil"/>
              <w:bottom w:val="single" w:sz="4" w:space="0" w:color="auto"/>
              <w:right w:val="single" w:sz="4" w:space="0" w:color="auto"/>
            </w:tcBorders>
            <w:shd w:val="clear" w:color="auto" w:fill="auto"/>
            <w:noWrap/>
            <w:vAlign w:val="center"/>
            <w:hideMark/>
          </w:tcPr>
          <w:p w14:paraId="79806150" w14:textId="77777777" w:rsidR="00B029F9" w:rsidRPr="007C705C" w:rsidRDefault="00B029F9" w:rsidP="00B029F9">
            <w:pPr>
              <w:jc w:val="center"/>
              <w:rPr>
                <w:rFonts w:cs="Times New Roman"/>
                <w:bCs/>
                <w:sz w:val="20"/>
                <w:szCs w:val="20"/>
                <w:lang w:val="cs-CZ"/>
              </w:rPr>
            </w:pPr>
            <w:r w:rsidRPr="007C705C">
              <w:rPr>
                <w:rFonts w:cs="Times New Roman"/>
                <w:bCs/>
                <w:sz w:val="20"/>
                <w:szCs w:val="20"/>
                <w:lang w:val="cs-CZ"/>
              </w:rPr>
              <w:t>2. kolo - 2016</w:t>
            </w:r>
          </w:p>
        </w:tc>
        <w:tc>
          <w:tcPr>
            <w:tcW w:w="1701" w:type="dxa"/>
            <w:tcBorders>
              <w:top w:val="single" w:sz="8" w:space="0" w:color="auto"/>
              <w:left w:val="nil"/>
              <w:bottom w:val="single" w:sz="4" w:space="0" w:color="auto"/>
              <w:right w:val="single" w:sz="4" w:space="0" w:color="auto"/>
            </w:tcBorders>
          </w:tcPr>
          <w:p w14:paraId="4D223F5C" w14:textId="77777777" w:rsidR="00B029F9" w:rsidRPr="007C705C" w:rsidRDefault="00B029F9" w:rsidP="00B029F9">
            <w:pPr>
              <w:jc w:val="center"/>
              <w:rPr>
                <w:rFonts w:cs="Times New Roman"/>
                <w:bCs/>
                <w:sz w:val="20"/>
                <w:szCs w:val="20"/>
                <w:lang w:val="cs-CZ"/>
              </w:rPr>
            </w:pPr>
            <w:r w:rsidRPr="007C705C">
              <w:rPr>
                <w:rFonts w:cs="Times New Roman"/>
                <w:bCs/>
                <w:sz w:val="20"/>
                <w:szCs w:val="20"/>
                <w:lang w:val="cs-CZ"/>
              </w:rPr>
              <w:t>5. kolo – X. 2017</w:t>
            </w:r>
          </w:p>
        </w:tc>
        <w:tc>
          <w:tcPr>
            <w:tcW w:w="1701" w:type="dxa"/>
            <w:tcBorders>
              <w:top w:val="single" w:sz="8" w:space="0" w:color="auto"/>
              <w:left w:val="nil"/>
              <w:bottom w:val="single" w:sz="4" w:space="0" w:color="auto"/>
              <w:right w:val="single" w:sz="4" w:space="0" w:color="auto"/>
            </w:tcBorders>
          </w:tcPr>
          <w:p w14:paraId="35E58BA8" w14:textId="77777777" w:rsidR="00B029F9" w:rsidRPr="007C705C" w:rsidRDefault="00B029F9" w:rsidP="00B029F9">
            <w:pPr>
              <w:jc w:val="center"/>
              <w:rPr>
                <w:rFonts w:cs="Times New Roman"/>
                <w:bCs/>
                <w:sz w:val="20"/>
                <w:szCs w:val="20"/>
                <w:lang w:val="cs-CZ"/>
              </w:rPr>
            </w:pPr>
            <w:r w:rsidRPr="007C705C">
              <w:rPr>
                <w:rFonts w:cs="Times New Roman"/>
                <w:bCs/>
                <w:sz w:val="20"/>
                <w:szCs w:val="20"/>
                <w:lang w:val="cs-CZ"/>
              </w:rPr>
              <w:t>7. kolo – X. 2018</w:t>
            </w:r>
          </w:p>
        </w:tc>
        <w:tc>
          <w:tcPr>
            <w:tcW w:w="1984" w:type="dxa"/>
            <w:tcBorders>
              <w:top w:val="single" w:sz="8" w:space="0" w:color="auto"/>
              <w:left w:val="nil"/>
              <w:bottom w:val="single" w:sz="4" w:space="0" w:color="auto"/>
              <w:right w:val="single" w:sz="4" w:space="0" w:color="auto"/>
            </w:tcBorders>
          </w:tcPr>
          <w:p w14:paraId="422B80B3" w14:textId="77777777" w:rsidR="00B029F9" w:rsidRPr="007C705C" w:rsidRDefault="00B029F9" w:rsidP="00B029F9">
            <w:pPr>
              <w:jc w:val="center"/>
              <w:rPr>
                <w:rFonts w:cs="Times New Roman"/>
                <w:bCs/>
                <w:sz w:val="20"/>
                <w:szCs w:val="20"/>
                <w:lang w:val="cs-CZ"/>
              </w:rPr>
            </w:pPr>
            <w:r w:rsidRPr="007C705C">
              <w:rPr>
                <w:rFonts w:cs="Times New Roman"/>
                <w:bCs/>
                <w:sz w:val="20"/>
                <w:szCs w:val="20"/>
                <w:lang w:val="cs-CZ"/>
              </w:rPr>
              <w:t>8. kolo – X. 2019</w:t>
            </w:r>
          </w:p>
        </w:tc>
      </w:tr>
      <w:tr w:rsidR="00B029F9" w:rsidRPr="007C705C" w14:paraId="246A6DF3" w14:textId="77777777" w:rsidTr="00B029F9">
        <w:trPr>
          <w:trHeight w:val="227"/>
        </w:trPr>
        <w:tc>
          <w:tcPr>
            <w:tcW w:w="3392" w:type="dxa"/>
            <w:tcBorders>
              <w:top w:val="nil"/>
              <w:left w:val="single" w:sz="8" w:space="0" w:color="auto"/>
              <w:bottom w:val="single" w:sz="4" w:space="0" w:color="auto"/>
              <w:right w:val="single" w:sz="4" w:space="0" w:color="auto"/>
            </w:tcBorders>
            <w:shd w:val="clear" w:color="auto" w:fill="auto"/>
            <w:vAlign w:val="center"/>
            <w:hideMark/>
          </w:tcPr>
          <w:p w14:paraId="6F3CC181" w14:textId="77777777" w:rsidR="00B029F9" w:rsidRPr="007C705C" w:rsidRDefault="00B029F9" w:rsidP="00B029F9">
            <w:pPr>
              <w:rPr>
                <w:rFonts w:cs="Times New Roman"/>
                <w:color w:val="000000"/>
                <w:sz w:val="20"/>
                <w:szCs w:val="20"/>
                <w:lang w:val="cs-CZ"/>
              </w:rPr>
            </w:pPr>
            <w:r w:rsidRPr="007C705C">
              <w:rPr>
                <w:rFonts w:cs="Times New Roman"/>
                <w:color w:val="000000"/>
                <w:sz w:val="20"/>
                <w:szCs w:val="20"/>
                <w:lang w:val="cs-CZ"/>
              </w:rPr>
              <w:t>Počet zaregistrovaných projektů (ks)</w:t>
            </w:r>
          </w:p>
        </w:tc>
        <w:tc>
          <w:tcPr>
            <w:tcW w:w="1418" w:type="dxa"/>
            <w:tcBorders>
              <w:top w:val="nil"/>
              <w:left w:val="nil"/>
              <w:bottom w:val="single" w:sz="4" w:space="0" w:color="auto"/>
              <w:right w:val="single" w:sz="4" w:space="0" w:color="auto"/>
            </w:tcBorders>
            <w:shd w:val="clear" w:color="auto" w:fill="auto"/>
            <w:noWrap/>
            <w:vAlign w:val="center"/>
            <w:hideMark/>
          </w:tcPr>
          <w:p w14:paraId="08D872F8"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53</w:t>
            </w:r>
          </w:p>
        </w:tc>
        <w:tc>
          <w:tcPr>
            <w:tcW w:w="1701" w:type="dxa"/>
            <w:tcBorders>
              <w:top w:val="nil"/>
              <w:left w:val="nil"/>
              <w:bottom w:val="single" w:sz="4" w:space="0" w:color="auto"/>
              <w:right w:val="single" w:sz="4" w:space="0" w:color="auto"/>
            </w:tcBorders>
          </w:tcPr>
          <w:p w14:paraId="72BF465E"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109</w:t>
            </w:r>
          </w:p>
        </w:tc>
        <w:tc>
          <w:tcPr>
            <w:tcW w:w="1701" w:type="dxa"/>
            <w:tcBorders>
              <w:top w:val="nil"/>
              <w:left w:val="nil"/>
              <w:bottom w:val="single" w:sz="4" w:space="0" w:color="auto"/>
              <w:right w:val="single" w:sz="4" w:space="0" w:color="auto"/>
            </w:tcBorders>
          </w:tcPr>
          <w:p w14:paraId="2EFB7FC8"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120</w:t>
            </w:r>
          </w:p>
        </w:tc>
        <w:tc>
          <w:tcPr>
            <w:tcW w:w="1984" w:type="dxa"/>
            <w:tcBorders>
              <w:top w:val="nil"/>
              <w:left w:val="nil"/>
              <w:bottom w:val="single" w:sz="4" w:space="0" w:color="auto"/>
              <w:right w:val="single" w:sz="4" w:space="0" w:color="auto"/>
            </w:tcBorders>
          </w:tcPr>
          <w:p w14:paraId="0161EA69"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164</w:t>
            </w:r>
          </w:p>
        </w:tc>
      </w:tr>
      <w:tr w:rsidR="00B029F9" w:rsidRPr="007C705C" w14:paraId="13BFE15E" w14:textId="77777777" w:rsidTr="00B029F9">
        <w:trPr>
          <w:trHeight w:val="227"/>
        </w:trPr>
        <w:tc>
          <w:tcPr>
            <w:tcW w:w="3392" w:type="dxa"/>
            <w:tcBorders>
              <w:top w:val="nil"/>
              <w:left w:val="single" w:sz="8" w:space="0" w:color="auto"/>
              <w:bottom w:val="single" w:sz="4" w:space="0" w:color="auto"/>
              <w:right w:val="single" w:sz="4" w:space="0" w:color="auto"/>
            </w:tcBorders>
            <w:shd w:val="clear" w:color="auto" w:fill="auto"/>
            <w:vAlign w:val="center"/>
            <w:hideMark/>
          </w:tcPr>
          <w:p w14:paraId="2208D8C6" w14:textId="77777777" w:rsidR="00B029F9" w:rsidRPr="007C705C" w:rsidRDefault="00B029F9" w:rsidP="00B029F9">
            <w:pPr>
              <w:rPr>
                <w:rFonts w:cs="Times New Roman"/>
                <w:color w:val="000000"/>
                <w:sz w:val="20"/>
                <w:szCs w:val="20"/>
                <w:lang w:val="cs-CZ"/>
              </w:rPr>
            </w:pPr>
            <w:r w:rsidRPr="007C705C">
              <w:rPr>
                <w:rFonts w:cs="Times New Roman"/>
                <w:color w:val="000000"/>
                <w:sz w:val="20"/>
                <w:szCs w:val="20"/>
                <w:lang w:val="cs-CZ"/>
              </w:rPr>
              <w:t xml:space="preserve">Částka za zaregistrované projekty (Kč) </w:t>
            </w:r>
          </w:p>
        </w:tc>
        <w:tc>
          <w:tcPr>
            <w:tcW w:w="1418" w:type="dxa"/>
            <w:tcBorders>
              <w:top w:val="nil"/>
              <w:left w:val="nil"/>
              <w:bottom w:val="single" w:sz="4" w:space="0" w:color="auto"/>
              <w:right w:val="single" w:sz="4" w:space="0" w:color="auto"/>
            </w:tcBorders>
            <w:shd w:val="clear" w:color="auto" w:fill="auto"/>
            <w:noWrap/>
            <w:vAlign w:val="center"/>
            <w:hideMark/>
          </w:tcPr>
          <w:p w14:paraId="4870EC93"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4 881 413</w:t>
            </w:r>
          </w:p>
        </w:tc>
        <w:tc>
          <w:tcPr>
            <w:tcW w:w="1701" w:type="dxa"/>
            <w:tcBorders>
              <w:top w:val="nil"/>
              <w:left w:val="nil"/>
              <w:bottom w:val="single" w:sz="4" w:space="0" w:color="auto"/>
              <w:right w:val="single" w:sz="4" w:space="0" w:color="auto"/>
            </w:tcBorders>
          </w:tcPr>
          <w:p w14:paraId="2F308DEB"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23 179 540</w:t>
            </w:r>
          </w:p>
        </w:tc>
        <w:tc>
          <w:tcPr>
            <w:tcW w:w="1701" w:type="dxa"/>
            <w:tcBorders>
              <w:top w:val="nil"/>
              <w:left w:val="nil"/>
              <w:bottom w:val="single" w:sz="4" w:space="0" w:color="auto"/>
              <w:right w:val="single" w:sz="4" w:space="0" w:color="auto"/>
            </w:tcBorders>
          </w:tcPr>
          <w:p w14:paraId="74C14FAD"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29 665 383</w:t>
            </w:r>
          </w:p>
        </w:tc>
        <w:tc>
          <w:tcPr>
            <w:tcW w:w="1984" w:type="dxa"/>
            <w:tcBorders>
              <w:top w:val="nil"/>
              <w:left w:val="nil"/>
              <w:bottom w:val="single" w:sz="4" w:space="0" w:color="auto"/>
              <w:right w:val="single" w:sz="4" w:space="0" w:color="auto"/>
            </w:tcBorders>
          </w:tcPr>
          <w:p w14:paraId="371AA1D9"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41 631 152</w:t>
            </w:r>
          </w:p>
        </w:tc>
      </w:tr>
      <w:tr w:rsidR="00B029F9" w:rsidRPr="007C705C" w14:paraId="369047C8" w14:textId="77777777" w:rsidTr="00B029F9">
        <w:trPr>
          <w:trHeight w:val="227"/>
        </w:trPr>
        <w:tc>
          <w:tcPr>
            <w:tcW w:w="3392" w:type="dxa"/>
            <w:tcBorders>
              <w:top w:val="nil"/>
              <w:left w:val="single" w:sz="8" w:space="0" w:color="auto"/>
              <w:bottom w:val="single" w:sz="4" w:space="0" w:color="auto"/>
              <w:right w:val="single" w:sz="4" w:space="0" w:color="auto"/>
            </w:tcBorders>
            <w:shd w:val="clear" w:color="auto" w:fill="auto"/>
            <w:vAlign w:val="center"/>
            <w:hideMark/>
          </w:tcPr>
          <w:p w14:paraId="43359D54" w14:textId="77777777" w:rsidR="00B029F9" w:rsidRPr="007C705C" w:rsidRDefault="00B029F9" w:rsidP="00B029F9">
            <w:pPr>
              <w:rPr>
                <w:rFonts w:cs="Times New Roman"/>
                <w:color w:val="000000"/>
                <w:sz w:val="20"/>
                <w:szCs w:val="20"/>
                <w:lang w:val="cs-CZ"/>
              </w:rPr>
            </w:pPr>
            <w:r w:rsidRPr="007C705C">
              <w:rPr>
                <w:rFonts w:cs="Times New Roman"/>
                <w:color w:val="000000"/>
                <w:sz w:val="20"/>
                <w:szCs w:val="20"/>
                <w:lang w:val="cs-CZ"/>
              </w:rPr>
              <w:t>Počet schválených projektů (ks)</w:t>
            </w:r>
          </w:p>
        </w:tc>
        <w:tc>
          <w:tcPr>
            <w:tcW w:w="1418" w:type="dxa"/>
            <w:tcBorders>
              <w:top w:val="nil"/>
              <w:left w:val="nil"/>
              <w:bottom w:val="single" w:sz="4" w:space="0" w:color="auto"/>
              <w:right w:val="single" w:sz="4" w:space="0" w:color="auto"/>
            </w:tcBorders>
            <w:shd w:val="clear" w:color="auto" w:fill="auto"/>
            <w:noWrap/>
            <w:vAlign w:val="center"/>
            <w:hideMark/>
          </w:tcPr>
          <w:p w14:paraId="7AE1729C"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36</w:t>
            </w:r>
          </w:p>
        </w:tc>
        <w:tc>
          <w:tcPr>
            <w:tcW w:w="1701" w:type="dxa"/>
            <w:tcBorders>
              <w:top w:val="nil"/>
              <w:left w:val="nil"/>
              <w:bottom w:val="single" w:sz="4" w:space="0" w:color="auto"/>
              <w:right w:val="single" w:sz="4" w:space="0" w:color="auto"/>
            </w:tcBorders>
          </w:tcPr>
          <w:p w14:paraId="35F6B55F"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87</w:t>
            </w:r>
          </w:p>
        </w:tc>
        <w:tc>
          <w:tcPr>
            <w:tcW w:w="1701" w:type="dxa"/>
            <w:tcBorders>
              <w:top w:val="nil"/>
              <w:left w:val="nil"/>
              <w:bottom w:val="single" w:sz="4" w:space="0" w:color="auto"/>
              <w:right w:val="single" w:sz="4" w:space="0" w:color="auto"/>
            </w:tcBorders>
          </w:tcPr>
          <w:p w14:paraId="5498CA2A"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101</w:t>
            </w:r>
          </w:p>
        </w:tc>
        <w:tc>
          <w:tcPr>
            <w:tcW w:w="1984" w:type="dxa"/>
            <w:tcBorders>
              <w:top w:val="nil"/>
              <w:left w:val="nil"/>
              <w:bottom w:val="single" w:sz="4" w:space="0" w:color="auto"/>
              <w:right w:val="single" w:sz="4" w:space="0" w:color="auto"/>
            </w:tcBorders>
          </w:tcPr>
          <w:p w14:paraId="04908022"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120</w:t>
            </w:r>
          </w:p>
        </w:tc>
      </w:tr>
      <w:tr w:rsidR="00B029F9" w:rsidRPr="007C705C" w14:paraId="1C4A279C" w14:textId="77777777" w:rsidTr="00B029F9">
        <w:trPr>
          <w:trHeight w:val="227"/>
        </w:trPr>
        <w:tc>
          <w:tcPr>
            <w:tcW w:w="3392" w:type="dxa"/>
            <w:tcBorders>
              <w:top w:val="nil"/>
              <w:left w:val="single" w:sz="8" w:space="0" w:color="auto"/>
              <w:bottom w:val="single" w:sz="4" w:space="0" w:color="auto"/>
              <w:right w:val="single" w:sz="4" w:space="0" w:color="auto"/>
            </w:tcBorders>
            <w:shd w:val="clear" w:color="auto" w:fill="auto"/>
            <w:vAlign w:val="center"/>
            <w:hideMark/>
          </w:tcPr>
          <w:p w14:paraId="581E9CAB" w14:textId="77777777" w:rsidR="00B029F9" w:rsidRPr="007C705C" w:rsidRDefault="00B029F9" w:rsidP="00B029F9">
            <w:pPr>
              <w:rPr>
                <w:rFonts w:cs="Times New Roman"/>
                <w:color w:val="000000"/>
                <w:sz w:val="20"/>
                <w:szCs w:val="20"/>
                <w:lang w:val="cs-CZ"/>
              </w:rPr>
            </w:pPr>
            <w:r w:rsidRPr="007C705C">
              <w:rPr>
                <w:rFonts w:cs="Times New Roman"/>
                <w:color w:val="000000"/>
                <w:sz w:val="20"/>
                <w:szCs w:val="20"/>
                <w:lang w:val="cs-CZ"/>
              </w:rPr>
              <w:t xml:space="preserve">Částka za schválené projekty (Kč) </w:t>
            </w:r>
          </w:p>
        </w:tc>
        <w:tc>
          <w:tcPr>
            <w:tcW w:w="1418" w:type="dxa"/>
            <w:tcBorders>
              <w:top w:val="nil"/>
              <w:left w:val="nil"/>
              <w:bottom w:val="single" w:sz="4" w:space="0" w:color="auto"/>
              <w:right w:val="single" w:sz="4" w:space="0" w:color="auto"/>
            </w:tcBorders>
            <w:shd w:val="clear" w:color="auto" w:fill="auto"/>
            <w:noWrap/>
            <w:vAlign w:val="center"/>
            <w:hideMark/>
          </w:tcPr>
          <w:p w14:paraId="296D443C"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3 736 795</w:t>
            </w:r>
          </w:p>
        </w:tc>
        <w:tc>
          <w:tcPr>
            <w:tcW w:w="1701" w:type="dxa"/>
            <w:tcBorders>
              <w:top w:val="nil"/>
              <w:left w:val="nil"/>
              <w:bottom w:val="single" w:sz="4" w:space="0" w:color="auto"/>
              <w:right w:val="single" w:sz="4" w:space="0" w:color="auto"/>
            </w:tcBorders>
          </w:tcPr>
          <w:p w14:paraId="5FDF6BCA"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18 391 828</w:t>
            </w:r>
          </w:p>
        </w:tc>
        <w:tc>
          <w:tcPr>
            <w:tcW w:w="1701" w:type="dxa"/>
            <w:tcBorders>
              <w:top w:val="nil"/>
              <w:left w:val="nil"/>
              <w:bottom w:val="single" w:sz="4" w:space="0" w:color="auto"/>
              <w:right w:val="single" w:sz="4" w:space="0" w:color="auto"/>
            </w:tcBorders>
          </w:tcPr>
          <w:p w14:paraId="193714DA"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24 982 752</w:t>
            </w:r>
          </w:p>
        </w:tc>
        <w:tc>
          <w:tcPr>
            <w:tcW w:w="1984" w:type="dxa"/>
            <w:tcBorders>
              <w:top w:val="nil"/>
              <w:left w:val="nil"/>
              <w:bottom w:val="single" w:sz="4" w:space="0" w:color="auto"/>
              <w:right w:val="single" w:sz="4" w:space="0" w:color="auto"/>
            </w:tcBorders>
          </w:tcPr>
          <w:p w14:paraId="7127BB52"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29 633 292</w:t>
            </w:r>
          </w:p>
        </w:tc>
      </w:tr>
      <w:tr w:rsidR="00B029F9" w:rsidRPr="007C705C" w14:paraId="7EEF181E" w14:textId="77777777" w:rsidTr="00B029F9">
        <w:trPr>
          <w:trHeight w:val="227"/>
        </w:trPr>
        <w:tc>
          <w:tcPr>
            <w:tcW w:w="3392" w:type="dxa"/>
            <w:tcBorders>
              <w:top w:val="nil"/>
              <w:left w:val="single" w:sz="8" w:space="0" w:color="auto"/>
              <w:bottom w:val="single" w:sz="4" w:space="0" w:color="auto"/>
              <w:right w:val="single" w:sz="4" w:space="0" w:color="auto"/>
            </w:tcBorders>
            <w:shd w:val="clear" w:color="auto" w:fill="auto"/>
            <w:vAlign w:val="center"/>
            <w:hideMark/>
          </w:tcPr>
          <w:p w14:paraId="63DE5806" w14:textId="77777777" w:rsidR="00B029F9" w:rsidRPr="007C705C" w:rsidRDefault="00B029F9" w:rsidP="00B029F9">
            <w:pPr>
              <w:rPr>
                <w:rFonts w:cs="Times New Roman"/>
                <w:color w:val="000000"/>
                <w:sz w:val="20"/>
                <w:szCs w:val="20"/>
                <w:lang w:val="cs-CZ"/>
              </w:rPr>
            </w:pPr>
            <w:r w:rsidRPr="007C705C">
              <w:rPr>
                <w:rFonts w:cs="Times New Roman"/>
                <w:color w:val="000000"/>
                <w:sz w:val="20"/>
                <w:szCs w:val="20"/>
                <w:lang w:val="cs-CZ"/>
              </w:rPr>
              <w:t>Počet proplacených projektů (ks)</w:t>
            </w:r>
          </w:p>
        </w:tc>
        <w:tc>
          <w:tcPr>
            <w:tcW w:w="1418" w:type="dxa"/>
            <w:tcBorders>
              <w:top w:val="nil"/>
              <w:left w:val="nil"/>
              <w:bottom w:val="single" w:sz="4" w:space="0" w:color="auto"/>
              <w:right w:val="single" w:sz="4" w:space="0" w:color="auto"/>
            </w:tcBorders>
            <w:shd w:val="clear" w:color="auto" w:fill="auto"/>
            <w:noWrap/>
            <w:vAlign w:val="center"/>
            <w:hideMark/>
          </w:tcPr>
          <w:p w14:paraId="63E3BB8A"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33</w:t>
            </w:r>
          </w:p>
        </w:tc>
        <w:tc>
          <w:tcPr>
            <w:tcW w:w="1701" w:type="dxa"/>
            <w:tcBorders>
              <w:top w:val="nil"/>
              <w:left w:val="nil"/>
              <w:bottom w:val="single" w:sz="4" w:space="0" w:color="auto"/>
              <w:right w:val="single" w:sz="4" w:space="0" w:color="auto"/>
            </w:tcBorders>
          </w:tcPr>
          <w:p w14:paraId="329E8369"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 xml:space="preserve">57 </w:t>
            </w:r>
          </w:p>
        </w:tc>
        <w:tc>
          <w:tcPr>
            <w:tcW w:w="1701" w:type="dxa"/>
            <w:tcBorders>
              <w:top w:val="nil"/>
              <w:left w:val="nil"/>
              <w:bottom w:val="single" w:sz="4" w:space="0" w:color="auto"/>
              <w:right w:val="single" w:sz="4" w:space="0" w:color="auto"/>
            </w:tcBorders>
          </w:tcPr>
          <w:p w14:paraId="06242AAA"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30</w:t>
            </w:r>
          </w:p>
        </w:tc>
        <w:tc>
          <w:tcPr>
            <w:tcW w:w="1984" w:type="dxa"/>
            <w:tcBorders>
              <w:top w:val="nil"/>
              <w:left w:val="nil"/>
              <w:bottom w:val="single" w:sz="4" w:space="0" w:color="auto"/>
              <w:right w:val="single" w:sz="4" w:space="0" w:color="auto"/>
            </w:tcBorders>
          </w:tcPr>
          <w:p w14:paraId="3485753B"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0</w:t>
            </w:r>
          </w:p>
        </w:tc>
      </w:tr>
      <w:tr w:rsidR="00B029F9" w:rsidRPr="007C705C" w14:paraId="0BBCB28C" w14:textId="77777777" w:rsidTr="00B029F9">
        <w:trPr>
          <w:trHeight w:val="227"/>
        </w:trPr>
        <w:tc>
          <w:tcPr>
            <w:tcW w:w="3392" w:type="dxa"/>
            <w:tcBorders>
              <w:top w:val="nil"/>
              <w:left w:val="single" w:sz="8" w:space="0" w:color="auto"/>
              <w:bottom w:val="single" w:sz="8" w:space="0" w:color="auto"/>
              <w:right w:val="single" w:sz="4" w:space="0" w:color="auto"/>
            </w:tcBorders>
            <w:shd w:val="clear" w:color="auto" w:fill="auto"/>
            <w:vAlign w:val="center"/>
            <w:hideMark/>
          </w:tcPr>
          <w:p w14:paraId="357D463D" w14:textId="77777777" w:rsidR="00B029F9" w:rsidRPr="007C705C" w:rsidRDefault="00B029F9" w:rsidP="00B029F9">
            <w:pPr>
              <w:rPr>
                <w:rFonts w:cs="Times New Roman"/>
                <w:color w:val="000000"/>
                <w:sz w:val="20"/>
                <w:szCs w:val="20"/>
                <w:lang w:val="cs-CZ"/>
              </w:rPr>
            </w:pPr>
            <w:r w:rsidRPr="007C705C">
              <w:rPr>
                <w:rFonts w:cs="Times New Roman"/>
                <w:color w:val="000000"/>
                <w:sz w:val="20"/>
                <w:szCs w:val="20"/>
                <w:lang w:val="cs-CZ"/>
              </w:rPr>
              <w:t>Proplacená částka (Kč)</w:t>
            </w:r>
          </w:p>
        </w:tc>
        <w:tc>
          <w:tcPr>
            <w:tcW w:w="1418" w:type="dxa"/>
            <w:tcBorders>
              <w:top w:val="nil"/>
              <w:left w:val="nil"/>
              <w:bottom w:val="single" w:sz="8" w:space="0" w:color="auto"/>
              <w:right w:val="single" w:sz="4" w:space="0" w:color="auto"/>
            </w:tcBorders>
            <w:shd w:val="clear" w:color="auto" w:fill="auto"/>
            <w:noWrap/>
            <w:vAlign w:val="center"/>
            <w:hideMark/>
          </w:tcPr>
          <w:p w14:paraId="21FC5812"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3 325 880</w:t>
            </w:r>
          </w:p>
        </w:tc>
        <w:tc>
          <w:tcPr>
            <w:tcW w:w="1701" w:type="dxa"/>
            <w:tcBorders>
              <w:top w:val="nil"/>
              <w:left w:val="nil"/>
              <w:bottom w:val="single" w:sz="8" w:space="0" w:color="auto"/>
              <w:right w:val="single" w:sz="4" w:space="0" w:color="auto"/>
            </w:tcBorders>
          </w:tcPr>
          <w:p w14:paraId="68CB7012"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12 639 365</w:t>
            </w:r>
          </w:p>
        </w:tc>
        <w:tc>
          <w:tcPr>
            <w:tcW w:w="1701" w:type="dxa"/>
            <w:tcBorders>
              <w:top w:val="nil"/>
              <w:left w:val="nil"/>
              <w:bottom w:val="single" w:sz="8" w:space="0" w:color="auto"/>
              <w:right w:val="single" w:sz="4" w:space="0" w:color="auto"/>
            </w:tcBorders>
          </w:tcPr>
          <w:p w14:paraId="5F9751F5"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4 783 768</w:t>
            </w:r>
          </w:p>
        </w:tc>
        <w:tc>
          <w:tcPr>
            <w:tcW w:w="1984" w:type="dxa"/>
            <w:tcBorders>
              <w:top w:val="nil"/>
              <w:left w:val="nil"/>
              <w:bottom w:val="single" w:sz="8" w:space="0" w:color="auto"/>
              <w:right w:val="single" w:sz="4" w:space="0" w:color="auto"/>
            </w:tcBorders>
          </w:tcPr>
          <w:p w14:paraId="4B3001AA" w14:textId="77777777" w:rsidR="00B029F9" w:rsidRPr="007C705C" w:rsidRDefault="00B029F9" w:rsidP="00B029F9">
            <w:pPr>
              <w:jc w:val="center"/>
              <w:rPr>
                <w:rFonts w:cs="Times New Roman"/>
                <w:color w:val="000000"/>
                <w:sz w:val="20"/>
                <w:szCs w:val="20"/>
                <w:lang w:val="cs-CZ"/>
              </w:rPr>
            </w:pPr>
            <w:r w:rsidRPr="007C705C">
              <w:rPr>
                <w:rFonts w:cs="Times New Roman"/>
                <w:color w:val="000000"/>
                <w:sz w:val="20"/>
                <w:szCs w:val="20"/>
                <w:lang w:val="cs-CZ"/>
              </w:rPr>
              <w:t>0</w:t>
            </w:r>
          </w:p>
        </w:tc>
      </w:tr>
    </w:tbl>
    <w:p w14:paraId="266C576F" w14:textId="253181A4" w:rsidR="003E0F58" w:rsidRPr="007C705C" w:rsidRDefault="003E0F58" w:rsidP="00B029F9">
      <w:pPr>
        <w:pStyle w:val="UZEIZdroj"/>
      </w:pPr>
      <w:r w:rsidRPr="007C705C">
        <w:t>Pozn.: Stav k 30.</w:t>
      </w:r>
      <w:r w:rsidR="00601C1D">
        <w:t xml:space="preserve"> </w:t>
      </w:r>
      <w:r w:rsidRPr="007C705C">
        <w:t>6</w:t>
      </w:r>
      <w:r w:rsidR="00601C1D">
        <w:t xml:space="preserve"> </w:t>
      </w:r>
      <w:r w:rsidRPr="007C705C">
        <w:t>.2020.</w:t>
      </w:r>
    </w:p>
    <w:p w14:paraId="2562FED0" w14:textId="3D7FC8FD" w:rsidR="003E0F58" w:rsidRPr="007C705C" w:rsidRDefault="00B029F9" w:rsidP="00B029F9">
      <w:pPr>
        <w:pStyle w:val="UZEITaB"/>
        <w:rPr>
          <w:rFonts w:eastAsia="Calibri"/>
        </w:rPr>
      </w:pPr>
      <w:bookmarkStart w:id="454" w:name="_Toc15309862"/>
      <w:bookmarkStart w:id="455" w:name="_Toc77245865"/>
      <w:r>
        <w:rPr>
          <w:rFonts w:eastAsia="Calibri"/>
        </w:rPr>
        <w:t xml:space="preserve"> </w:t>
      </w:r>
      <w:bookmarkStart w:id="456" w:name="_Toc94181632"/>
      <w:r w:rsidR="003E0F58" w:rsidRPr="007C705C">
        <w:rPr>
          <w:rFonts w:eastAsia="Calibri"/>
        </w:rPr>
        <w:t>Kvantifikované cíle operací 8.5 podle 6. schválené verze PRV</w:t>
      </w:r>
      <w:bookmarkEnd w:id="454"/>
      <w:bookmarkEnd w:id="455"/>
      <w:bookmarkEnd w:id="456"/>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8"/>
        <w:gridCol w:w="1343"/>
        <w:gridCol w:w="3712"/>
        <w:gridCol w:w="1629"/>
      </w:tblGrid>
      <w:tr w:rsidR="003E0F58" w:rsidRPr="007C705C" w14:paraId="3DD72E2A" w14:textId="77777777" w:rsidTr="00B029F9">
        <w:trPr>
          <w:trHeight w:val="286"/>
        </w:trPr>
        <w:tc>
          <w:tcPr>
            <w:tcW w:w="1312" w:type="pct"/>
            <w:shd w:val="clear" w:color="auto" w:fill="auto"/>
            <w:hideMark/>
          </w:tcPr>
          <w:p w14:paraId="61D641F5" w14:textId="77777777" w:rsidR="003E0F58" w:rsidRPr="007C705C" w:rsidRDefault="003E0F58" w:rsidP="004D2249">
            <w:pPr>
              <w:spacing w:after="200" w:line="276" w:lineRule="auto"/>
              <w:jc w:val="left"/>
              <w:rPr>
                <w:rFonts w:eastAsia="Calibri" w:cs="Times New Roman"/>
                <w:b/>
                <w:bCs/>
                <w:color w:val="000000"/>
                <w:sz w:val="20"/>
                <w:szCs w:val="20"/>
                <w:lang w:val="cs-CZ"/>
              </w:rPr>
            </w:pPr>
            <w:r w:rsidRPr="007C705C">
              <w:rPr>
                <w:rFonts w:eastAsia="Calibri" w:cs="Times New Roman"/>
                <w:b/>
                <w:bCs/>
                <w:color w:val="000000"/>
                <w:sz w:val="20"/>
                <w:szCs w:val="20"/>
                <w:lang w:val="cs-CZ"/>
              </w:rPr>
              <w:t>Cíl operace</w:t>
            </w:r>
          </w:p>
        </w:tc>
        <w:tc>
          <w:tcPr>
            <w:tcW w:w="741" w:type="pct"/>
            <w:shd w:val="clear" w:color="auto" w:fill="auto"/>
            <w:hideMark/>
          </w:tcPr>
          <w:p w14:paraId="73AD5062" w14:textId="77777777" w:rsidR="003E0F58" w:rsidRPr="007C705C" w:rsidRDefault="003E0F58" w:rsidP="004D2249">
            <w:pPr>
              <w:spacing w:after="200" w:line="276" w:lineRule="auto"/>
              <w:jc w:val="left"/>
              <w:rPr>
                <w:rFonts w:eastAsia="Calibri" w:cs="Times New Roman"/>
                <w:b/>
                <w:bCs/>
                <w:color w:val="000000"/>
                <w:sz w:val="20"/>
                <w:szCs w:val="20"/>
                <w:lang w:val="cs-CZ"/>
              </w:rPr>
            </w:pPr>
            <w:r w:rsidRPr="007C705C">
              <w:rPr>
                <w:rFonts w:eastAsia="Calibri" w:cs="Times New Roman"/>
                <w:b/>
                <w:bCs/>
                <w:color w:val="000000"/>
                <w:sz w:val="20"/>
                <w:szCs w:val="20"/>
                <w:lang w:val="cs-CZ"/>
              </w:rPr>
              <w:t>Typ indikátoru</w:t>
            </w:r>
          </w:p>
        </w:tc>
        <w:tc>
          <w:tcPr>
            <w:tcW w:w="2048" w:type="pct"/>
            <w:shd w:val="clear" w:color="auto" w:fill="auto"/>
            <w:hideMark/>
          </w:tcPr>
          <w:p w14:paraId="5AF1AD85" w14:textId="77777777" w:rsidR="003E0F58" w:rsidRPr="007C705C" w:rsidRDefault="003E0F58" w:rsidP="004D2249">
            <w:pPr>
              <w:spacing w:after="200" w:line="276" w:lineRule="auto"/>
              <w:jc w:val="left"/>
              <w:rPr>
                <w:rFonts w:eastAsia="Calibri" w:cs="Times New Roman"/>
                <w:b/>
                <w:bCs/>
                <w:color w:val="000000"/>
                <w:sz w:val="20"/>
                <w:szCs w:val="20"/>
                <w:lang w:val="cs-CZ"/>
              </w:rPr>
            </w:pPr>
            <w:r w:rsidRPr="007C705C">
              <w:rPr>
                <w:rFonts w:eastAsia="Calibri" w:cs="Times New Roman"/>
                <w:b/>
                <w:bCs/>
                <w:color w:val="000000"/>
                <w:sz w:val="20"/>
                <w:szCs w:val="20"/>
                <w:lang w:val="cs-CZ"/>
              </w:rPr>
              <w:t>Název indikátoru</w:t>
            </w:r>
          </w:p>
        </w:tc>
        <w:tc>
          <w:tcPr>
            <w:tcW w:w="899" w:type="pct"/>
            <w:shd w:val="clear" w:color="auto" w:fill="auto"/>
            <w:hideMark/>
          </w:tcPr>
          <w:p w14:paraId="049AB324" w14:textId="77777777" w:rsidR="003E0F58" w:rsidRPr="007C705C" w:rsidRDefault="003E0F58" w:rsidP="004D2249">
            <w:pPr>
              <w:spacing w:after="200" w:line="276" w:lineRule="auto"/>
              <w:jc w:val="left"/>
              <w:rPr>
                <w:rFonts w:eastAsia="Calibri" w:cs="Times New Roman"/>
                <w:b/>
                <w:bCs/>
                <w:color w:val="000000"/>
                <w:sz w:val="20"/>
                <w:szCs w:val="20"/>
                <w:lang w:val="cs-CZ"/>
              </w:rPr>
            </w:pPr>
            <w:r w:rsidRPr="007C705C">
              <w:rPr>
                <w:rFonts w:eastAsia="Calibri" w:cs="Times New Roman"/>
                <w:b/>
                <w:bCs/>
                <w:color w:val="000000"/>
                <w:sz w:val="20"/>
                <w:szCs w:val="20"/>
                <w:lang w:val="cs-CZ"/>
              </w:rPr>
              <w:t>Kvantifikace</w:t>
            </w:r>
          </w:p>
        </w:tc>
      </w:tr>
      <w:tr w:rsidR="003E0F58" w:rsidRPr="007C705C" w14:paraId="428B8682" w14:textId="77777777" w:rsidTr="00B029F9">
        <w:trPr>
          <w:trHeight w:val="1198"/>
        </w:trPr>
        <w:tc>
          <w:tcPr>
            <w:tcW w:w="1312" w:type="pct"/>
            <w:shd w:val="clear" w:color="auto" w:fill="auto"/>
            <w:hideMark/>
          </w:tcPr>
          <w:p w14:paraId="0312E30B" w14:textId="77777777" w:rsidR="003E0F58" w:rsidRPr="007C705C" w:rsidRDefault="003E0F58" w:rsidP="004D2249">
            <w:pPr>
              <w:spacing w:after="200" w:line="276" w:lineRule="auto"/>
              <w:jc w:val="left"/>
              <w:rPr>
                <w:rFonts w:eastAsia="Calibri" w:cs="Times New Roman"/>
                <w:color w:val="000000"/>
                <w:sz w:val="20"/>
                <w:szCs w:val="20"/>
                <w:lang w:val="cs-CZ"/>
              </w:rPr>
            </w:pPr>
            <w:r w:rsidRPr="007C705C">
              <w:rPr>
                <w:rFonts w:eastAsia="Calibri" w:cs="Times New Roman"/>
                <w:color w:val="000000"/>
                <w:sz w:val="20"/>
                <w:szCs w:val="20"/>
                <w:lang w:val="cs-CZ"/>
              </w:rPr>
              <w:t>Operativní cíl – Podpořit plochu lesních ekosystémů s vyšší odolností a ekologickou hodnotou</w:t>
            </w:r>
          </w:p>
        </w:tc>
        <w:tc>
          <w:tcPr>
            <w:tcW w:w="741" w:type="pct"/>
            <w:vMerge w:val="restart"/>
            <w:shd w:val="clear" w:color="auto" w:fill="auto"/>
            <w:noWrap/>
            <w:vAlign w:val="center"/>
            <w:hideMark/>
          </w:tcPr>
          <w:p w14:paraId="069CD20D" w14:textId="77777777" w:rsidR="003E0F58" w:rsidRPr="007C705C" w:rsidRDefault="003E0F58" w:rsidP="004D2249">
            <w:pPr>
              <w:spacing w:after="200" w:line="276" w:lineRule="auto"/>
              <w:jc w:val="left"/>
              <w:rPr>
                <w:rFonts w:eastAsia="Calibri" w:cs="Times New Roman"/>
                <w:color w:val="000000"/>
                <w:sz w:val="20"/>
                <w:szCs w:val="20"/>
                <w:lang w:val="cs-CZ"/>
              </w:rPr>
            </w:pPr>
            <w:r w:rsidRPr="007C705C">
              <w:rPr>
                <w:rFonts w:eastAsia="Calibri" w:cs="Times New Roman"/>
                <w:color w:val="000000"/>
                <w:sz w:val="20"/>
                <w:szCs w:val="20"/>
                <w:lang w:val="cs-CZ"/>
              </w:rPr>
              <w:t>Výstup</w:t>
            </w:r>
          </w:p>
        </w:tc>
        <w:tc>
          <w:tcPr>
            <w:tcW w:w="2048" w:type="pct"/>
            <w:shd w:val="clear" w:color="auto" w:fill="auto"/>
            <w:vAlign w:val="center"/>
            <w:hideMark/>
          </w:tcPr>
          <w:p w14:paraId="4932E0EA" w14:textId="77777777" w:rsidR="003E0F58" w:rsidRPr="007C705C" w:rsidRDefault="003E0F58" w:rsidP="004D2249">
            <w:pPr>
              <w:spacing w:after="200" w:line="276" w:lineRule="auto"/>
              <w:jc w:val="left"/>
              <w:rPr>
                <w:rFonts w:eastAsia="Calibri" w:cs="Times New Roman"/>
                <w:color w:val="000000"/>
                <w:sz w:val="20"/>
                <w:szCs w:val="20"/>
                <w:lang w:val="cs-CZ"/>
              </w:rPr>
            </w:pPr>
            <w:r w:rsidRPr="007C705C">
              <w:rPr>
                <w:rFonts w:eastAsia="Calibri" w:cs="Times New Roman"/>
                <w:color w:val="000000"/>
                <w:sz w:val="20"/>
                <w:szCs w:val="20"/>
                <w:lang w:val="cs-CZ"/>
              </w:rPr>
              <w:t>Celková plocha (ha) – oblast, které se týkají investice zvyšující odolnost a ekologickou hodnotu lesních ekosystémů (8.5)</w:t>
            </w:r>
          </w:p>
        </w:tc>
        <w:tc>
          <w:tcPr>
            <w:tcW w:w="899" w:type="pct"/>
            <w:shd w:val="clear" w:color="auto" w:fill="auto"/>
            <w:vAlign w:val="center"/>
            <w:hideMark/>
          </w:tcPr>
          <w:p w14:paraId="3FEB5793" w14:textId="77777777" w:rsidR="003E0F58" w:rsidRPr="007C705C" w:rsidRDefault="003E0F58" w:rsidP="004D2249">
            <w:pPr>
              <w:spacing w:after="200" w:line="276" w:lineRule="auto"/>
              <w:jc w:val="left"/>
              <w:rPr>
                <w:rFonts w:eastAsia="Calibri" w:cs="Times New Roman"/>
                <w:color w:val="000000"/>
                <w:sz w:val="20"/>
                <w:szCs w:val="20"/>
                <w:lang w:val="cs-CZ"/>
              </w:rPr>
            </w:pPr>
            <w:r w:rsidRPr="007C705C">
              <w:rPr>
                <w:rFonts w:eastAsia="Calibri" w:cs="Times New Roman"/>
                <w:color w:val="000000"/>
                <w:sz w:val="20"/>
                <w:szCs w:val="20"/>
                <w:lang w:val="cs-CZ"/>
              </w:rPr>
              <w:t>13 600</w:t>
            </w:r>
          </w:p>
        </w:tc>
      </w:tr>
      <w:tr w:rsidR="003E0F58" w:rsidRPr="007C705C" w14:paraId="3329043D" w14:textId="77777777" w:rsidTr="00B029F9">
        <w:trPr>
          <w:trHeight w:val="1211"/>
        </w:trPr>
        <w:tc>
          <w:tcPr>
            <w:tcW w:w="1312" w:type="pct"/>
            <w:vMerge w:val="restart"/>
            <w:shd w:val="clear" w:color="auto" w:fill="auto"/>
            <w:vAlign w:val="center"/>
            <w:hideMark/>
          </w:tcPr>
          <w:p w14:paraId="7DB3F679" w14:textId="77777777" w:rsidR="003E0F58" w:rsidRPr="007C705C" w:rsidRDefault="003E0F58" w:rsidP="004D2249">
            <w:pPr>
              <w:spacing w:after="200" w:line="276" w:lineRule="auto"/>
              <w:jc w:val="left"/>
              <w:rPr>
                <w:rFonts w:eastAsia="Calibri" w:cs="Times New Roman"/>
                <w:color w:val="000000"/>
                <w:sz w:val="20"/>
                <w:szCs w:val="20"/>
                <w:lang w:val="cs-CZ"/>
              </w:rPr>
            </w:pPr>
            <w:r w:rsidRPr="007C705C">
              <w:rPr>
                <w:rFonts w:eastAsia="Calibri" w:cs="Times New Roman"/>
                <w:color w:val="000000"/>
                <w:sz w:val="20"/>
                <w:szCs w:val="20"/>
                <w:lang w:val="cs-CZ"/>
              </w:rPr>
              <w:t>Operativní cíl – Podpořit investice zvyšující odolnost a hodnotu lesních ekosystémů</w:t>
            </w:r>
          </w:p>
        </w:tc>
        <w:tc>
          <w:tcPr>
            <w:tcW w:w="741" w:type="pct"/>
            <w:vMerge/>
            <w:shd w:val="clear" w:color="auto" w:fill="auto"/>
            <w:noWrap/>
            <w:hideMark/>
          </w:tcPr>
          <w:p w14:paraId="7C038A92" w14:textId="77777777" w:rsidR="003E0F58" w:rsidRPr="007C705C" w:rsidRDefault="003E0F58" w:rsidP="004D2249">
            <w:pPr>
              <w:spacing w:after="200" w:line="276" w:lineRule="auto"/>
              <w:jc w:val="left"/>
              <w:rPr>
                <w:rFonts w:eastAsia="Calibri" w:cs="Times New Roman"/>
                <w:color w:val="000000"/>
                <w:sz w:val="20"/>
                <w:szCs w:val="20"/>
                <w:lang w:val="cs-CZ"/>
              </w:rPr>
            </w:pPr>
          </w:p>
        </w:tc>
        <w:tc>
          <w:tcPr>
            <w:tcW w:w="2048" w:type="pct"/>
            <w:shd w:val="clear" w:color="auto" w:fill="auto"/>
            <w:vAlign w:val="center"/>
            <w:hideMark/>
          </w:tcPr>
          <w:p w14:paraId="2EE804BE" w14:textId="77777777" w:rsidR="003E0F58" w:rsidRPr="007C705C" w:rsidRDefault="003E0F58" w:rsidP="004D2249">
            <w:pPr>
              <w:spacing w:after="200" w:line="276" w:lineRule="auto"/>
              <w:jc w:val="left"/>
              <w:rPr>
                <w:rFonts w:eastAsia="Calibri" w:cs="Times New Roman"/>
                <w:color w:val="000000"/>
                <w:sz w:val="20"/>
                <w:szCs w:val="20"/>
                <w:lang w:val="cs-CZ"/>
              </w:rPr>
            </w:pPr>
            <w:r w:rsidRPr="007C705C">
              <w:rPr>
                <w:rFonts w:eastAsia="Calibri" w:cs="Times New Roman"/>
                <w:color w:val="000000"/>
                <w:sz w:val="20"/>
                <w:szCs w:val="20"/>
                <w:lang w:val="cs-CZ"/>
              </w:rPr>
              <w:t>Počet podpořených akcí/operací (investice zvyšující odolnost a hodnotu lesních ekosystémů) (8.5)</w:t>
            </w:r>
          </w:p>
        </w:tc>
        <w:tc>
          <w:tcPr>
            <w:tcW w:w="899" w:type="pct"/>
            <w:shd w:val="clear" w:color="auto" w:fill="auto"/>
            <w:vAlign w:val="center"/>
            <w:hideMark/>
          </w:tcPr>
          <w:p w14:paraId="160AB0B0" w14:textId="77777777" w:rsidR="003E0F58" w:rsidRPr="007C705C" w:rsidRDefault="003E0F58" w:rsidP="004D2249">
            <w:pPr>
              <w:spacing w:after="200" w:line="276" w:lineRule="auto"/>
              <w:jc w:val="left"/>
              <w:rPr>
                <w:rFonts w:eastAsia="Calibri" w:cs="Times New Roman"/>
                <w:color w:val="000000"/>
                <w:sz w:val="20"/>
                <w:szCs w:val="20"/>
                <w:lang w:val="cs-CZ"/>
              </w:rPr>
            </w:pPr>
            <w:r w:rsidRPr="007C705C">
              <w:rPr>
                <w:rFonts w:eastAsia="Calibri" w:cs="Times New Roman"/>
                <w:color w:val="000000"/>
                <w:sz w:val="20"/>
                <w:szCs w:val="20"/>
                <w:lang w:val="cs-CZ"/>
              </w:rPr>
              <w:t>2 000</w:t>
            </w:r>
          </w:p>
        </w:tc>
      </w:tr>
      <w:tr w:rsidR="003E0F58" w:rsidRPr="007C705C" w14:paraId="3146D61C" w14:textId="77777777" w:rsidTr="00B029F9">
        <w:trPr>
          <w:trHeight w:val="1211"/>
        </w:trPr>
        <w:tc>
          <w:tcPr>
            <w:tcW w:w="1312" w:type="pct"/>
            <w:vMerge/>
            <w:shd w:val="clear" w:color="auto" w:fill="auto"/>
          </w:tcPr>
          <w:p w14:paraId="479469C2" w14:textId="77777777" w:rsidR="003E0F58" w:rsidRPr="007C705C" w:rsidRDefault="003E0F58" w:rsidP="004D2249">
            <w:pPr>
              <w:spacing w:after="200" w:line="276" w:lineRule="auto"/>
              <w:jc w:val="left"/>
              <w:rPr>
                <w:rFonts w:eastAsia="Calibri" w:cs="Times New Roman"/>
                <w:color w:val="000000"/>
                <w:sz w:val="20"/>
                <w:szCs w:val="20"/>
                <w:lang w:val="cs-CZ"/>
              </w:rPr>
            </w:pPr>
          </w:p>
        </w:tc>
        <w:tc>
          <w:tcPr>
            <w:tcW w:w="741" w:type="pct"/>
            <w:vMerge/>
            <w:shd w:val="clear" w:color="auto" w:fill="auto"/>
            <w:noWrap/>
          </w:tcPr>
          <w:p w14:paraId="23AA09E6" w14:textId="77777777" w:rsidR="003E0F58" w:rsidRPr="007C705C" w:rsidRDefault="003E0F58" w:rsidP="004D2249">
            <w:pPr>
              <w:spacing w:after="200" w:line="276" w:lineRule="auto"/>
              <w:jc w:val="left"/>
              <w:rPr>
                <w:rFonts w:eastAsia="Calibri" w:cs="Times New Roman"/>
                <w:color w:val="000000"/>
                <w:sz w:val="20"/>
                <w:szCs w:val="20"/>
                <w:lang w:val="cs-CZ"/>
              </w:rPr>
            </w:pPr>
          </w:p>
        </w:tc>
        <w:tc>
          <w:tcPr>
            <w:tcW w:w="2048" w:type="pct"/>
            <w:shd w:val="clear" w:color="auto" w:fill="auto"/>
            <w:vAlign w:val="center"/>
          </w:tcPr>
          <w:p w14:paraId="4D4A8EE7" w14:textId="77777777" w:rsidR="003E0F58" w:rsidRPr="007C705C" w:rsidRDefault="003E0F58" w:rsidP="004D2249">
            <w:pPr>
              <w:spacing w:after="200" w:line="276" w:lineRule="auto"/>
              <w:jc w:val="left"/>
              <w:rPr>
                <w:rFonts w:eastAsia="Calibri" w:cs="Times New Roman"/>
                <w:color w:val="000000"/>
                <w:sz w:val="20"/>
                <w:szCs w:val="20"/>
                <w:lang w:val="cs-CZ"/>
              </w:rPr>
            </w:pPr>
            <w:r w:rsidRPr="007C705C">
              <w:rPr>
                <w:rFonts w:eastAsia="Calibri" w:cs="Times New Roman"/>
                <w:color w:val="000000"/>
                <w:sz w:val="20"/>
                <w:szCs w:val="20"/>
                <w:lang w:val="cs-CZ"/>
              </w:rPr>
              <w:t>Celkové veřejné výdaje (EUR) (8.5)</w:t>
            </w:r>
          </w:p>
        </w:tc>
        <w:tc>
          <w:tcPr>
            <w:tcW w:w="899" w:type="pct"/>
            <w:shd w:val="clear" w:color="auto" w:fill="auto"/>
            <w:vAlign w:val="center"/>
          </w:tcPr>
          <w:p w14:paraId="4058FF4C" w14:textId="77777777" w:rsidR="003E0F58" w:rsidRPr="007C705C" w:rsidRDefault="003E0F58" w:rsidP="004D2249">
            <w:pPr>
              <w:spacing w:after="200" w:line="276" w:lineRule="auto"/>
              <w:jc w:val="left"/>
              <w:rPr>
                <w:rFonts w:eastAsia="Calibri" w:cs="Times New Roman"/>
                <w:color w:val="000000"/>
                <w:sz w:val="20"/>
                <w:szCs w:val="20"/>
                <w:lang w:val="cs-CZ"/>
              </w:rPr>
            </w:pPr>
            <w:r w:rsidRPr="007C705C">
              <w:rPr>
                <w:rFonts w:eastAsia="Calibri" w:cs="Times New Roman"/>
                <w:color w:val="000000"/>
                <w:sz w:val="20"/>
                <w:szCs w:val="20"/>
                <w:lang w:val="cs-CZ"/>
              </w:rPr>
              <w:t>29 653 917</w:t>
            </w:r>
          </w:p>
        </w:tc>
      </w:tr>
    </w:tbl>
    <w:p w14:paraId="1D079942" w14:textId="14B9BCC2" w:rsidR="003E0F58" w:rsidRDefault="003E0F58" w:rsidP="00B029F9">
      <w:pPr>
        <w:pStyle w:val="UZEINormaln"/>
        <w:rPr>
          <w:rFonts w:eastAsia="Calibri"/>
        </w:rPr>
      </w:pPr>
      <w:r w:rsidRPr="007C705C">
        <w:rPr>
          <w:rFonts w:eastAsia="Calibri"/>
        </w:rPr>
        <w:t>U operací 8.5 u výstupu byla stanovena kvantifikace 13 600 (ha) a 2 000 podpořených akcí/operací. V současné době za roky 2016 až 2018 je evidováno 548 projektů a jedná se tak o plnění ve výši 27,4 %, z hlediska evidované plochy se jedná o plnění ve výši 21,85 % (2 958,54 ha). Za toto období je požadováno 11 708 025 EUR, tzn., že se jedná o plnění ve výši 39,5 %.</w:t>
      </w:r>
    </w:p>
    <w:p w14:paraId="348B20CA" w14:textId="77777777" w:rsidR="00601C1D" w:rsidRPr="007C705C" w:rsidRDefault="00601C1D" w:rsidP="00B029F9">
      <w:pPr>
        <w:pStyle w:val="UZEINormaln"/>
        <w:rPr>
          <w:rFonts w:eastAsia="Calibri"/>
        </w:rPr>
      </w:pPr>
    </w:p>
    <w:p w14:paraId="478F39DD" w14:textId="77777777" w:rsidR="003E0F58" w:rsidRPr="007C705C" w:rsidRDefault="003E0F58" w:rsidP="008A1AE3">
      <w:pPr>
        <w:pStyle w:val="Odstavecseseznamem"/>
        <w:numPr>
          <w:ilvl w:val="0"/>
          <w:numId w:val="37"/>
        </w:numPr>
        <w:spacing w:before="60" w:line="360" w:lineRule="atLeast"/>
        <w:rPr>
          <w:rFonts w:eastAsiaTheme="minorEastAsia"/>
          <w:b/>
          <w:bCs/>
        </w:rPr>
      </w:pPr>
      <w:r w:rsidRPr="007C705C">
        <w:rPr>
          <w:rFonts w:eastAsiaTheme="minorEastAsia"/>
          <w:b/>
          <w:bCs/>
        </w:rPr>
        <w:lastRenderedPageBreak/>
        <w:t>Protierozní, protipovodňová a retenční opatření v lesích</w:t>
      </w:r>
    </w:p>
    <w:p w14:paraId="42D82261" w14:textId="69CDBCDF" w:rsidR="003E0F58" w:rsidRPr="009D2725" w:rsidRDefault="003E0F58" w:rsidP="009D2725">
      <w:pPr>
        <w:pStyle w:val="UZEINormaln"/>
        <w:rPr>
          <w:rFonts w:eastAsia="Calibri"/>
        </w:rPr>
      </w:pPr>
      <w:r w:rsidRPr="007C705C">
        <w:rPr>
          <w:rFonts w:eastAsia="Calibri"/>
        </w:rPr>
        <w:t>Dosavadní podpora v rámci „8.3.1 Zavádění preventivních opatření v lesích“ zajišťuje realizaci preventivních opatření před povodňovými situacemi a podpořit tak následné snížení rozsahu škod způsobených těmito extrémními jevy. Podporovány jsou projekty malého charakteru, které zvýší retenci vody v krajině, zpomalí odtok vody, sníží odnos splavenin nebo budou mít protierozní funkci. Podpora je poskytována na výstavbu, rekonstrukci a opravu retenčních nádrží a objektů hrazení bystřin, na provádění preventivních protipovodňových opatření na malých vodních tocích a v jejich povodích (např. stabilizaci a zkapacitnění koryta vodního toku, zabezpečení břehů), a na protierozní opatření na malých vodních tocích a v jejich povodích (např. hrazení a stabilizaci strží, zábrany sesuvů půdy, sanace natrží a erozních rýh). Operace není v současnosti zaměřena na podporu výstavby a obnovy malých vodních nádrží v lesích. Dále se navrhuje operaci rozšířit o obnovu, popř. i doplňování sítě ochranných lesních pásů. Vzhledem k lokalizaci těchto pásů na lesních pozemcích a s ohledem na jejich převážně mimoprodukční charakter (s dominující protierozní funkcí) je navrhované rozšíření v souladu s dosavadním zaměřením operace.</w:t>
      </w:r>
    </w:p>
    <w:p w14:paraId="78ABCE28" w14:textId="601B26C8" w:rsidR="003E0F58" w:rsidRPr="007C705C" w:rsidRDefault="009D2725" w:rsidP="009D2725">
      <w:pPr>
        <w:pStyle w:val="UZEITaB"/>
        <w:rPr>
          <w:rFonts w:eastAsia="Calibri"/>
        </w:rPr>
      </w:pPr>
      <w:bookmarkStart w:id="457" w:name="_Toc15309863"/>
      <w:bookmarkStart w:id="458" w:name="_Toc77245866"/>
      <w:r>
        <w:rPr>
          <w:rFonts w:eastAsia="Calibri"/>
        </w:rPr>
        <w:t xml:space="preserve">  </w:t>
      </w:r>
      <w:bookmarkStart w:id="459" w:name="_Toc94181633"/>
      <w:r w:rsidR="003E0F58" w:rsidRPr="007C705C">
        <w:rPr>
          <w:rFonts w:eastAsia="Calibri"/>
        </w:rPr>
        <w:t>Celkový stav implementace operace 8.3.1 - alokace 3 461 538 EUR (90 000 000 Kč)</w:t>
      </w:r>
      <w:bookmarkEnd w:id="457"/>
      <w:bookmarkEnd w:id="458"/>
      <w:bookmarkEnd w:id="459"/>
    </w:p>
    <w:tbl>
      <w:tblPr>
        <w:tblW w:w="10106" w:type="dxa"/>
        <w:tblInd w:w="-10" w:type="dxa"/>
        <w:tblCellMar>
          <w:left w:w="70" w:type="dxa"/>
          <w:right w:w="70" w:type="dxa"/>
        </w:tblCellMar>
        <w:tblLook w:val="04A0" w:firstRow="1" w:lastRow="0" w:firstColumn="1" w:lastColumn="0" w:noHBand="0" w:noVBand="1"/>
      </w:tblPr>
      <w:tblGrid>
        <w:gridCol w:w="3908"/>
        <w:gridCol w:w="1713"/>
        <w:gridCol w:w="1518"/>
        <w:gridCol w:w="1539"/>
        <w:gridCol w:w="1428"/>
      </w:tblGrid>
      <w:tr w:rsidR="003E0F58" w:rsidRPr="007C705C" w14:paraId="3295FDD4" w14:textId="77777777" w:rsidTr="009D2725">
        <w:trPr>
          <w:trHeight w:val="227"/>
        </w:trPr>
        <w:tc>
          <w:tcPr>
            <w:tcW w:w="3908" w:type="dxa"/>
            <w:tcBorders>
              <w:top w:val="single" w:sz="8" w:space="0" w:color="auto"/>
              <w:left w:val="single" w:sz="8" w:space="0" w:color="auto"/>
              <w:bottom w:val="single" w:sz="4" w:space="0" w:color="auto"/>
              <w:right w:val="single" w:sz="4" w:space="0" w:color="auto"/>
            </w:tcBorders>
            <w:shd w:val="clear" w:color="auto" w:fill="auto"/>
            <w:vAlign w:val="bottom"/>
            <w:hideMark/>
          </w:tcPr>
          <w:p w14:paraId="1978E7C4" w14:textId="77777777" w:rsidR="003E0F58" w:rsidRPr="007C705C" w:rsidRDefault="003E0F58" w:rsidP="009D2725">
            <w:pPr>
              <w:rPr>
                <w:rFonts w:cs="Times New Roman"/>
                <w:bCs/>
                <w:sz w:val="20"/>
                <w:szCs w:val="20"/>
                <w:lang w:val="cs-CZ"/>
              </w:rPr>
            </w:pPr>
            <w:r w:rsidRPr="007C705C">
              <w:rPr>
                <w:rFonts w:cs="Times New Roman"/>
                <w:sz w:val="20"/>
                <w:szCs w:val="20"/>
                <w:lang w:val="cs-CZ"/>
              </w:rPr>
              <w:t>Operace 8.3.1</w:t>
            </w:r>
          </w:p>
        </w:tc>
        <w:tc>
          <w:tcPr>
            <w:tcW w:w="1713" w:type="dxa"/>
            <w:tcBorders>
              <w:top w:val="single" w:sz="8" w:space="0" w:color="auto"/>
              <w:left w:val="nil"/>
              <w:bottom w:val="single" w:sz="4" w:space="0" w:color="auto"/>
              <w:right w:val="single" w:sz="4" w:space="0" w:color="auto"/>
            </w:tcBorders>
            <w:shd w:val="clear" w:color="auto" w:fill="auto"/>
            <w:noWrap/>
            <w:vAlign w:val="center"/>
            <w:hideMark/>
          </w:tcPr>
          <w:p w14:paraId="4E5FF9A2" w14:textId="77777777" w:rsidR="003E0F58" w:rsidRPr="007C705C" w:rsidRDefault="003E0F58" w:rsidP="009D2725">
            <w:pPr>
              <w:jc w:val="center"/>
              <w:rPr>
                <w:rFonts w:cs="Times New Roman"/>
                <w:bCs/>
                <w:sz w:val="20"/>
                <w:szCs w:val="20"/>
                <w:lang w:val="cs-CZ"/>
              </w:rPr>
            </w:pPr>
            <w:r w:rsidRPr="007C705C">
              <w:rPr>
                <w:rFonts w:cs="Times New Roman"/>
                <w:bCs/>
                <w:sz w:val="20"/>
                <w:szCs w:val="20"/>
                <w:lang w:val="cs-CZ"/>
              </w:rPr>
              <w:t>2. kolo – V. 2016</w:t>
            </w:r>
          </w:p>
        </w:tc>
        <w:tc>
          <w:tcPr>
            <w:tcW w:w="1518" w:type="dxa"/>
            <w:tcBorders>
              <w:top w:val="single" w:sz="8" w:space="0" w:color="auto"/>
              <w:left w:val="nil"/>
              <w:bottom w:val="single" w:sz="4" w:space="0" w:color="auto"/>
              <w:right w:val="single" w:sz="4" w:space="0" w:color="auto"/>
            </w:tcBorders>
          </w:tcPr>
          <w:p w14:paraId="52F894DE" w14:textId="77777777" w:rsidR="003E0F58" w:rsidRPr="007C705C" w:rsidRDefault="003E0F58" w:rsidP="009D2725">
            <w:pPr>
              <w:jc w:val="center"/>
              <w:rPr>
                <w:rFonts w:cs="Times New Roman"/>
                <w:bCs/>
                <w:sz w:val="20"/>
                <w:szCs w:val="20"/>
                <w:lang w:val="cs-CZ"/>
              </w:rPr>
            </w:pPr>
            <w:r w:rsidRPr="007C705C">
              <w:rPr>
                <w:rFonts w:cs="Times New Roman"/>
                <w:bCs/>
                <w:sz w:val="20"/>
                <w:szCs w:val="20"/>
                <w:lang w:val="cs-CZ"/>
              </w:rPr>
              <w:t>5. kolo – X. 2017</w:t>
            </w:r>
          </w:p>
        </w:tc>
        <w:tc>
          <w:tcPr>
            <w:tcW w:w="1539" w:type="dxa"/>
            <w:tcBorders>
              <w:top w:val="single" w:sz="8" w:space="0" w:color="auto"/>
              <w:left w:val="nil"/>
              <w:bottom w:val="single" w:sz="4" w:space="0" w:color="auto"/>
              <w:right w:val="single" w:sz="4" w:space="0" w:color="auto"/>
            </w:tcBorders>
          </w:tcPr>
          <w:p w14:paraId="2573DA66" w14:textId="77777777" w:rsidR="003E0F58" w:rsidRPr="007C705C" w:rsidRDefault="003E0F58" w:rsidP="009D2725">
            <w:pPr>
              <w:jc w:val="center"/>
              <w:rPr>
                <w:rFonts w:cs="Times New Roman"/>
                <w:bCs/>
                <w:sz w:val="20"/>
                <w:szCs w:val="20"/>
                <w:lang w:val="cs-CZ"/>
              </w:rPr>
            </w:pPr>
            <w:r w:rsidRPr="007C705C">
              <w:rPr>
                <w:rFonts w:cs="Times New Roman"/>
                <w:bCs/>
                <w:sz w:val="20"/>
                <w:szCs w:val="20"/>
                <w:lang w:val="cs-CZ"/>
              </w:rPr>
              <w:t>7. kolo – X. 2018</w:t>
            </w:r>
          </w:p>
        </w:tc>
        <w:tc>
          <w:tcPr>
            <w:tcW w:w="1428" w:type="dxa"/>
            <w:tcBorders>
              <w:top w:val="single" w:sz="8" w:space="0" w:color="auto"/>
              <w:left w:val="nil"/>
              <w:bottom w:val="single" w:sz="4" w:space="0" w:color="auto"/>
              <w:right w:val="single" w:sz="4" w:space="0" w:color="auto"/>
            </w:tcBorders>
          </w:tcPr>
          <w:p w14:paraId="688E350C" w14:textId="77777777" w:rsidR="003E0F58" w:rsidRPr="007C705C" w:rsidRDefault="003E0F58" w:rsidP="009D2725">
            <w:pPr>
              <w:jc w:val="center"/>
              <w:rPr>
                <w:rFonts w:cs="Times New Roman"/>
                <w:bCs/>
                <w:sz w:val="20"/>
                <w:szCs w:val="20"/>
                <w:lang w:val="cs-CZ"/>
              </w:rPr>
            </w:pPr>
            <w:r w:rsidRPr="007C705C">
              <w:rPr>
                <w:rFonts w:cs="Times New Roman"/>
                <w:bCs/>
                <w:sz w:val="20"/>
                <w:szCs w:val="20"/>
                <w:lang w:val="cs-CZ"/>
              </w:rPr>
              <w:t>8. kolo – X. 2019</w:t>
            </w:r>
          </w:p>
        </w:tc>
      </w:tr>
      <w:tr w:rsidR="003E0F58" w:rsidRPr="007C705C" w14:paraId="5C49BADF" w14:textId="77777777" w:rsidTr="009D2725">
        <w:trPr>
          <w:trHeight w:val="227"/>
        </w:trPr>
        <w:tc>
          <w:tcPr>
            <w:tcW w:w="3908" w:type="dxa"/>
            <w:tcBorders>
              <w:top w:val="nil"/>
              <w:left w:val="single" w:sz="8" w:space="0" w:color="auto"/>
              <w:bottom w:val="single" w:sz="4" w:space="0" w:color="auto"/>
              <w:right w:val="single" w:sz="4" w:space="0" w:color="auto"/>
            </w:tcBorders>
            <w:shd w:val="clear" w:color="auto" w:fill="auto"/>
            <w:vAlign w:val="center"/>
            <w:hideMark/>
          </w:tcPr>
          <w:p w14:paraId="3F377A25" w14:textId="77777777" w:rsidR="003E0F58" w:rsidRPr="007C705C" w:rsidRDefault="003E0F58" w:rsidP="009D2725">
            <w:pPr>
              <w:rPr>
                <w:rFonts w:cs="Times New Roman"/>
                <w:sz w:val="20"/>
                <w:szCs w:val="20"/>
                <w:lang w:val="cs-CZ"/>
              </w:rPr>
            </w:pPr>
            <w:r w:rsidRPr="007C705C">
              <w:rPr>
                <w:rFonts w:cs="Times New Roman"/>
                <w:sz w:val="20"/>
                <w:szCs w:val="20"/>
                <w:lang w:val="cs-CZ"/>
              </w:rPr>
              <w:t>Počet zaregistrovaných projektů (ks)</w:t>
            </w:r>
          </w:p>
        </w:tc>
        <w:tc>
          <w:tcPr>
            <w:tcW w:w="1713" w:type="dxa"/>
            <w:tcBorders>
              <w:top w:val="nil"/>
              <w:left w:val="nil"/>
              <w:bottom w:val="single" w:sz="4" w:space="0" w:color="auto"/>
              <w:right w:val="single" w:sz="4" w:space="0" w:color="auto"/>
            </w:tcBorders>
            <w:shd w:val="clear" w:color="auto" w:fill="auto"/>
            <w:noWrap/>
            <w:vAlign w:val="center"/>
            <w:hideMark/>
          </w:tcPr>
          <w:p w14:paraId="4E55A5E6" w14:textId="77777777" w:rsidR="003E0F58" w:rsidRPr="007C705C" w:rsidRDefault="003E0F58" w:rsidP="009D2725">
            <w:pPr>
              <w:jc w:val="center"/>
              <w:rPr>
                <w:rFonts w:cs="Times New Roman"/>
                <w:color w:val="000000"/>
                <w:sz w:val="20"/>
                <w:szCs w:val="20"/>
                <w:lang w:val="cs-CZ"/>
              </w:rPr>
            </w:pPr>
            <w:r w:rsidRPr="007C705C">
              <w:rPr>
                <w:rFonts w:cs="Times New Roman"/>
                <w:color w:val="000000"/>
                <w:sz w:val="20"/>
                <w:szCs w:val="20"/>
                <w:lang w:val="cs-CZ"/>
              </w:rPr>
              <w:t>16</w:t>
            </w:r>
          </w:p>
        </w:tc>
        <w:tc>
          <w:tcPr>
            <w:tcW w:w="1518" w:type="dxa"/>
            <w:tcBorders>
              <w:top w:val="nil"/>
              <w:left w:val="nil"/>
              <w:bottom w:val="single" w:sz="4" w:space="0" w:color="auto"/>
              <w:right w:val="single" w:sz="4" w:space="0" w:color="auto"/>
            </w:tcBorders>
          </w:tcPr>
          <w:p w14:paraId="46CA34D5" w14:textId="77777777" w:rsidR="003E0F58" w:rsidRPr="007C705C" w:rsidRDefault="003E0F58" w:rsidP="009D2725">
            <w:pPr>
              <w:jc w:val="center"/>
              <w:rPr>
                <w:rFonts w:cs="Times New Roman"/>
                <w:color w:val="000000"/>
                <w:sz w:val="20"/>
                <w:szCs w:val="20"/>
                <w:lang w:val="cs-CZ"/>
              </w:rPr>
            </w:pPr>
            <w:r w:rsidRPr="007C705C">
              <w:rPr>
                <w:rFonts w:cs="Times New Roman"/>
                <w:color w:val="000000"/>
                <w:sz w:val="20"/>
                <w:szCs w:val="20"/>
                <w:lang w:val="cs-CZ"/>
              </w:rPr>
              <w:t>11</w:t>
            </w:r>
          </w:p>
        </w:tc>
        <w:tc>
          <w:tcPr>
            <w:tcW w:w="1539" w:type="dxa"/>
            <w:tcBorders>
              <w:top w:val="nil"/>
              <w:left w:val="nil"/>
              <w:bottom w:val="single" w:sz="4" w:space="0" w:color="auto"/>
              <w:right w:val="single" w:sz="4" w:space="0" w:color="auto"/>
            </w:tcBorders>
          </w:tcPr>
          <w:p w14:paraId="5659A5C5" w14:textId="77777777" w:rsidR="003E0F58" w:rsidRPr="007C705C" w:rsidRDefault="003E0F58" w:rsidP="009D2725">
            <w:pPr>
              <w:jc w:val="center"/>
              <w:rPr>
                <w:rFonts w:cs="Times New Roman"/>
                <w:color w:val="000000"/>
                <w:sz w:val="20"/>
                <w:szCs w:val="20"/>
                <w:lang w:val="cs-CZ"/>
              </w:rPr>
            </w:pPr>
            <w:r w:rsidRPr="007C705C">
              <w:rPr>
                <w:rFonts w:cs="Times New Roman"/>
                <w:color w:val="000000"/>
                <w:sz w:val="20"/>
                <w:szCs w:val="20"/>
                <w:lang w:val="cs-CZ"/>
              </w:rPr>
              <w:t>7</w:t>
            </w:r>
          </w:p>
        </w:tc>
        <w:tc>
          <w:tcPr>
            <w:tcW w:w="1428" w:type="dxa"/>
            <w:tcBorders>
              <w:top w:val="nil"/>
              <w:left w:val="nil"/>
              <w:bottom w:val="single" w:sz="4" w:space="0" w:color="auto"/>
              <w:right w:val="single" w:sz="4" w:space="0" w:color="auto"/>
            </w:tcBorders>
          </w:tcPr>
          <w:p w14:paraId="483960F7" w14:textId="77777777" w:rsidR="003E0F58" w:rsidRPr="007C705C" w:rsidRDefault="003E0F58" w:rsidP="009D2725">
            <w:pPr>
              <w:jc w:val="center"/>
              <w:rPr>
                <w:rFonts w:cs="Times New Roman"/>
                <w:color w:val="000000"/>
                <w:sz w:val="20"/>
                <w:szCs w:val="20"/>
                <w:lang w:val="cs-CZ"/>
              </w:rPr>
            </w:pPr>
            <w:r w:rsidRPr="007C705C">
              <w:rPr>
                <w:rFonts w:cs="Times New Roman"/>
                <w:color w:val="000000"/>
                <w:sz w:val="20"/>
                <w:szCs w:val="20"/>
                <w:lang w:val="cs-CZ"/>
              </w:rPr>
              <w:t>19</w:t>
            </w:r>
          </w:p>
        </w:tc>
      </w:tr>
      <w:tr w:rsidR="003E0F58" w:rsidRPr="007C705C" w14:paraId="1EFC25F2" w14:textId="77777777" w:rsidTr="009D2725">
        <w:trPr>
          <w:trHeight w:val="227"/>
        </w:trPr>
        <w:tc>
          <w:tcPr>
            <w:tcW w:w="3908" w:type="dxa"/>
            <w:tcBorders>
              <w:top w:val="nil"/>
              <w:left w:val="single" w:sz="8" w:space="0" w:color="auto"/>
              <w:bottom w:val="single" w:sz="4" w:space="0" w:color="auto"/>
              <w:right w:val="single" w:sz="4" w:space="0" w:color="auto"/>
            </w:tcBorders>
            <w:shd w:val="clear" w:color="auto" w:fill="auto"/>
            <w:vAlign w:val="center"/>
            <w:hideMark/>
          </w:tcPr>
          <w:p w14:paraId="1392E05F" w14:textId="77777777" w:rsidR="003E0F58" w:rsidRPr="007C705C" w:rsidRDefault="003E0F58" w:rsidP="009D2725">
            <w:pPr>
              <w:rPr>
                <w:rFonts w:cs="Times New Roman"/>
                <w:sz w:val="20"/>
                <w:szCs w:val="20"/>
                <w:lang w:val="cs-CZ"/>
              </w:rPr>
            </w:pPr>
            <w:r w:rsidRPr="007C705C">
              <w:rPr>
                <w:rFonts w:cs="Times New Roman"/>
                <w:sz w:val="20"/>
                <w:szCs w:val="20"/>
                <w:lang w:val="cs-CZ"/>
              </w:rPr>
              <w:t xml:space="preserve">Částka za zaregistrované projekty (Kč) </w:t>
            </w:r>
          </w:p>
        </w:tc>
        <w:tc>
          <w:tcPr>
            <w:tcW w:w="1713" w:type="dxa"/>
            <w:tcBorders>
              <w:top w:val="nil"/>
              <w:left w:val="nil"/>
              <w:bottom w:val="single" w:sz="4" w:space="0" w:color="auto"/>
              <w:right w:val="single" w:sz="4" w:space="0" w:color="auto"/>
            </w:tcBorders>
            <w:shd w:val="clear" w:color="auto" w:fill="auto"/>
            <w:noWrap/>
            <w:vAlign w:val="center"/>
            <w:hideMark/>
          </w:tcPr>
          <w:p w14:paraId="04B64A72" w14:textId="77777777" w:rsidR="003E0F58" w:rsidRPr="007C705C" w:rsidRDefault="003E0F58" w:rsidP="009D2725">
            <w:pPr>
              <w:jc w:val="center"/>
              <w:rPr>
                <w:rFonts w:cs="Times New Roman"/>
                <w:color w:val="000000"/>
                <w:sz w:val="20"/>
                <w:szCs w:val="20"/>
                <w:lang w:val="cs-CZ"/>
              </w:rPr>
            </w:pPr>
            <w:r w:rsidRPr="007C705C">
              <w:rPr>
                <w:rFonts w:cs="Times New Roman"/>
                <w:color w:val="000000"/>
                <w:sz w:val="20"/>
                <w:szCs w:val="20"/>
                <w:lang w:val="cs-CZ"/>
              </w:rPr>
              <w:t>38 655 324</w:t>
            </w:r>
          </w:p>
        </w:tc>
        <w:tc>
          <w:tcPr>
            <w:tcW w:w="1518" w:type="dxa"/>
            <w:tcBorders>
              <w:top w:val="nil"/>
              <w:left w:val="nil"/>
              <w:bottom w:val="single" w:sz="4" w:space="0" w:color="auto"/>
              <w:right w:val="single" w:sz="4" w:space="0" w:color="auto"/>
            </w:tcBorders>
          </w:tcPr>
          <w:p w14:paraId="6052B827" w14:textId="77777777" w:rsidR="003E0F58" w:rsidRPr="007C705C" w:rsidRDefault="003E0F58" w:rsidP="009D2725">
            <w:pPr>
              <w:jc w:val="center"/>
              <w:rPr>
                <w:rFonts w:cs="Times New Roman"/>
                <w:color w:val="000000"/>
                <w:sz w:val="20"/>
                <w:szCs w:val="20"/>
                <w:lang w:val="cs-CZ"/>
              </w:rPr>
            </w:pPr>
            <w:r w:rsidRPr="007C705C">
              <w:rPr>
                <w:rFonts w:cs="Times New Roman"/>
                <w:color w:val="000000"/>
                <w:sz w:val="20"/>
                <w:szCs w:val="20"/>
                <w:lang w:val="cs-CZ"/>
              </w:rPr>
              <w:t>36 409 055</w:t>
            </w:r>
          </w:p>
        </w:tc>
        <w:tc>
          <w:tcPr>
            <w:tcW w:w="1539" w:type="dxa"/>
            <w:tcBorders>
              <w:top w:val="nil"/>
              <w:left w:val="nil"/>
              <w:bottom w:val="single" w:sz="4" w:space="0" w:color="auto"/>
              <w:right w:val="single" w:sz="4" w:space="0" w:color="auto"/>
            </w:tcBorders>
          </w:tcPr>
          <w:p w14:paraId="606F879C" w14:textId="77777777" w:rsidR="003E0F58" w:rsidRPr="007C705C" w:rsidRDefault="003E0F58" w:rsidP="009D2725">
            <w:pPr>
              <w:jc w:val="center"/>
              <w:rPr>
                <w:rFonts w:cs="Times New Roman"/>
                <w:color w:val="000000"/>
                <w:sz w:val="20"/>
                <w:szCs w:val="20"/>
                <w:lang w:val="cs-CZ"/>
              </w:rPr>
            </w:pPr>
            <w:r w:rsidRPr="007C705C">
              <w:rPr>
                <w:rFonts w:cs="Times New Roman"/>
                <w:color w:val="000000"/>
                <w:sz w:val="20"/>
                <w:szCs w:val="20"/>
                <w:lang w:val="cs-CZ"/>
              </w:rPr>
              <w:t>21 845 479</w:t>
            </w:r>
          </w:p>
        </w:tc>
        <w:tc>
          <w:tcPr>
            <w:tcW w:w="1428" w:type="dxa"/>
            <w:tcBorders>
              <w:top w:val="nil"/>
              <w:left w:val="nil"/>
              <w:bottom w:val="single" w:sz="4" w:space="0" w:color="auto"/>
              <w:right w:val="single" w:sz="4" w:space="0" w:color="auto"/>
            </w:tcBorders>
          </w:tcPr>
          <w:p w14:paraId="31B2448A" w14:textId="77777777" w:rsidR="003E0F58" w:rsidRPr="007C705C" w:rsidRDefault="003E0F58" w:rsidP="009D2725">
            <w:pPr>
              <w:jc w:val="center"/>
              <w:rPr>
                <w:rFonts w:cs="Times New Roman"/>
                <w:color w:val="000000"/>
                <w:sz w:val="20"/>
                <w:szCs w:val="20"/>
                <w:lang w:val="cs-CZ"/>
              </w:rPr>
            </w:pPr>
            <w:r w:rsidRPr="007C705C">
              <w:rPr>
                <w:rFonts w:cs="Times New Roman"/>
                <w:color w:val="000000"/>
                <w:sz w:val="20"/>
                <w:szCs w:val="20"/>
                <w:lang w:val="cs-CZ"/>
              </w:rPr>
              <w:t>67 460 539</w:t>
            </w:r>
          </w:p>
        </w:tc>
      </w:tr>
      <w:tr w:rsidR="003E0F58" w:rsidRPr="007C705C" w14:paraId="5DB78626" w14:textId="77777777" w:rsidTr="009D2725">
        <w:trPr>
          <w:trHeight w:val="227"/>
        </w:trPr>
        <w:tc>
          <w:tcPr>
            <w:tcW w:w="3908" w:type="dxa"/>
            <w:tcBorders>
              <w:top w:val="nil"/>
              <w:left w:val="single" w:sz="8" w:space="0" w:color="auto"/>
              <w:bottom w:val="single" w:sz="4" w:space="0" w:color="auto"/>
              <w:right w:val="single" w:sz="4" w:space="0" w:color="auto"/>
            </w:tcBorders>
            <w:shd w:val="clear" w:color="auto" w:fill="auto"/>
            <w:vAlign w:val="center"/>
            <w:hideMark/>
          </w:tcPr>
          <w:p w14:paraId="4A487726" w14:textId="77777777" w:rsidR="003E0F58" w:rsidRPr="007C705C" w:rsidRDefault="003E0F58" w:rsidP="009D2725">
            <w:pPr>
              <w:rPr>
                <w:rFonts w:cs="Times New Roman"/>
                <w:sz w:val="20"/>
                <w:szCs w:val="20"/>
                <w:lang w:val="cs-CZ"/>
              </w:rPr>
            </w:pPr>
            <w:r w:rsidRPr="007C705C">
              <w:rPr>
                <w:rFonts w:cs="Times New Roman"/>
                <w:sz w:val="20"/>
                <w:szCs w:val="20"/>
                <w:lang w:val="cs-CZ"/>
              </w:rPr>
              <w:t>Počet schválených projektů (ks)</w:t>
            </w:r>
          </w:p>
        </w:tc>
        <w:tc>
          <w:tcPr>
            <w:tcW w:w="1713" w:type="dxa"/>
            <w:tcBorders>
              <w:top w:val="nil"/>
              <w:left w:val="nil"/>
              <w:bottom w:val="single" w:sz="4" w:space="0" w:color="auto"/>
              <w:right w:val="single" w:sz="4" w:space="0" w:color="auto"/>
            </w:tcBorders>
            <w:shd w:val="clear" w:color="auto" w:fill="auto"/>
            <w:noWrap/>
            <w:vAlign w:val="center"/>
            <w:hideMark/>
          </w:tcPr>
          <w:p w14:paraId="590FDC86" w14:textId="77777777" w:rsidR="003E0F58" w:rsidRPr="007C705C" w:rsidRDefault="003E0F58" w:rsidP="009D2725">
            <w:pPr>
              <w:jc w:val="center"/>
              <w:rPr>
                <w:rFonts w:cs="Times New Roman"/>
                <w:color w:val="000000"/>
                <w:sz w:val="20"/>
                <w:szCs w:val="20"/>
                <w:lang w:val="cs-CZ"/>
              </w:rPr>
            </w:pPr>
            <w:r w:rsidRPr="007C705C">
              <w:rPr>
                <w:rFonts w:cs="Times New Roman"/>
                <w:color w:val="000000"/>
                <w:sz w:val="20"/>
                <w:szCs w:val="20"/>
                <w:lang w:val="cs-CZ"/>
              </w:rPr>
              <w:t>12</w:t>
            </w:r>
          </w:p>
        </w:tc>
        <w:tc>
          <w:tcPr>
            <w:tcW w:w="1518" w:type="dxa"/>
            <w:tcBorders>
              <w:top w:val="nil"/>
              <w:left w:val="nil"/>
              <w:bottom w:val="single" w:sz="4" w:space="0" w:color="auto"/>
              <w:right w:val="single" w:sz="4" w:space="0" w:color="auto"/>
            </w:tcBorders>
          </w:tcPr>
          <w:p w14:paraId="508BD3D9" w14:textId="77777777" w:rsidR="003E0F58" w:rsidRPr="007C705C" w:rsidRDefault="003E0F58" w:rsidP="009D2725">
            <w:pPr>
              <w:jc w:val="center"/>
              <w:rPr>
                <w:rFonts w:cs="Times New Roman"/>
                <w:color w:val="000000"/>
                <w:sz w:val="20"/>
                <w:szCs w:val="20"/>
                <w:lang w:val="cs-CZ"/>
              </w:rPr>
            </w:pPr>
            <w:r w:rsidRPr="007C705C">
              <w:rPr>
                <w:rFonts w:cs="Times New Roman"/>
                <w:color w:val="000000"/>
                <w:sz w:val="20"/>
                <w:szCs w:val="20"/>
                <w:lang w:val="cs-CZ"/>
              </w:rPr>
              <w:t>8</w:t>
            </w:r>
          </w:p>
        </w:tc>
        <w:tc>
          <w:tcPr>
            <w:tcW w:w="1539" w:type="dxa"/>
            <w:tcBorders>
              <w:top w:val="nil"/>
              <w:left w:val="nil"/>
              <w:bottom w:val="single" w:sz="4" w:space="0" w:color="auto"/>
              <w:right w:val="single" w:sz="4" w:space="0" w:color="auto"/>
            </w:tcBorders>
          </w:tcPr>
          <w:p w14:paraId="1F4B1D80" w14:textId="77777777" w:rsidR="003E0F58" w:rsidRPr="007C705C" w:rsidRDefault="003E0F58" w:rsidP="009D2725">
            <w:pPr>
              <w:jc w:val="center"/>
              <w:rPr>
                <w:rFonts w:cs="Times New Roman"/>
                <w:color w:val="000000"/>
                <w:sz w:val="20"/>
                <w:szCs w:val="20"/>
                <w:lang w:val="cs-CZ"/>
              </w:rPr>
            </w:pPr>
            <w:r w:rsidRPr="007C705C">
              <w:rPr>
                <w:rFonts w:cs="Times New Roman"/>
                <w:color w:val="000000"/>
                <w:sz w:val="20"/>
                <w:szCs w:val="20"/>
                <w:lang w:val="cs-CZ"/>
              </w:rPr>
              <w:t>2</w:t>
            </w:r>
          </w:p>
        </w:tc>
        <w:tc>
          <w:tcPr>
            <w:tcW w:w="1428" w:type="dxa"/>
            <w:tcBorders>
              <w:top w:val="nil"/>
              <w:left w:val="nil"/>
              <w:bottom w:val="single" w:sz="4" w:space="0" w:color="auto"/>
              <w:right w:val="single" w:sz="4" w:space="0" w:color="auto"/>
            </w:tcBorders>
          </w:tcPr>
          <w:p w14:paraId="1FB78008" w14:textId="77777777" w:rsidR="003E0F58" w:rsidRPr="007C705C" w:rsidRDefault="003E0F58" w:rsidP="009D2725">
            <w:pPr>
              <w:jc w:val="center"/>
              <w:rPr>
                <w:rFonts w:cs="Times New Roman"/>
                <w:color w:val="000000"/>
                <w:sz w:val="20"/>
                <w:szCs w:val="20"/>
                <w:lang w:val="cs-CZ"/>
              </w:rPr>
            </w:pPr>
            <w:r w:rsidRPr="007C705C">
              <w:rPr>
                <w:rFonts w:cs="Times New Roman"/>
                <w:color w:val="000000"/>
                <w:sz w:val="20"/>
                <w:szCs w:val="20"/>
                <w:lang w:val="cs-CZ"/>
              </w:rPr>
              <w:t>2</w:t>
            </w:r>
          </w:p>
        </w:tc>
      </w:tr>
      <w:tr w:rsidR="003E0F58" w:rsidRPr="007C705C" w14:paraId="7933E94D" w14:textId="77777777" w:rsidTr="009D2725">
        <w:trPr>
          <w:trHeight w:val="227"/>
        </w:trPr>
        <w:tc>
          <w:tcPr>
            <w:tcW w:w="3908" w:type="dxa"/>
            <w:tcBorders>
              <w:top w:val="nil"/>
              <w:left w:val="single" w:sz="8" w:space="0" w:color="auto"/>
              <w:bottom w:val="single" w:sz="4" w:space="0" w:color="auto"/>
              <w:right w:val="single" w:sz="4" w:space="0" w:color="auto"/>
            </w:tcBorders>
            <w:shd w:val="clear" w:color="auto" w:fill="auto"/>
            <w:vAlign w:val="center"/>
            <w:hideMark/>
          </w:tcPr>
          <w:p w14:paraId="64A25870" w14:textId="77777777" w:rsidR="003E0F58" w:rsidRPr="007C705C" w:rsidRDefault="003E0F58" w:rsidP="009D2725">
            <w:pPr>
              <w:rPr>
                <w:rFonts w:cs="Times New Roman"/>
                <w:sz w:val="20"/>
                <w:szCs w:val="20"/>
                <w:lang w:val="cs-CZ"/>
              </w:rPr>
            </w:pPr>
            <w:r w:rsidRPr="007C705C">
              <w:rPr>
                <w:rFonts w:cs="Times New Roman"/>
                <w:sz w:val="20"/>
                <w:szCs w:val="20"/>
                <w:lang w:val="cs-CZ"/>
              </w:rPr>
              <w:t xml:space="preserve">Částka za schválené projekty (Kč) </w:t>
            </w:r>
          </w:p>
        </w:tc>
        <w:tc>
          <w:tcPr>
            <w:tcW w:w="1713" w:type="dxa"/>
            <w:tcBorders>
              <w:top w:val="nil"/>
              <w:left w:val="nil"/>
              <w:bottom w:val="single" w:sz="4" w:space="0" w:color="auto"/>
              <w:right w:val="single" w:sz="4" w:space="0" w:color="auto"/>
            </w:tcBorders>
            <w:shd w:val="clear" w:color="auto" w:fill="auto"/>
            <w:noWrap/>
            <w:vAlign w:val="center"/>
            <w:hideMark/>
          </w:tcPr>
          <w:p w14:paraId="4327AB76" w14:textId="77777777" w:rsidR="003E0F58" w:rsidRPr="007C705C" w:rsidRDefault="003E0F58" w:rsidP="009D2725">
            <w:pPr>
              <w:jc w:val="center"/>
              <w:rPr>
                <w:rFonts w:cs="Times New Roman"/>
                <w:color w:val="000000"/>
                <w:sz w:val="20"/>
                <w:szCs w:val="20"/>
                <w:lang w:val="cs-CZ"/>
              </w:rPr>
            </w:pPr>
            <w:r w:rsidRPr="007C705C">
              <w:rPr>
                <w:rFonts w:cs="Times New Roman"/>
                <w:color w:val="000000"/>
                <w:sz w:val="20"/>
                <w:szCs w:val="20"/>
                <w:lang w:val="cs-CZ"/>
              </w:rPr>
              <w:t>27 156 324</w:t>
            </w:r>
          </w:p>
        </w:tc>
        <w:tc>
          <w:tcPr>
            <w:tcW w:w="1518" w:type="dxa"/>
            <w:tcBorders>
              <w:top w:val="nil"/>
              <w:left w:val="nil"/>
              <w:bottom w:val="single" w:sz="4" w:space="0" w:color="auto"/>
              <w:right w:val="single" w:sz="4" w:space="0" w:color="auto"/>
            </w:tcBorders>
          </w:tcPr>
          <w:p w14:paraId="63E9A17C" w14:textId="77777777" w:rsidR="003E0F58" w:rsidRPr="007C705C" w:rsidRDefault="003E0F58" w:rsidP="009D2725">
            <w:pPr>
              <w:jc w:val="center"/>
              <w:rPr>
                <w:rFonts w:cs="Times New Roman"/>
                <w:color w:val="000000"/>
                <w:sz w:val="20"/>
                <w:szCs w:val="20"/>
                <w:lang w:val="cs-CZ"/>
              </w:rPr>
            </w:pPr>
            <w:r w:rsidRPr="007C705C">
              <w:rPr>
                <w:rFonts w:cs="Times New Roman"/>
                <w:color w:val="000000"/>
                <w:sz w:val="20"/>
                <w:szCs w:val="20"/>
                <w:lang w:val="cs-CZ"/>
              </w:rPr>
              <w:t>29 160 867</w:t>
            </w:r>
          </w:p>
        </w:tc>
        <w:tc>
          <w:tcPr>
            <w:tcW w:w="1539" w:type="dxa"/>
            <w:tcBorders>
              <w:top w:val="nil"/>
              <w:left w:val="nil"/>
              <w:bottom w:val="single" w:sz="4" w:space="0" w:color="auto"/>
              <w:right w:val="single" w:sz="4" w:space="0" w:color="auto"/>
            </w:tcBorders>
          </w:tcPr>
          <w:p w14:paraId="14E5072A" w14:textId="77777777" w:rsidR="003E0F58" w:rsidRPr="007C705C" w:rsidRDefault="003E0F58" w:rsidP="009D2725">
            <w:pPr>
              <w:jc w:val="center"/>
              <w:rPr>
                <w:rFonts w:cs="Times New Roman"/>
                <w:color w:val="000000"/>
                <w:sz w:val="20"/>
                <w:szCs w:val="20"/>
                <w:lang w:val="cs-CZ"/>
              </w:rPr>
            </w:pPr>
            <w:r w:rsidRPr="007C705C">
              <w:rPr>
                <w:rFonts w:cs="Times New Roman"/>
                <w:color w:val="000000"/>
                <w:sz w:val="20"/>
                <w:szCs w:val="20"/>
                <w:lang w:val="cs-CZ"/>
              </w:rPr>
              <w:t>4 886 655</w:t>
            </w:r>
          </w:p>
        </w:tc>
        <w:tc>
          <w:tcPr>
            <w:tcW w:w="1428" w:type="dxa"/>
            <w:tcBorders>
              <w:top w:val="nil"/>
              <w:left w:val="nil"/>
              <w:bottom w:val="single" w:sz="4" w:space="0" w:color="auto"/>
              <w:right w:val="single" w:sz="4" w:space="0" w:color="auto"/>
            </w:tcBorders>
          </w:tcPr>
          <w:p w14:paraId="31508610" w14:textId="77777777" w:rsidR="003E0F58" w:rsidRPr="007C705C" w:rsidRDefault="003E0F58" w:rsidP="009D2725">
            <w:pPr>
              <w:jc w:val="center"/>
              <w:rPr>
                <w:rFonts w:cs="Times New Roman"/>
                <w:color w:val="000000"/>
                <w:sz w:val="20"/>
                <w:szCs w:val="20"/>
                <w:lang w:val="cs-CZ"/>
              </w:rPr>
            </w:pPr>
            <w:r w:rsidRPr="007C705C">
              <w:rPr>
                <w:rFonts w:cs="Times New Roman"/>
                <w:color w:val="000000"/>
                <w:sz w:val="20"/>
                <w:szCs w:val="20"/>
                <w:lang w:val="cs-CZ"/>
              </w:rPr>
              <w:t>8 851 121</w:t>
            </w:r>
          </w:p>
        </w:tc>
      </w:tr>
      <w:tr w:rsidR="003E0F58" w:rsidRPr="007C705C" w14:paraId="38993861" w14:textId="77777777" w:rsidTr="009D2725">
        <w:trPr>
          <w:trHeight w:val="227"/>
        </w:trPr>
        <w:tc>
          <w:tcPr>
            <w:tcW w:w="3908" w:type="dxa"/>
            <w:tcBorders>
              <w:top w:val="nil"/>
              <w:left w:val="single" w:sz="8" w:space="0" w:color="auto"/>
              <w:bottom w:val="single" w:sz="4" w:space="0" w:color="auto"/>
              <w:right w:val="single" w:sz="4" w:space="0" w:color="auto"/>
            </w:tcBorders>
            <w:shd w:val="clear" w:color="auto" w:fill="auto"/>
            <w:vAlign w:val="center"/>
            <w:hideMark/>
          </w:tcPr>
          <w:p w14:paraId="578A38D7" w14:textId="77777777" w:rsidR="003E0F58" w:rsidRPr="007C705C" w:rsidRDefault="003E0F58" w:rsidP="009D2725">
            <w:pPr>
              <w:rPr>
                <w:rFonts w:cs="Times New Roman"/>
                <w:color w:val="000000"/>
                <w:sz w:val="20"/>
                <w:szCs w:val="20"/>
                <w:lang w:val="cs-CZ"/>
              </w:rPr>
            </w:pPr>
            <w:r w:rsidRPr="007C705C">
              <w:rPr>
                <w:rFonts w:cs="Times New Roman"/>
                <w:color w:val="000000"/>
                <w:sz w:val="20"/>
                <w:szCs w:val="20"/>
                <w:lang w:val="cs-CZ"/>
              </w:rPr>
              <w:t>Počet proplacených projektů (ks)</w:t>
            </w:r>
          </w:p>
        </w:tc>
        <w:tc>
          <w:tcPr>
            <w:tcW w:w="1713" w:type="dxa"/>
            <w:tcBorders>
              <w:top w:val="nil"/>
              <w:left w:val="nil"/>
              <w:bottom w:val="single" w:sz="4" w:space="0" w:color="auto"/>
              <w:right w:val="single" w:sz="4" w:space="0" w:color="auto"/>
            </w:tcBorders>
            <w:shd w:val="clear" w:color="auto" w:fill="auto"/>
            <w:noWrap/>
            <w:vAlign w:val="center"/>
            <w:hideMark/>
          </w:tcPr>
          <w:p w14:paraId="6CB37256" w14:textId="77777777" w:rsidR="003E0F58" w:rsidRPr="007C705C" w:rsidRDefault="003E0F58" w:rsidP="009D2725">
            <w:pPr>
              <w:jc w:val="center"/>
              <w:rPr>
                <w:rFonts w:cs="Times New Roman"/>
                <w:color w:val="000000"/>
                <w:sz w:val="20"/>
                <w:szCs w:val="20"/>
                <w:lang w:val="cs-CZ"/>
              </w:rPr>
            </w:pPr>
            <w:r w:rsidRPr="007C705C">
              <w:rPr>
                <w:rFonts w:cs="Times New Roman"/>
                <w:color w:val="000000"/>
                <w:sz w:val="20"/>
                <w:szCs w:val="20"/>
                <w:lang w:val="cs-CZ"/>
              </w:rPr>
              <w:t>12</w:t>
            </w:r>
          </w:p>
        </w:tc>
        <w:tc>
          <w:tcPr>
            <w:tcW w:w="1518" w:type="dxa"/>
            <w:tcBorders>
              <w:top w:val="nil"/>
              <w:left w:val="nil"/>
              <w:bottom w:val="single" w:sz="4" w:space="0" w:color="auto"/>
              <w:right w:val="single" w:sz="4" w:space="0" w:color="auto"/>
            </w:tcBorders>
          </w:tcPr>
          <w:p w14:paraId="3B362C1A" w14:textId="77777777" w:rsidR="003E0F58" w:rsidRPr="007C705C" w:rsidRDefault="003E0F58" w:rsidP="009D2725">
            <w:pPr>
              <w:jc w:val="center"/>
              <w:rPr>
                <w:rFonts w:cs="Times New Roman"/>
                <w:color w:val="000000"/>
                <w:sz w:val="20"/>
                <w:szCs w:val="20"/>
                <w:lang w:val="cs-CZ"/>
              </w:rPr>
            </w:pPr>
            <w:r w:rsidRPr="007C705C">
              <w:rPr>
                <w:rFonts w:cs="Times New Roman"/>
                <w:color w:val="000000"/>
                <w:sz w:val="20"/>
                <w:szCs w:val="20"/>
                <w:lang w:val="cs-CZ"/>
              </w:rPr>
              <w:t>6</w:t>
            </w:r>
          </w:p>
        </w:tc>
        <w:tc>
          <w:tcPr>
            <w:tcW w:w="1539" w:type="dxa"/>
            <w:tcBorders>
              <w:top w:val="nil"/>
              <w:left w:val="nil"/>
              <w:bottom w:val="single" w:sz="4" w:space="0" w:color="auto"/>
              <w:right w:val="single" w:sz="4" w:space="0" w:color="auto"/>
            </w:tcBorders>
          </w:tcPr>
          <w:p w14:paraId="2846B9CA" w14:textId="77777777" w:rsidR="003E0F58" w:rsidRPr="007C705C" w:rsidRDefault="003E0F58" w:rsidP="009D2725">
            <w:pPr>
              <w:jc w:val="center"/>
              <w:rPr>
                <w:rFonts w:cs="Times New Roman"/>
                <w:color w:val="000000"/>
                <w:sz w:val="20"/>
                <w:szCs w:val="20"/>
                <w:lang w:val="cs-CZ"/>
              </w:rPr>
            </w:pPr>
            <w:r w:rsidRPr="007C705C">
              <w:rPr>
                <w:rFonts w:cs="Times New Roman"/>
                <w:color w:val="000000"/>
                <w:sz w:val="20"/>
                <w:szCs w:val="20"/>
                <w:lang w:val="cs-CZ"/>
              </w:rPr>
              <w:t>0</w:t>
            </w:r>
          </w:p>
        </w:tc>
        <w:tc>
          <w:tcPr>
            <w:tcW w:w="1428" w:type="dxa"/>
            <w:tcBorders>
              <w:top w:val="nil"/>
              <w:left w:val="nil"/>
              <w:bottom w:val="single" w:sz="4" w:space="0" w:color="auto"/>
              <w:right w:val="single" w:sz="4" w:space="0" w:color="auto"/>
            </w:tcBorders>
          </w:tcPr>
          <w:p w14:paraId="3C5233C7" w14:textId="77777777" w:rsidR="003E0F58" w:rsidRPr="007C705C" w:rsidRDefault="003E0F58" w:rsidP="009D2725">
            <w:pPr>
              <w:jc w:val="center"/>
              <w:rPr>
                <w:rFonts w:cs="Times New Roman"/>
                <w:color w:val="000000"/>
                <w:sz w:val="20"/>
                <w:szCs w:val="20"/>
                <w:lang w:val="cs-CZ"/>
              </w:rPr>
            </w:pPr>
            <w:r w:rsidRPr="007C705C">
              <w:rPr>
                <w:rFonts w:cs="Times New Roman"/>
                <w:color w:val="000000"/>
                <w:sz w:val="20"/>
                <w:szCs w:val="20"/>
                <w:lang w:val="cs-CZ"/>
              </w:rPr>
              <w:t>0</w:t>
            </w:r>
          </w:p>
        </w:tc>
      </w:tr>
      <w:tr w:rsidR="003E0F58" w:rsidRPr="007C705C" w14:paraId="7CAB3160" w14:textId="77777777" w:rsidTr="009D2725">
        <w:trPr>
          <w:trHeight w:val="227"/>
        </w:trPr>
        <w:tc>
          <w:tcPr>
            <w:tcW w:w="3908" w:type="dxa"/>
            <w:tcBorders>
              <w:top w:val="nil"/>
              <w:left w:val="single" w:sz="8" w:space="0" w:color="auto"/>
              <w:bottom w:val="single" w:sz="8" w:space="0" w:color="auto"/>
              <w:right w:val="single" w:sz="4" w:space="0" w:color="auto"/>
            </w:tcBorders>
            <w:shd w:val="clear" w:color="auto" w:fill="auto"/>
            <w:vAlign w:val="center"/>
            <w:hideMark/>
          </w:tcPr>
          <w:p w14:paraId="6914A7F8" w14:textId="77777777" w:rsidR="003E0F58" w:rsidRPr="007C705C" w:rsidRDefault="003E0F58" w:rsidP="009D2725">
            <w:pPr>
              <w:rPr>
                <w:rFonts w:cs="Times New Roman"/>
                <w:color w:val="000000"/>
                <w:sz w:val="20"/>
                <w:szCs w:val="20"/>
                <w:lang w:val="cs-CZ"/>
              </w:rPr>
            </w:pPr>
            <w:r w:rsidRPr="007C705C">
              <w:rPr>
                <w:rFonts w:cs="Times New Roman"/>
                <w:color w:val="000000"/>
                <w:sz w:val="20"/>
                <w:szCs w:val="20"/>
                <w:lang w:val="cs-CZ"/>
              </w:rPr>
              <w:t>Proplacená částka (Kč)</w:t>
            </w:r>
          </w:p>
        </w:tc>
        <w:tc>
          <w:tcPr>
            <w:tcW w:w="1713" w:type="dxa"/>
            <w:tcBorders>
              <w:top w:val="nil"/>
              <w:left w:val="nil"/>
              <w:bottom w:val="single" w:sz="8" w:space="0" w:color="auto"/>
              <w:right w:val="single" w:sz="4" w:space="0" w:color="auto"/>
            </w:tcBorders>
            <w:shd w:val="clear" w:color="auto" w:fill="auto"/>
            <w:noWrap/>
            <w:vAlign w:val="center"/>
            <w:hideMark/>
          </w:tcPr>
          <w:p w14:paraId="587CC0EA" w14:textId="77777777" w:rsidR="003E0F58" w:rsidRPr="007C705C" w:rsidRDefault="003E0F58" w:rsidP="009D2725">
            <w:pPr>
              <w:jc w:val="center"/>
              <w:rPr>
                <w:rFonts w:cs="Times New Roman"/>
                <w:color w:val="000000"/>
                <w:sz w:val="20"/>
                <w:szCs w:val="20"/>
                <w:lang w:val="cs-CZ"/>
              </w:rPr>
            </w:pPr>
            <w:r w:rsidRPr="007C705C">
              <w:rPr>
                <w:rFonts w:cs="Times New Roman"/>
                <w:color w:val="000000"/>
                <w:sz w:val="20"/>
                <w:szCs w:val="20"/>
                <w:lang w:val="cs-CZ"/>
              </w:rPr>
              <w:t>25 006 612</w:t>
            </w:r>
          </w:p>
        </w:tc>
        <w:tc>
          <w:tcPr>
            <w:tcW w:w="1518" w:type="dxa"/>
            <w:tcBorders>
              <w:top w:val="nil"/>
              <w:left w:val="nil"/>
              <w:bottom w:val="single" w:sz="8" w:space="0" w:color="auto"/>
              <w:right w:val="single" w:sz="4" w:space="0" w:color="auto"/>
            </w:tcBorders>
          </w:tcPr>
          <w:p w14:paraId="4501B975" w14:textId="77777777" w:rsidR="003E0F58" w:rsidRPr="007C705C" w:rsidRDefault="003E0F58" w:rsidP="009D2725">
            <w:pPr>
              <w:jc w:val="center"/>
              <w:rPr>
                <w:rFonts w:cs="Times New Roman"/>
                <w:color w:val="000000"/>
                <w:sz w:val="20"/>
                <w:szCs w:val="20"/>
                <w:lang w:val="cs-CZ"/>
              </w:rPr>
            </w:pPr>
            <w:r w:rsidRPr="007C705C">
              <w:rPr>
                <w:rFonts w:cs="Times New Roman"/>
                <w:color w:val="000000"/>
                <w:sz w:val="20"/>
                <w:szCs w:val="20"/>
                <w:lang w:val="cs-CZ"/>
              </w:rPr>
              <w:t>22 457 242</w:t>
            </w:r>
          </w:p>
        </w:tc>
        <w:tc>
          <w:tcPr>
            <w:tcW w:w="1539" w:type="dxa"/>
            <w:tcBorders>
              <w:top w:val="nil"/>
              <w:left w:val="nil"/>
              <w:bottom w:val="single" w:sz="8" w:space="0" w:color="auto"/>
              <w:right w:val="single" w:sz="4" w:space="0" w:color="auto"/>
            </w:tcBorders>
          </w:tcPr>
          <w:p w14:paraId="6E349F48" w14:textId="77777777" w:rsidR="003E0F58" w:rsidRPr="007C705C" w:rsidRDefault="003E0F58" w:rsidP="009D2725">
            <w:pPr>
              <w:jc w:val="center"/>
              <w:rPr>
                <w:rFonts w:cs="Times New Roman"/>
                <w:color w:val="000000"/>
                <w:sz w:val="20"/>
                <w:szCs w:val="20"/>
                <w:lang w:val="cs-CZ"/>
              </w:rPr>
            </w:pPr>
            <w:r w:rsidRPr="007C705C">
              <w:rPr>
                <w:rFonts w:cs="Times New Roman"/>
                <w:color w:val="000000"/>
                <w:sz w:val="20"/>
                <w:szCs w:val="20"/>
                <w:lang w:val="cs-CZ"/>
              </w:rPr>
              <w:t>0</w:t>
            </w:r>
          </w:p>
        </w:tc>
        <w:tc>
          <w:tcPr>
            <w:tcW w:w="1428" w:type="dxa"/>
            <w:tcBorders>
              <w:top w:val="nil"/>
              <w:left w:val="nil"/>
              <w:bottom w:val="single" w:sz="8" w:space="0" w:color="auto"/>
              <w:right w:val="single" w:sz="4" w:space="0" w:color="auto"/>
            </w:tcBorders>
          </w:tcPr>
          <w:p w14:paraId="73CF8EEE" w14:textId="77777777" w:rsidR="003E0F58" w:rsidRPr="007C705C" w:rsidRDefault="003E0F58" w:rsidP="009D2725">
            <w:pPr>
              <w:jc w:val="center"/>
              <w:rPr>
                <w:rFonts w:cs="Times New Roman"/>
                <w:color w:val="000000"/>
                <w:sz w:val="20"/>
                <w:szCs w:val="20"/>
                <w:lang w:val="cs-CZ"/>
              </w:rPr>
            </w:pPr>
            <w:r w:rsidRPr="007C705C">
              <w:rPr>
                <w:rFonts w:cs="Times New Roman"/>
                <w:color w:val="000000"/>
                <w:sz w:val="20"/>
                <w:szCs w:val="20"/>
                <w:lang w:val="cs-CZ"/>
              </w:rPr>
              <w:t>0</w:t>
            </w:r>
          </w:p>
        </w:tc>
      </w:tr>
    </w:tbl>
    <w:p w14:paraId="4E9225E3" w14:textId="2B97CFA2" w:rsidR="003E0F58" w:rsidRPr="007C705C" w:rsidRDefault="003E0F58" w:rsidP="009D2725">
      <w:pPr>
        <w:pStyle w:val="UZEIZdroj"/>
      </w:pPr>
      <w:r w:rsidRPr="007C705C">
        <w:t>Pozn.: Stav k 30.</w:t>
      </w:r>
      <w:r w:rsidR="00601C1D">
        <w:t xml:space="preserve"> </w:t>
      </w:r>
      <w:r w:rsidRPr="007C705C">
        <w:t>6.</w:t>
      </w:r>
      <w:r w:rsidR="00601C1D">
        <w:t xml:space="preserve"> </w:t>
      </w:r>
      <w:r w:rsidRPr="007C705C">
        <w:t>2020</w:t>
      </w:r>
    </w:p>
    <w:p w14:paraId="57C45299" w14:textId="6C4D7A2E" w:rsidR="003E0F58" w:rsidRPr="007C705C" w:rsidRDefault="009D2725" w:rsidP="009D2725">
      <w:pPr>
        <w:pStyle w:val="UZEITaB"/>
        <w:rPr>
          <w:rFonts w:eastAsia="Calibri"/>
        </w:rPr>
      </w:pPr>
      <w:bookmarkStart w:id="460" w:name="_Toc15309864"/>
      <w:bookmarkStart w:id="461" w:name="_Toc77245867"/>
      <w:r>
        <w:rPr>
          <w:rFonts w:eastAsia="Calibri"/>
        </w:rPr>
        <w:t xml:space="preserve"> </w:t>
      </w:r>
      <w:bookmarkStart w:id="462" w:name="_Toc94181634"/>
      <w:r w:rsidR="003E0F58" w:rsidRPr="007C705C">
        <w:rPr>
          <w:rFonts w:eastAsia="Calibri"/>
        </w:rPr>
        <w:t>Kvantifikované cíle operace 8.3.1</w:t>
      </w:r>
      <w:bookmarkEnd w:id="460"/>
      <w:bookmarkEnd w:id="461"/>
      <w:bookmarkEnd w:id="462"/>
      <w:r w:rsidR="003E0F58" w:rsidRPr="007C705C">
        <w:rPr>
          <w:rFonts w:eastAsia="Calibri"/>
        </w:rPr>
        <w:t xml:space="preserve"> </w:t>
      </w:r>
    </w:p>
    <w:tbl>
      <w:tblPr>
        <w:tblW w:w="8783" w:type="dxa"/>
        <w:tblInd w:w="-5" w:type="dxa"/>
        <w:tblCellMar>
          <w:left w:w="70" w:type="dxa"/>
          <w:right w:w="70" w:type="dxa"/>
        </w:tblCellMar>
        <w:tblLook w:val="04A0" w:firstRow="1" w:lastRow="0" w:firstColumn="1" w:lastColumn="0" w:noHBand="0" w:noVBand="1"/>
      </w:tblPr>
      <w:tblGrid>
        <w:gridCol w:w="2305"/>
        <w:gridCol w:w="1301"/>
        <w:gridCol w:w="3598"/>
        <w:gridCol w:w="1579"/>
      </w:tblGrid>
      <w:tr w:rsidR="003E0F58" w:rsidRPr="007C705C" w14:paraId="6EEE2819" w14:textId="77777777" w:rsidTr="009D2725">
        <w:trPr>
          <w:trHeight w:val="582"/>
        </w:trPr>
        <w:tc>
          <w:tcPr>
            <w:tcW w:w="2305" w:type="dxa"/>
            <w:tcBorders>
              <w:top w:val="single" w:sz="4" w:space="0" w:color="auto"/>
              <w:left w:val="single" w:sz="4" w:space="0" w:color="auto"/>
              <w:bottom w:val="single" w:sz="4" w:space="0" w:color="000000"/>
              <w:right w:val="single" w:sz="4" w:space="0" w:color="auto"/>
            </w:tcBorders>
            <w:shd w:val="clear" w:color="auto" w:fill="auto"/>
            <w:hideMark/>
          </w:tcPr>
          <w:p w14:paraId="21A1AF52" w14:textId="77777777" w:rsidR="003E0F58" w:rsidRPr="009D2725" w:rsidRDefault="003E0F58" w:rsidP="004D2249">
            <w:pPr>
              <w:jc w:val="center"/>
              <w:rPr>
                <w:rFonts w:cs="Times New Roman"/>
                <w:b/>
                <w:bCs/>
                <w:color w:val="000000"/>
                <w:sz w:val="20"/>
                <w:lang w:val="cs-CZ"/>
              </w:rPr>
            </w:pPr>
            <w:r w:rsidRPr="009D2725">
              <w:rPr>
                <w:rFonts w:cs="Times New Roman"/>
                <w:b/>
                <w:bCs/>
                <w:color w:val="000000"/>
                <w:sz w:val="20"/>
                <w:lang w:val="cs-CZ"/>
              </w:rPr>
              <w:t>Cíl operace</w:t>
            </w:r>
          </w:p>
        </w:tc>
        <w:tc>
          <w:tcPr>
            <w:tcW w:w="1301" w:type="dxa"/>
            <w:tcBorders>
              <w:top w:val="single" w:sz="4" w:space="0" w:color="auto"/>
              <w:left w:val="nil"/>
              <w:bottom w:val="single" w:sz="4" w:space="0" w:color="auto"/>
              <w:right w:val="single" w:sz="4" w:space="0" w:color="auto"/>
            </w:tcBorders>
            <w:shd w:val="clear" w:color="auto" w:fill="auto"/>
            <w:noWrap/>
            <w:hideMark/>
          </w:tcPr>
          <w:p w14:paraId="52CF9A4E" w14:textId="77777777" w:rsidR="003E0F58" w:rsidRPr="009D2725" w:rsidRDefault="003E0F58" w:rsidP="004D2249">
            <w:pPr>
              <w:jc w:val="center"/>
              <w:rPr>
                <w:rFonts w:cs="Times New Roman"/>
                <w:b/>
                <w:bCs/>
                <w:color w:val="000000"/>
                <w:sz w:val="20"/>
                <w:lang w:val="cs-CZ"/>
              </w:rPr>
            </w:pPr>
            <w:r w:rsidRPr="009D2725">
              <w:rPr>
                <w:rFonts w:cs="Times New Roman"/>
                <w:b/>
                <w:bCs/>
                <w:color w:val="000000"/>
                <w:sz w:val="20"/>
                <w:lang w:val="cs-CZ"/>
              </w:rPr>
              <w:t>Typ indikátoru</w:t>
            </w:r>
          </w:p>
        </w:tc>
        <w:tc>
          <w:tcPr>
            <w:tcW w:w="3598" w:type="dxa"/>
            <w:tcBorders>
              <w:top w:val="single" w:sz="4" w:space="0" w:color="auto"/>
              <w:left w:val="nil"/>
              <w:bottom w:val="single" w:sz="4" w:space="0" w:color="auto"/>
              <w:right w:val="single" w:sz="4" w:space="0" w:color="auto"/>
            </w:tcBorders>
            <w:shd w:val="clear" w:color="auto" w:fill="auto"/>
            <w:hideMark/>
          </w:tcPr>
          <w:p w14:paraId="015F810D" w14:textId="77777777" w:rsidR="003E0F58" w:rsidRPr="009D2725" w:rsidRDefault="003E0F58" w:rsidP="004D2249">
            <w:pPr>
              <w:jc w:val="center"/>
              <w:rPr>
                <w:rFonts w:cs="Times New Roman"/>
                <w:b/>
                <w:bCs/>
                <w:color w:val="000000"/>
                <w:sz w:val="20"/>
                <w:lang w:val="cs-CZ"/>
              </w:rPr>
            </w:pPr>
            <w:r w:rsidRPr="009D2725">
              <w:rPr>
                <w:rFonts w:cs="Times New Roman"/>
                <w:b/>
                <w:bCs/>
                <w:color w:val="000000"/>
                <w:sz w:val="20"/>
                <w:lang w:val="cs-CZ"/>
              </w:rPr>
              <w:t>Název indikátoru</w:t>
            </w:r>
          </w:p>
        </w:tc>
        <w:tc>
          <w:tcPr>
            <w:tcW w:w="1579" w:type="dxa"/>
            <w:tcBorders>
              <w:top w:val="single" w:sz="4" w:space="0" w:color="auto"/>
              <w:left w:val="nil"/>
              <w:bottom w:val="single" w:sz="4" w:space="0" w:color="auto"/>
              <w:right w:val="single" w:sz="4" w:space="0" w:color="auto"/>
            </w:tcBorders>
            <w:shd w:val="clear" w:color="auto" w:fill="auto"/>
            <w:hideMark/>
          </w:tcPr>
          <w:p w14:paraId="47E6739D" w14:textId="77777777" w:rsidR="003E0F58" w:rsidRPr="009D2725" w:rsidRDefault="003E0F58" w:rsidP="004D2249">
            <w:pPr>
              <w:jc w:val="center"/>
              <w:rPr>
                <w:rFonts w:cs="Times New Roman"/>
                <w:b/>
                <w:bCs/>
                <w:color w:val="000000"/>
                <w:sz w:val="20"/>
                <w:lang w:val="cs-CZ"/>
              </w:rPr>
            </w:pPr>
            <w:r w:rsidRPr="009D2725">
              <w:rPr>
                <w:rFonts w:cs="Times New Roman"/>
                <w:b/>
                <w:bCs/>
                <w:color w:val="000000"/>
                <w:sz w:val="20"/>
                <w:lang w:val="cs-CZ"/>
              </w:rPr>
              <w:t>Kvantifikace</w:t>
            </w:r>
          </w:p>
        </w:tc>
      </w:tr>
      <w:tr w:rsidR="003E0F58" w:rsidRPr="007C705C" w14:paraId="454B7FF6" w14:textId="77777777" w:rsidTr="009D2725">
        <w:trPr>
          <w:trHeight w:val="548"/>
        </w:trPr>
        <w:tc>
          <w:tcPr>
            <w:tcW w:w="2305" w:type="dxa"/>
            <w:vMerge w:val="restart"/>
            <w:tcBorders>
              <w:top w:val="nil"/>
              <w:left w:val="single" w:sz="4" w:space="0" w:color="auto"/>
              <w:bottom w:val="single" w:sz="4" w:space="0" w:color="000000"/>
              <w:right w:val="single" w:sz="4" w:space="0" w:color="auto"/>
            </w:tcBorders>
            <w:shd w:val="clear" w:color="auto" w:fill="auto"/>
            <w:hideMark/>
          </w:tcPr>
          <w:p w14:paraId="41853920" w14:textId="77777777" w:rsidR="003E0F58" w:rsidRPr="007C705C" w:rsidRDefault="003E0F58" w:rsidP="004D2249">
            <w:pPr>
              <w:jc w:val="center"/>
              <w:rPr>
                <w:rFonts w:cs="Times New Roman"/>
                <w:color w:val="000000"/>
                <w:sz w:val="20"/>
                <w:lang w:val="cs-CZ"/>
              </w:rPr>
            </w:pPr>
            <w:r w:rsidRPr="007C705C">
              <w:rPr>
                <w:rFonts w:cs="Times New Roman"/>
                <w:color w:val="000000"/>
                <w:sz w:val="20"/>
                <w:lang w:val="cs-CZ"/>
              </w:rPr>
              <w:t>Operativní cíl - Podpořit investice předcházející poškozování lesů přírodními katastrofami</w:t>
            </w:r>
          </w:p>
        </w:tc>
        <w:tc>
          <w:tcPr>
            <w:tcW w:w="1301" w:type="dxa"/>
            <w:tcBorders>
              <w:top w:val="nil"/>
              <w:left w:val="nil"/>
              <w:bottom w:val="single" w:sz="4" w:space="0" w:color="auto"/>
              <w:right w:val="single" w:sz="4" w:space="0" w:color="auto"/>
            </w:tcBorders>
            <w:shd w:val="clear" w:color="auto" w:fill="auto"/>
            <w:noWrap/>
            <w:hideMark/>
          </w:tcPr>
          <w:p w14:paraId="2EED45C9" w14:textId="77777777" w:rsidR="003E0F58" w:rsidRPr="007C705C" w:rsidRDefault="003E0F58" w:rsidP="004D2249">
            <w:pPr>
              <w:jc w:val="center"/>
              <w:rPr>
                <w:rFonts w:cs="Times New Roman"/>
                <w:color w:val="000000"/>
                <w:sz w:val="20"/>
                <w:lang w:val="cs-CZ"/>
              </w:rPr>
            </w:pPr>
            <w:r w:rsidRPr="007C705C">
              <w:rPr>
                <w:rFonts w:cs="Times New Roman"/>
                <w:color w:val="000000"/>
                <w:sz w:val="20"/>
                <w:lang w:val="cs-CZ"/>
              </w:rPr>
              <w:t>Výstup</w:t>
            </w:r>
          </w:p>
        </w:tc>
        <w:tc>
          <w:tcPr>
            <w:tcW w:w="3598" w:type="dxa"/>
            <w:tcBorders>
              <w:top w:val="nil"/>
              <w:left w:val="nil"/>
              <w:bottom w:val="single" w:sz="4" w:space="0" w:color="auto"/>
              <w:right w:val="single" w:sz="4" w:space="0" w:color="auto"/>
            </w:tcBorders>
            <w:shd w:val="clear" w:color="auto" w:fill="auto"/>
            <w:hideMark/>
          </w:tcPr>
          <w:p w14:paraId="5F9AFC98" w14:textId="77777777" w:rsidR="003E0F58" w:rsidRPr="007C705C" w:rsidRDefault="003E0F58" w:rsidP="004D2249">
            <w:pPr>
              <w:jc w:val="center"/>
              <w:rPr>
                <w:rFonts w:cs="Times New Roman"/>
                <w:color w:val="000000"/>
                <w:sz w:val="20"/>
                <w:lang w:val="cs-CZ"/>
              </w:rPr>
            </w:pPr>
            <w:r w:rsidRPr="007C705C">
              <w:rPr>
                <w:rFonts w:cs="Times New Roman"/>
                <w:bCs/>
                <w:color w:val="000000"/>
                <w:sz w:val="20"/>
                <w:lang w:val="cs-CZ"/>
              </w:rPr>
              <w:t>Počet podpořených příjemců pro preventivní opatření (8.3)</w:t>
            </w:r>
          </w:p>
        </w:tc>
        <w:tc>
          <w:tcPr>
            <w:tcW w:w="1579" w:type="dxa"/>
            <w:tcBorders>
              <w:top w:val="nil"/>
              <w:left w:val="nil"/>
              <w:bottom w:val="single" w:sz="4" w:space="0" w:color="auto"/>
              <w:right w:val="single" w:sz="4" w:space="0" w:color="auto"/>
            </w:tcBorders>
            <w:shd w:val="clear" w:color="auto" w:fill="auto"/>
            <w:hideMark/>
          </w:tcPr>
          <w:p w14:paraId="57D9457C" w14:textId="77777777" w:rsidR="003E0F58" w:rsidRPr="007C705C" w:rsidRDefault="003E0F58" w:rsidP="004D2249">
            <w:pPr>
              <w:jc w:val="center"/>
              <w:rPr>
                <w:rFonts w:cs="Times New Roman"/>
                <w:color w:val="000000"/>
                <w:sz w:val="20"/>
                <w:lang w:val="cs-CZ"/>
              </w:rPr>
            </w:pPr>
            <w:r w:rsidRPr="007C705C">
              <w:rPr>
                <w:rFonts w:cs="Times New Roman"/>
                <w:color w:val="000000"/>
                <w:sz w:val="20"/>
                <w:lang w:val="cs-CZ"/>
              </w:rPr>
              <w:t>70</w:t>
            </w:r>
          </w:p>
        </w:tc>
      </w:tr>
      <w:tr w:rsidR="003E0F58" w:rsidRPr="007C705C" w14:paraId="2A6924D9" w14:textId="77777777" w:rsidTr="009D2725">
        <w:trPr>
          <w:trHeight w:val="428"/>
        </w:trPr>
        <w:tc>
          <w:tcPr>
            <w:tcW w:w="2305" w:type="dxa"/>
            <w:vMerge/>
            <w:tcBorders>
              <w:top w:val="nil"/>
              <w:left w:val="single" w:sz="4" w:space="0" w:color="auto"/>
              <w:bottom w:val="single" w:sz="4" w:space="0" w:color="000000"/>
              <w:right w:val="single" w:sz="4" w:space="0" w:color="auto"/>
            </w:tcBorders>
            <w:hideMark/>
          </w:tcPr>
          <w:p w14:paraId="7C78D901" w14:textId="77777777" w:rsidR="003E0F58" w:rsidRPr="007C705C" w:rsidRDefault="003E0F58" w:rsidP="004D2249">
            <w:pPr>
              <w:jc w:val="center"/>
              <w:rPr>
                <w:rFonts w:cs="Times New Roman"/>
                <w:color w:val="000000"/>
                <w:sz w:val="20"/>
                <w:lang w:val="cs-CZ"/>
              </w:rPr>
            </w:pPr>
          </w:p>
        </w:tc>
        <w:tc>
          <w:tcPr>
            <w:tcW w:w="1301" w:type="dxa"/>
            <w:tcBorders>
              <w:top w:val="nil"/>
              <w:left w:val="nil"/>
              <w:bottom w:val="single" w:sz="4" w:space="0" w:color="auto"/>
              <w:right w:val="single" w:sz="4" w:space="0" w:color="auto"/>
            </w:tcBorders>
            <w:shd w:val="clear" w:color="auto" w:fill="auto"/>
            <w:noWrap/>
            <w:hideMark/>
          </w:tcPr>
          <w:p w14:paraId="4329F6FF" w14:textId="77777777" w:rsidR="003E0F58" w:rsidRPr="007C705C" w:rsidRDefault="003E0F58" w:rsidP="004D2249">
            <w:pPr>
              <w:jc w:val="center"/>
              <w:rPr>
                <w:rFonts w:cs="Times New Roman"/>
                <w:color w:val="000000"/>
                <w:sz w:val="20"/>
                <w:lang w:val="cs-CZ"/>
              </w:rPr>
            </w:pPr>
            <w:r w:rsidRPr="007C705C">
              <w:rPr>
                <w:rFonts w:cs="Times New Roman"/>
                <w:color w:val="000000"/>
                <w:sz w:val="20"/>
                <w:lang w:val="cs-CZ"/>
              </w:rPr>
              <w:t>Výstup</w:t>
            </w:r>
          </w:p>
        </w:tc>
        <w:tc>
          <w:tcPr>
            <w:tcW w:w="3598" w:type="dxa"/>
            <w:tcBorders>
              <w:top w:val="nil"/>
              <w:left w:val="nil"/>
              <w:bottom w:val="single" w:sz="4" w:space="0" w:color="auto"/>
              <w:right w:val="single" w:sz="4" w:space="0" w:color="auto"/>
            </w:tcBorders>
            <w:shd w:val="clear" w:color="auto" w:fill="auto"/>
            <w:hideMark/>
          </w:tcPr>
          <w:p w14:paraId="3BF56363" w14:textId="77777777" w:rsidR="003E0F58" w:rsidRPr="007C705C" w:rsidRDefault="003E0F58" w:rsidP="004D2249">
            <w:pPr>
              <w:jc w:val="center"/>
              <w:rPr>
                <w:rFonts w:cs="Times New Roman"/>
                <w:color w:val="000000"/>
                <w:sz w:val="20"/>
                <w:lang w:val="cs-CZ"/>
              </w:rPr>
            </w:pPr>
            <w:r w:rsidRPr="007C705C">
              <w:rPr>
                <w:rFonts w:cs="Times New Roman"/>
                <w:bCs/>
                <w:color w:val="000000"/>
                <w:sz w:val="20"/>
                <w:lang w:val="cs-CZ"/>
              </w:rPr>
              <w:t>Celkové veřejné výdaje (EUR) (8.3)</w:t>
            </w:r>
          </w:p>
        </w:tc>
        <w:tc>
          <w:tcPr>
            <w:tcW w:w="1579" w:type="dxa"/>
            <w:tcBorders>
              <w:top w:val="nil"/>
              <w:left w:val="nil"/>
              <w:bottom w:val="single" w:sz="4" w:space="0" w:color="auto"/>
              <w:right w:val="single" w:sz="4" w:space="0" w:color="auto"/>
            </w:tcBorders>
            <w:shd w:val="clear" w:color="auto" w:fill="auto"/>
            <w:hideMark/>
          </w:tcPr>
          <w:p w14:paraId="4FF2A322" w14:textId="77777777" w:rsidR="003E0F58" w:rsidRPr="007C705C" w:rsidRDefault="003E0F58" w:rsidP="004D2249">
            <w:pPr>
              <w:jc w:val="center"/>
              <w:rPr>
                <w:rFonts w:cs="Times New Roman"/>
                <w:color w:val="000000"/>
                <w:sz w:val="20"/>
                <w:lang w:val="cs-CZ"/>
              </w:rPr>
            </w:pPr>
            <w:r w:rsidRPr="007C705C">
              <w:rPr>
                <w:rFonts w:cs="Times New Roman"/>
                <w:bCs/>
                <w:color w:val="000000"/>
                <w:sz w:val="20"/>
                <w:lang w:val="cs-CZ"/>
              </w:rPr>
              <w:t>3 600 000</w:t>
            </w:r>
          </w:p>
        </w:tc>
      </w:tr>
    </w:tbl>
    <w:p w14:paraId="1EB755FA" w14:textId="44FD5BC3" w:rsidR="003E0F58" w:rsidRPr="007C705C" w:rsidRDefault="003E0F58" w:rsidP="009D2725">
      <w:pPr>
        <w:pStyle w:val="UZEINormaln"/>
        <w:rPr>
          <w:rFonts w:eastAsia="Calibri"/>
        </w:rPr>
      </w:pPr>
      <w:r w:rsidRPr="007C705C">
        <w:rPr>
          <w:rFonts w:eastAsia="Calibri"/>
        </w:rPr>
        <w:t xml:space="preserve">U operace 8.1.u výstupu byla stanovena kvantifikace 70 příjemců. V současné době za roky 2016 až 2018 je evidováno 26 projektů od 15 unikátních příjemců, tzn., že se jedná o plnění ve výši 21,3 % nebo příp. 37,14 %, pokud by se započítával počet projektů. Za toto období 2016-2018 je požadováno 2 795 171 EUR, tzn., že se jedná o plnění ve výši 77,64 %. </w:t>
      </w:r>
    </w:p>
    <w:p w14:paraId="528225CC" w14:textId="44250FE7" w:rsidR="003E0F58" w:rsidRPr="009D2725" w:rsidRDefault="003E0F58" w:rsidP="009D2725">
      <w:pPr>
        <w:pStyle w:val="UZEINormaln"/>
        <w:rPr>
          <w:rFonts w:eastAsia="Calibri"/>
        </w:rPr>
      </w:pPr>
      <w:r w:rsidRPr="007C705C">
        <w:rPr>
          <w:rFonts w:eastAsia="Calibri"/>
        </w:rPr>
        <w:t>Podpora v rámci „8.4.2. Odstraňovaní škod způsobených povodněmi“ má podpořit snížení rozsahu škod způsobených přírodními katastrofami a katastrofickými událostmi. V rámci této operace je podporováno odstraňování škod způsobených povodněmi na malých vodních tocích a v jejich povodích, např. odstranění povodňových nánosů, usměrnění koryta vodního toku, oprava poškozených vodních děl, odstraňování škod způsobených povodněmi na objektech hrazení bystřin a hrazení a stabilizace strží, na lesních cestách a souvisejících objektech. Operace je navrhována k integraci do operace určené k podpoře protierozních, protipovodňových a retenčních opatření v lesích, a do operace určené k rozvoji lesnické infrastruktury.</w:t>
      </w:r>
    </w:p>
    <w:p w14:paraId="65F0DB73" w14:textId="5B86E4CE" w:rsidR="003E0F58" w:rsidRPr="007C705C" w:rsidRDefault="009D2725" w:rsidP="009D2725">
      <w:pPr>
        <w:pStyle w:val="UZEITaB"/>
        <w:rPr>
          <w:rFonts w:eastAsia="Calibri"/>
        </w:rPr>
      </w:pPr>
      <w:bookmarkStart w:id="463" w:name="_Toc15309865"/>
      <w:bookmarkStart w:id="464" w:name="_Toc77245868"/>
      <w:r>
        <w:rPr>
          <w:rFonts w:eastAsia="Calibri"/>
        </w:rPr>
        <w:t xml:space="preserve">  </w:t>
      </w:r>
      <w:bookmarkStart w:id="465" w:name="_Toc94181635"/>
      <w:r w:rsidR="003E0F58" w:rsidRPr="007C705C">
        <w:rPr>
          <w:rFonts w:eastAsia="Calibri"/>
        </w:rPr>
        <w:t>Celkový stav implementace operace 8.4.2 – alokace 2 592 000 EUR (67 392 000 Kč)</w:t>
      </w:r>
      <w:bookmarkEnd w:id="463"/>
      <w:bookmarkEnd w:id="464"/>
      <w:bookmarkEnd w:id="465"/>
    </w:p>
    <w:tbl>
      <w:tblPr>
        <w:tblW w:w="9913" w:type="dxa"/>
        <w:tblInd w:w="-10" w:type="dxa"/>
        <w:tblCellMar>
          <w:left w:w="70" w:type="dxa"/>
          <w:right w:w="70" w:type="dxa"/>
        </w:tblCellMar>
        <w:tblLook w:val="04A0" w:firstRow="1" w:lastRow="0" w:firstColumn="1" w:lastColumn="0" w:noHBand="0" w:noVBand="1"/>
      </w:tblPr>
      <w:tblGrid>
        <w:gridCol w:w="3392"/>
        <w:gridCol w:w="1560"/>
        <w:gridCol w:w="1559"/>
        <w:gridCol w:w="1843"/>
        <w:gridCol w:w="1559"/>
      </w:tblGrid>
      <w:tr w:rsidR="003E0F58" w:rsidRPr="007C705C" w14:paraId="247E08E4" w14:textId="77777777" w:rsidTr="009D2725">
        <w:trPr>
          <w:trHeight w:val="227"/>
        </w:trPr>
        <w:tc>
          <w:tcPr>
            <w:tcW w:w="3392" w:type="dxa"/>
            <w:tcBorders>
              <w:top w:val="single" w:sz="8" w:space="0" w:color="auto"/>
              <w:left w:val="single" w:sz="8" w:space="0" w:color="auto"/>
              <w:bottom w:val="single" w:sz="4" w:space="0" w:color="auto"/>
              <w:right w:val="single" w:sz="4" w:space="0" w:color="auto"/>
            </w:tcBorders>
            <w:shd w:val="clear" w:color="auto" w:fill="auto"/>
            <w:vAlign w:val="bottom"/>
            <w:hideMark/>
          </w:tcPr>
          <w:p w14:paraId="641FAA89" w14:textId="77777777" w:rsidR="003E0F58" w:rsidRPr="007C705C" w:rsidRDefault="003E0F58" w:rsidP="004D2249">
            <w:pPr>
              <w:rPr>
                <w:rFonts w:cs="Times New Roman"/>
                <w:bCs/>
                <w:color w:val="000000"/>
                <w:sz w:val="20"/>
                <w:szCs w:val="20"/>
                <w:lang w:val="cs-CZ"/>
              </w:rPr>
            </w:pPr>
            <w:bookmarkStart w:id="466" w:name="_Toc15309866"/>
            <w:r w:rsidRPr="007C705C">
              <w:rPr>
                <w:rFonts w:cs="Times New Roman"/>
                <w:color w:val="000000"/>
                <w:sz w:val="20"/>
                <w:szCs w:val="20"/>
                <w:lang w:val="cs-CZ"/>
              </w:rPr>
              <w:t>Operace 8.4.2</w:t>
            </w:r>
          </w:p>
        </w:tc>
        <w:tc>
          <w:tcPr>
            <w:tcW w:w="1560" w:type="dxa"/>
            <w:tcBorders>
              <w:top w:val="single" w:sz="8" w:space="0" w:color="auto"/>
              <w:left w:val="nil"/>
              <w:bottom w:val="single" w:sz="4" w:space="0" w:color="auto"/>
              <w:right w:val="single" w:sz="4" w:space="0" w:color="auto"/>
            </w:tcBorders>
            <w:shd w:val="clear" w:color="auto" w:fill="auto"/>
            <w:noWrap/>
            <w:vAlign w:val="center"/>
            <w:hideMark/>
          </w:tcPr>
          <w:p w14:paraId="2DDE28DB" w14:textId="77777777" w:rsidR="003E0F58" w:rsidRPr="007C705C" w:rsidRDefault="003E0F58" w:rsidP="004D2249">
            <w:pPr>
              <w:jc w:val="center"/>
              <w:rPr>
                <w:rFonts w:cs="Times New Roman"/>
                <w:bCs/>
                <w:color w:val="000000"/>
                <w:sz w:val="20"/>
                <w:szCs w:val="20"/>
                <w:lang w:val="cs-CZ"/>
              </w:rPr>
            </w:pPr>
            <w:r w:rsidRPr="007C705C">
              <w:rPr>
                <w:rFonts w:cs="Times New Roman"/>
                <w:bCs/>
                <w:color w:val="000000"/>
                <w:sz w:val="20"/>
                <w:szCs w:val="20"/>
                <w:lang w:val="cs-CZ"/>
              </w:rPr>
              <w:t>2. kolo – V. 2016</w:t>
            </w:r>
          </w:p>
        </w:tc>
        <w:tc>
          <w:tcPr>
            <w:tcW w:w="1559" w:type="dxa"/>
            <w:tcBorders>
              <w:top w:val="single" w:sz="8" w:space="0" w:color="auto"/>
              <w:left w:val="nil"/>
              <w:bottom w:val="single" w:sz="4" w:space="0" w:color="auto"/>
              <w:right w:val="single" w:sz="4" w:space="0" w:color="auto"/>
            </w:tcBorders>
          </w:tcPr>
          <w:p w14:paraId="3ED2204B" w14:textId="77777777" w:rsidR="003E0F58" w:rsidRPr="007C705C" w:rsidRDefault="003E0F58" w:rsidP="004D2249">
            <w:pPr>
              <w:jc w:val="center"/>
              <w:rPr>
                <w:rFonts w:cs="Times New Roman"/>
                <w:bCs/>
                <w:color w:val="000000"/>
                <w:sz w:val="20"/>
                <w:szCs w:val="20"/>
                <w:lang w:val="cs-CZ"/>
              </w:rPr>
            </w:pPr>
            <w:r w:rsidRPr="007C705C">
              <w:rPr>
                <w:rFonts w:cs="Times New Roman"/>
                <w:bCs/>
                <w:color w:val="000000"/>
                <w:sz w:val="20"/>
                <w:szCs w:val="20"/>
                <w:lang w:val="cs-CZ"/>
              </w:rPr>
              <w:t>4. kolo - 2017</w:t>
            </w:r>
          </w:p>
        </w:tc>
        <w:tc>
          <w:tcPr>
            <w:tcW w:w="1843" w:type="dxa"/>
            <w:tcBorders>
              <w:top w:val="single" w:sz="8" w:space="0" w:color="auto"/>
              <w:left w:val="nil"/>
              <w:bottom w:val="single" w:sz="4" w:space="0" w:color="auto"/>
              <w:right w:val="single" w:sz="4" w:space="0" w:color="auto"/>
            </w:tcBorders>
          </w:tcPr>
          <w:p w14:paraId="1E2DA2B5" w14:textId="77777777" w:rsidR="003E0F58" w:rsidRPr="007C705C" w:rsidRDefault="003E0F58" w:rsidP="004D2249">
            <w:pPr>
              <w:jc w:val="center"/>
              <w:rPr>
                <w:rFonts w:cs="Times New Roman"/>
                <w:bCs/>
                <w:color w:val="000000"/>
                <w:sz w:val="20"/>
                <w:szCs w:val="20"/>
                <w:lang w:val="cs-CZ"/>
              </w:rPr>
            </w:pPr>
            <w:r w:rsidRPr="007C705C">
              <w:rPr>
                <w:rFonts w:cs="Times New Roman"/>
                <w:bCs/>
                <w:color w:val="000000"/>
                <w:sz w:val="20"/>
                <w:szCs w:val="20"/>
                <w:lang w:val="cs-CZ"/>
              </w:rPr>
              <w:t>6. kolo – IV. 2018</w:t>
            </w:r>
          </w:p>
        </w:tc>
        <w:tc>
          <w:tcPr>
            <w:tcW w:w="1559" w:type="dxa"/>
            <w:tcBorders>
              <w:top w:val="single" w:sz="8" w:space="0" w:color="auto"/>
              <w:left w:val="nil"/>
              <w:bottom w:val="single" w:sz="4" w:space="0" w:color="auto"/>
              <w:right w:val="single" w:sz="4" w:space="0" w:color="auto"/>
            </w:tcBorders>
          </w:tcPr>
          <w:p w14:paraId="57C7BBD7" w14:textId="77777777" w:rsidR="003E0F58" w:rsidRPr="007C705C" w:rsidRDefault="003E0F58" w:rsidP="004D2249">
            <w:pPr>
              <w:jc w:val="center"/>
              <w:rPr>
                <w:rFonts w:cs="Times New Roman"/>
                <w:bCs/>
                <w:color w:val="000000"/>
                <w:sz w:val="20"/>
                <w:szCs w:val="20"/>
                <w:lang w:val="cs-CZ"/>
              </w:rPr>
            </w:pPr>
            <w:r w:rsidRPr="007C705C">
              <w:rPr>
                <w:rFonts w:cs="Times New Roman"/>
                <w:bCs/>
                <w:color w:val="000000"/>
                <w:sz w:val="20"/>
                <w:szCs w:val="20"/>
                <w:lang w:val="cs-CZ"/>
              </w:rPr>
              <w:t>8. kolo – X. 2019</w:t>
            </w:r>
          </w:p>
        </w:tc>
      </w:tr>
      <w:tr w:rsidR="003E0F58" w:rsidRPr="007C705C" w14:paraId="693A301F" w14:textId="77777777" w:rsidTr="009D2725">
        <w:trPr>
          <w:trHeight w:val="227"/>
        </w:trPr>
        <w:tc>
          <w:tcPr>
            <w:tcW w:w="3392" w:type="dxa"/>
            <w:tcBorders>
              <w:top w:val="nil"/>
              <w:left w:val="single" w:sz="8" w:space="0" w:color="auto"/>
              <w:bottom w:val="single" w:sz="4" w:space="0" w:color="auto"/>
              <w:right w:val="single" w:sz="4" w:space="0" w:color="auto"/>
            </w:tcBorders>
            <w:shd w:val="clear" w:color="auto" w:fill="auto"/>
            <w:vAlign w:val="center"/>
            <w:hideMark/>
          </w:tcPr>
          <w:p w14:paraId="1227C7E1" w14:textId="77777777" w:rsidR="003E0F58" w:rsidRPr="007C705C" w:rsidRDefault="003E0F58" w:rsidP="004D2249">
            <w:pPr>
              <w:rPr>
                <w:rFonts w:cs="Times New Roman"/>
                <w:color w:val="000000"/>
                <w:sz w:val="20"/>
                <w:szCs w:val="20"/>
                <w:lang w:val="cs-CZ"/>
              </w:rPr>
            </w:pPr>
            <w:r w:rsidRPr="007C705C">
              <w:rPr>
                <w:rFonts w:cs="Times New Roman"/>
                <w:color w:val="000000"/>
                <w:sz w:val="20"/>
                <w:szCs w:val="20"/>
                <w:lang w:val="cs-CZ"/>
              </w:rPr>
              <w:t>Počet zaregistrovaných projektů (ks)</w:t>
            </w:r>
          </w:p>
        </w:tc>
        <w:tc>
          <w:tcPr>
            <w:tcW w:w="1560" w:type="dxa"/>
            <w:tcBorders>
              <w:top w:val="nil"/>
              <w:left w:val="nil"/>
              <w:bottom w:val="single" w:sz="4" w:space="0" w:color="auto"/>
              <w:right w:val="single" w:sz="4" w:space="0" w:color="auto"/>
            </w:tcBorders>
            <w:shd w:val="clear" w:color="auto" w:fill="auto"/>
            <w:noWrap/>
            <w:vAlign w:val="center"/>
            <w:hideMark/>
          </w:tcPr>
          <w:p w14:paraId="1B2BCD4B" w14:textId="77777777" w:rsidR="003E0F58" w:rsidRPr="007C705C" w:rsidRDefault="003E0F58" w:rsidP="004D2249">
            <w:pPr>
              <w:jc w:val="center"/>
              <w:rPr>
                <w:rFonts w:cs="Times New Roman"/>
                <w:color w:val="000000"/>
                <w:sz w:val="20"/>
                <w:szCs w:val="20"/>
                <w:lang w:val="cs-CZ"/>
              </w:rPr>
            </w:pPr>
            <w:r w:rsidRPr="007C705C">
              <w:rPr>
                <w:rFonts w:cs="Times New Roman"/>
                <w:color w:val="000000"/>
                <w:sz w:val="20"/>
                <w:szCs w:val="20"/>
                <w:lang w:val="cs-CZ"/>
              </w:rPr>
              <w:t>7</w:t>
            </w:r>
          </w:p>
        </w:tc>
        <w:tc>
          <w:tcPr>
            <w:tcW w:w="1559" w:type="dxa"/>
            <w:tcBorders>
              <w:top w:val="nil"/>
              <w:left w:val="nil"/>
              <w:bottom w:val="single" w:sz="4" w:space="0" w:color="auto"/>
              <w:right w:val="single" w:sz="4" w:space="0" w:color="auto"/>
            </w:tcBorders>
          </w:tcPr>
          <w:p w14:paraId="7A6F85D1" w14:textId="77777777" w:rsidR="003E0F58" w:rsidRPr="007C705C" w:rsidRDefault="003E0F58" w:rsidP="004D2249">
            <w:pPr>
              <w:jc w:val="center"/>
              <w:rPr>
                <w:rFonts w:cs="Times New Roman"/>
                <w:color w:val="000000"/>
                <w:sz w:val="20"/>
                <w:szCs w:val="20"/>
                <w:lang w:val="cs-CZ"/>
              </w:rPr>
            </w:pPr>
            <w:r w:rsidRPr="007C705C">
              <w:rPr>
                <w:rFonts w:cs="Times New Roman"/>
                <w:color w:val="000000"/>
                <w:sz w:val="20"/>
                <w:szCs w:val="20"/>
                <w:lang w:val="cs-CZ"/>
              </w:rPr>
              <w:t>3</w:t>
            </w:r>
          </w:p>
        </w:tc>
        <w:tc>
          <w:tcPr>
            <w:tcW w:w="1843" w:type="dxa"/>
            <w:tcBorders>
              <w:top w:val="nil"/>
              <w:left w:val="nil"/>
              <w:bottom w:val="single" w:sz="4" w:space="0" w:color="auto"/>
              <w:right w:val="single" w:sz="4" w:space="0" w:color="auto"/>
            </w:tcBorders>
          </w:tcPr>
          <w:p w14:paraId="236D9F62" w14:textId="77777777" w:rsidR="003E0F58" w:rsidRPr="007C705C" w:rsidRDefault="003E0F58" w:rsidP="004D2249">
            <w:pPr>
              <w:jc w:val="center"/>
              <w:rPr>
                <w:rFonts w:cs="Times New Roman"/>
                <w:color w:val="000000"/>
                <w:sz w:val="20"/>
                <w:szCs w:val="20"/>
                <w:lang w:val="cs-CZ"/>
              </w:rPr>
            </w:pPr>
            <w:r w:rsidRPr="007C705C">
              <w:rPr>
                <w:rFonts w:cs="Times New Roman"/>
                <w:color w:val="000000"/>
                <w:sz w:val="20"/>
                <w:szCs w:val="20"/>
                <w:lang w:val="cs-CZ"/>
              </w:rPr>
              <w:t>4</w:t>
            </w:r>
          </w:p>
        </w:tc>
        <w:tc>
          <w:tcPr>
            <w:tcW w:w="1559" w:type="dxa"/>
            <w:tcBorders>
              <w:top w:val="nil"/>
              <w:left w:val="nil"/>
              <w:bottom w:val="single" w:sz="4" w:space="0" w:color="auto"/>
              <w:right w:val="single" w:sz="4" w:space="0" w:color="auto"/>
            </w:tcBorders>
          </w:tcPr>
          <w:p w14:paraId="3F884134" w14:textId="77777777" w:rsidR="003E0F58" w:rsidRPr="007C705C" w:rsidRDefault="003E0F58" w:rsidP="004D2249">
            <w:pPr>
              <w:jc w:val="center"/>
              <w:rPr>
                <w:rFonts w:cs="Times New Roman"/>
                <w:color w:val="000000"/>
                <w:sz w:val="20"/>
                <w:szCs w:val="20"/>
                <w:lang w:val="cs-CZ"/>
              </w:rPr>
            </w:pPr>
            <w:r w:rsidRPr="007C705C">
              <w:rPr>
                <w:rFonts w:cs="Times New Roman"/>
                <w:color w:val="000000"/>
                <w:sz w:val="20"/>
                <w:szCs w:val="20"/>
                <w:lang w:val="cs-CZ"/>
              </w:rPr>
              <w:t>3</w:t>
            </w:r>
          </w:p>
        </w:tc>
      </w:tr>
      <w:tr w:rsidR="003E0F58" w:rsidRPr="007C705C" w14:paraId="6AE50981" w14:textId="77777777" w:rsidTr="009D2725">
        <w:trPr>
          <w:trHeight w:val="227"/>
        </w:trPr>
        <w:tc>
          <w:tcPr>
            <w:tcW w:w="3392" w:type="dxa"/>
            <w:tcBorders>
              <w:top w:val="nil"/>
              <w:left w:val="single" w:sz="8" w:space="0" w:color="auto"/>
              <w:bottom w:val="single" w:sz="4" w:space="0" w:color="auto"/>
              <w:right w:val="single" w:sz="4" w:space="0" w:color="auto"/>
            </w:tcBorders>
            <w:shd w:val="clear" w:color="auto" w:fill="auto"/>
            <w:vAlign w:val="center"/>
            <w:hideMark/>
          </w:tcPr>
          <w:p w14:paraId="7854F2FE" w14:textId="77777777" w:rsidR="003E0F58" w:rsidRPr="007C705C" w:rsidRDefault="003E0F58" w:rsidP="004D2249">
            <w:pPr>
              <w:rPr>
                <w:rFonts w:cs="Times New Roman"/>
                <w:color w:val="000000"/>
                <w:sz w:val="20"/>
                <w:szCs w:val="20"/>
                <w:lang w:val="cs-CZ"/>
              </w:rPr>
            </w:pPr>
            <w:r w:rsidRPr="007C705C">
              <w:rPr>
                <w:rFonts w:cs="Times New Roman"/>
                <w:color w:val="000000"/>
                <w:sz w:val="20"/>
                <w:szCs w:val="20"/>
                <w:lang w:val="cs-CZ"/>
              </w:rPr>
              <w:t xml:space="preserve">Částka za zaregistrované projekty (Kč) </w:t>
            </w:r>
          </w:p>
        </w:tc>
        <w:tc>
          <w:tcPr>
            <w:tcW w:w="1560" w:type="dxa"/>
            <w:tcBorders>
              <w:top w:val="nil"/>
              <w:left w:val="nil"/>
              <w:bottom w:val="single" w:sz="4" w:space="0" w:color="auto"/>
              <w:right w:val="single" w:sz="4" w:space="0" w:color="auto"/>
            </w:tcBorders>
            <w:shd w:val="clear" w:color="auto" w:fill="auto"/>
            <w:noWrap/>
            <w:vAlign w:val="center"/>
            <w:hideMark/>
          </w:tcPr>
          <w:p w14:paraId="6DFB0364" w14:textId="77777777" w:rsidR="003E0F58" w:rsidRPr="007C705C" w:rsidRDefault="003E0F58" w:rsidP="004D2249">
            <w:pPr>
              <w:jc w:val="center"/>
              <w:rPr>
                <w:rFonts w:cs="Times New Roman"/>
                <w:color w:val="000000"/>
                <w:sz w:val="20"/>
                <w:szCs w:val="20"/>
                <w:lang w:val="cs-CZ"/>
              </w:rPr>
            </w:pPr>
            <w:r w:rsidRPr="007C705C">
              <w:rPr>
                <w:rFonts w:cs="Times New Roman"/>
                <w:color w:val="000000"/>
                <w:sz w:val="20"/>
                <w:szCs w:val="20"/>
                <w:lang w:val="cs-CZ"/>
              </w:rPr>
              <w:t>21 361 112</w:t>
            </w:r>
          </w:p>
        </w:tc>
        <w:tc>
          <w:tcPr>
            <w:tcW w:w="1559" w:type="dxa"/>
            <w:tcBorders>
              <w:top w:val="nil"/>
              <w:left w:val="nil"/>
              <w:bottom w:val="single" w:sz="4" w:space="0" w:color="auto"/>
              <w:right w:val="single" w:sz="4" w:space="0" w:color="auto"/>
            </w:tcBorders>
          </w:tcPr>
          <w:p w14:paraId="51BDFCC0" w14:textId="77777777" w:rsidR="003E0F58" w:rsidRPr="007C705C" w:rsidRDefault="003E0F58" w:rsidP="004D2249">
            <w:pPr>
              <w:jc w:val="center"/>
              <w:rPr>
                <w:rFonts w:cs="Times New Roman"/>
                <w:color w:val="000000"/>
                <w:sz w:val="20"/>
                <w:szCs w:val="20"/>
                <w:lang w:val="cs-CZ"/>
              </w:rPr>
            </w:pPr>
            <w:r w:rsidRPr="007C705C">
              <w:rPr>
                <w:rFonts w:cs="Times New Roman"/>
                <w:color w:val="000000"/>
                <w:sz w:val="20"/>
                <w:szCs w:val="20"/>
                <w:lang w:val="cs-CZ"/>
              </w:rPr>
              <w:t>11 428 181</w:t>
            </w:r>
          </w:p>
        </w:tc>
        <w:tc>
          <w:tcPr>
            <w:tcW w:w="1843" w:type="dxa"/>
            <w:tcBorders>
              <w:top w:val="nil"/>
              <w:left w:val="nil"/>
              <w:bottom w:val="single" w:sz="4" w:space="0" w:color="auto"/>
              <w:right w:val="single" w:sz="4" w:space="0" w:color="auto"/>
            </w:tcBorders>
          </w:tcPr>
          <w:p w14:paraId="00964179" w14:textId="77777777" w:rsidR="003E0F58" w:rsidRPr="007C705C" w:rsidRDefault="003E0F58" w:rsidP="004D2249">
            <w:pPr>
              <w:jc w:val="center"/>
              <w:rPr>
                <w:rFonts w:cs="Times New Roman"/>
                <w:color w:val="000000"/>
                <w:sz w:val="20"/>
                <w:szCs w:val="20"/>
                <w:lang w:val="cs-CZ"/>
              </w:rPr>
            </w:pPr>
            <w:r w:rsidRPr="007C705C">
              <w:rPr>
                <w:rFonts w:cs="Times New Roman"/>
                <w:color w:val="000000"/>
                <w:sz w:val="20"/>
                <w:szCs w:val="20"/>
                <w:lang w:val="cs-CZ"/>
              </w:rPr>
              <w:t>12 689 031</w:t>
            </w:r>
          </w:p>
        </w:tc>
        <w:tc>
          <w:tcPr>
            <w:tcW w:w="1559" w:type="dxa"/>
            <w:tcBorders>
              <w:top w:val="nil"/>
              <w:left w:val="nil"/>
              <w:bottom w:val="single" w:sz="4" w:space="0" w:color="auto"/>
              <w:right w:val="single" w:sz="4" w:space="0" w:color="auto"/>
            </w:tcBorders>
          </w:tcPr>
          <w:p w14:paraId="1F5A6BC4" w14:textId="77777777" w:rsidR="003E0F58" w:rsidRPr="007C705C" w:rsidRDefault="003E0F58" w:rsidP="004D2249">
            <w:pPr>
              <w:jc w:val="center"/>
              <w:rPr>
                <w:rFonts w:cs="Times New Roman"/>
                <w:color w:val="000000"/>
                <w:sz w:val="20"/>
                <w:szCs w:val="20"/>
                <w:lang w:val="cs-CZ"/>
              </w:rPr>
            </w:pPr>
            <w:r w:rsidRPr="007C705C">
              <w:rPr>
                <w:rFonts w:cs="Times New Roman"/>
                <w:color w:val="000000"/>
                <w:sz w:val="20"/>
                <w:szCs w:val="20"/>
                <w:lang w:val="cs-CZ"/>
              </w:rPr>
              <w:t>5 343 082</w:t>
            </w:r>
          </w:p>
        </w:tc>
      </w:tr>
      <w:tr w:rsidR="003E0F58" w:rsidRPr="007C705C" w14:paraId="19ECF746" w14:textId="77777777" w:rsidTr="009D2725">
        <w:trPr>
          <w:trHeight w:val="227"/>
        </w:trPr>
        <w:tc>
          <w:tcPr>
            <w:tcW w:w="3392" w:type="dxa"/>
            <w:tcBorders>
              <w:top w:val="nil"/>
              <w:left w:val="single" w:sz="8" w:space="0" w:color="auto"/>
              <w:bottom w:val="single" w:sz="4" w:space="0" w:color="auto"/>
              <w:right w:val="single" w:sz="4" w:space="0" w:color="auto"/>
            </w:tcBorders>
            <w:shd w:val="clear" w:color="auto" w:fill="auto"/>
            <w:vAlign w:val="center"/>
            <w:hideMark/>
          </w:tcPr>
          <w:p w14:paraId="6FAA9442" w14:textId="77777777" w:rsidR="003E0F58" w:rsidRPr="007C705C" w:rsidRDefault="003E0F58" w:rsidP="004D2249">
            <w:pPr>
              <w:rPr>
                <w:rFonts w:cs="Times New Roman"/>
                <w:color w:val="000000"/>
                <w:sz w:val="20"/>
                <w:szCs w:val="20"/>
                <w:lang w:val="cs-CZ"/>
              </w:rPr>
            </w:pPr>
            <w:r w:rsidRPr="007C705C">
              <w:rPr>
                <w:rFonts w:cs="Times New Roman"/>
                <w:color w:val="000000"/>
                <w:sz w:val="20"/>
                <w:szCs w:val="20"/>
                <w:lang w:val="cs-CZ"/>
              </w:rPr>
              <w:lastRenderedPageBreak/>
              <w:t>Počet schválených projektů (ks)</w:t>
            </w:r>
          </w:p>
        </w:tc>
        <w:tc>
          <w:tcPr>
            <w:tcW w:w="1560" w:type="dxa"/>
            <w:tcBorders>
              <w:top w:val="nil"/>
              <w:left w:val="nil"/>
              <w:bottom w:val="single" w:sz="4" w:space="0" w:color="auto"/>
              <w:right w:val="single" w:sz="4" w:space="0" w:color="auto"/>
            </w:tcBorders>
            <w:shd w:val="clear" w:color="auto" w:fill="auto"/>
            <w:noWrap/>
            <w:vAlign w:val="center"/>
            <w:hideMark/>
          </w:tcPr>
          <w:p w14:paraId="7E0689E8" w14:textId="77777777" w:rsidR="003E0F58" w:rsidRPr="007C705C" w:rsidRDefault="003E0F58" w:rsidP="004D2249">
            <w:pPr>
              <w:jc w:val="center"/>
              <w:rPr>
                <w:rFonts w:cs="Times New Roman"/>
                <w:color w:val="000000"/>
                <w:sz w:val="20"/>
                <w:szCs w:val="20"/>
                <w:lang w:val="cs-CZ"/>
              </w:rPr>
            </w:pPr>
            <w:r w:rsidRPr="007C705C">
              <w:rPr>
                <w:rFonts w:cs="Times New Roman"/>
                <w:color w:val="000000"/>
                <w:sz w:val="20"/>
                <w:szCs w:val="20"/>
                <w:lang w:val="cs-CZ"/>
              </w:rPr>
              <w:t>4</w:t>
            </w:r>
          </w:p>
        </w:tc>
        <w:tc>
          <w:tcPr>
            <w:tcW w:w="1559" w:type="dxa"/>
            <w:tcBorders>
              <w:top w:val="nil"/>
              <w:left w:val="nil"/>
              <w:bottom w:val="single" w:sz="4" w:space="0" w:color="auto"/>
              <w:right w:val="single" w:sz="4" w:space="0" w:color="auto"/>
            </w:tcBorders>
          </w:tcPr>
          <w:p w14:paraId="5BE572B4" w14:textId="77777777" w:rsidR="003E0F58" w:rsidRPr="007C705C" w:rsidRDefault="003E0F58" w:rsidP="004D2249">
            <w:pPr>
              <w:jc w:val="center"/>
              <w:rPr>
                <w:rFonts w:cs="Times New Roman"/>
                <w:color w:val="000000"/>
                <w:sz w:val="20"/>
                <w:szCs w:val="20"/>
                <w:lang w:val="cs-CZ"/>
              </w:rPr>
            </w:pPr>
            <w:r w:rsidRPr="007C705C">
              <w:rPr>
                <w:rFonts w:cs="Times New Roman"/>
                <w:color w:val="000000"/>
                <w:sz w:val="20"/>
                <w:szCs w:val="20"/>
                <w:lang w:val="cs-CZ"/>
              </w:rPr>
              <w:t>3</w:t>
            </w:r>
          </w:p>
        </w:tc>
        <w:tc>
          <w:tcPr>
            <w:tcW w:w="1843" w:type="dxa"/>
            <w:tcBorders>
              <w:top w:val="nil"/>
              <w:left w:val="nil"/>
              <w:bottom w:val="single" w:sz="4" w:space="0" w:color="auto"/>
              <w:right w:val="single" w:sz="4" w:space="0" w:color="auto"/>
            </w:tcBorders>
          </w:tcPr>
          <w:p w14:paraId="0C6E531D" w14:textId="77777777" w:rsidR="003E0F58" w:rsidRPr="007C705C" w:rsidRDefault="003E0F58" w:rsidP="004D2249">
            <w:pPr>
              <w:jc w:val="center"/>
              <w:rPr>
                <w:rFonts w:cs="Times New Roman"/>
                <w:color w:val="000000"/>
                <w:sz w:val="20"/>
                <w:szCs w:val="20"/>
                <w:lang w:val="cs-CZ"/>
              </w:rPr>
            </w:pPr>
            <w:r w:rsidRPr="007C705C">
              <w:rPr>
                <w:rFonts w:cs="Times New Roman"/>
                <w:color w:val="000000"/>
                <w:sz w:val="20"/>
                <w:szCs w:val="20"/>
                <w:lang w:val="cs-CZ"/>
              </w:rPr>
              <w:t>2</w:t>
            </w:r>
          </w:p>
        </w:tc>
        <w:tc>
          <w:tcPr>
            <w:tcW w:w="1559" w:type="dxa"/>
            <w:tcBorders>
              <w:top w:val="nil"/>
              <w:left w:val="nil"/>
              <w:bottom w:val="single" w:sz="4" w:space="0" w:color="auto"/>
              <w:right w:val="single" w:sz="4" w:space="0" w:color="auto"/>
            </w:tcBorders>
          </w:tcPr>
          <w:p w14:paraId="7F772C57" w14:textId="77777777" w:rsidR="003E0F58" w:rsidRPr="007C705C" w:rsidRDefault="003E0F58" w:rsidP="004D2249">
            <w:pPr>
              <w:jc w:val="center"/>
              <w:rPr>
                <w:rFonts w:cs="Times New Roman"/>
                <w:color w:val="000000"/>
                <w:sz w:val="20"/>
                <w:szCs w:val="20"/>
                <w:lang w:val="cs-CZ"/>
              </w:rPr>
            </w:pPr>
            <w:r w:rsidRPr="007C705C">
              <w:rPr>
                <w:rFonts w:cs="Times New Roman"/>
                <w:color w:val="000000"/>
                <w:sz w:val="20"/>
                <w:szCs w:val="20"/>
                <w:lang w:val="cs-CZ"/>
              </w:rPr>
              <w:t>0</w:t>
            </w:r>
          </w:p>
        </w:tc>
      </w:tr>
      <w:tr w:rsidR="003E0F58" w:rsidRPr="007C705C" w14:paraId="3231B82A" w14:textId="77777777" w:rsidTr="009D2725">
        <w:trPr>
          <w:trHeight w:val="227"/>
        </w:trPr>
        <w:tc>
          <w:tcPr>
            <w:tcW w:w="3392" w:type="dxa"/>
            <w:tcBorders>
              <w:top w:val="nil"/>
              <w:left w:val="single" w:sz="8" w:space="0" w:color="auto"/>
              <w:bottom w:val="single" w:sz="4" w:space="0" w:color="auto"/>
              <w:right w:val="single" w:sz="4" w:space="0" w:color="auto"/>
            </w:tcBorders>
            <w:shd w:val="clear" w:color="auto" w:fill="auto"/>
            <w:vAlign w:val="center"/>
            <w:hideMark/>
          </w:tcPr>
          <w:p w14:paraId="32D70109" w14:textId="77777777" w:rsidR="003E0F58" w:rsidRPr="007C705C" w:rsidRDefault="003E0F58" w:rsidP="004D2249">
            <w:pPr>
              <w:rPr>
                <w:rFonts w:cs="Times New Roman"/>
                <w:color w:val="000000"/>
                <w:sz w:val="20"/>
                <w:szCs w:val="20"/>
                <w:lang w:val="cs-CZ"/>
              </w:rPr>
            </w:pPr>
            <w:r w:rsidRPr="007C705C">
              <w:rPr>
                <w:rFonts w:cs="Times New Roman"/>
                <w:color w:val="000000"/>
                <w:sz w:val="20"/>
                <w:szCs w:val="20"/>
                <w:lang w:val="cs-CZ"/>
              </w:rPr>
              <w:t xml:space="preserve">Částka za schválené projekty (Kč) </w:t>
            </w:r>
          </w:p>
        </w:tc>
        <w:tc>
          <w:tcPr>
            <w:tcW w:w="1560" w:type="dxa"/>
            <w:tcBorders>
              <w:top w:val="nil"/>
              <w:left w:val="nil"/>
              <w:bottom w:val="single" w:sz="4" w:space="0" w:color="auto"/>
              <w:right w:val="single" w:sz="4" w:space="0" w:color="auto"/>
            </w:tcBorders>
            <w:shd w:val="clear" w:color="auto" w:fill="auto"/>
            <w:noWrap/>
            <w:vAlign w:val="center"/>
            <w:hideMark/>
          </w:tcPr>
          <w:p w14:paraId="7D4F907B" w14:textId="77777777" w:rsidR="003E0F58" w:rsidRPr="007C705C" w:rsidRDefault="003E0F58" w:rsidP="004D2249">
            <w:pPr>
              <w:jc w:val="center"/>
              <w:rPr>
                <w:rFonts w:cs="Times New Roman"/>
                <w:color w:val="000000"/>
                <w:sz w:val="20"/>
                <w:szCs w:val="20"/>
                <w:lang w:val="cs-CZ"/>
              </w:rPr>
            </w:pPr>
            <w:r w:rsidRPr="007C705C">
              <w:rPr>
                <w:rFonts w:cs="Times New Roman"/>
                <w:color w:val="000000"/>
                <w:sz w:val="20"/>
                <w:szCs w:val="20"/>
                <w:lang w:val="cs-CZ"/>
              </w:rPr>
              <w:t>9 967 421</w:t>
            </w:r>
          </w:p>
        </w:tc>
        <w:tc>
          <w:tcPr>
            <w:tcW w:w="1559" w:type="dxa"/>
            <w:tcBorders>
              <w:top w:val="nil"/>
              <w:left w:val="nil"/>
              <w:bottom w:val="single" w:sz="4" w:space="0" w:color="auto"/>
              <w:right w:val="single" w:sz="4" w:space="0" w:color="auto"/>
            </w:tcBorders>
          </w:tcPr>
          <w:p w14:paraId="7066B332" w14:textId="77777777" w:rsidR="003E0F58" w:rsidRPr="007C705C" w:rsidRDefault="003E0F58" w:rsidP="004D2249">
            <w:pPr>
              <w:jc w:val="center"/>
              <w:rPr>
                <w:rFonts w:cs="Times New Roman"/>
                <w:color w:val="000000"/>
                <w:sz w:val="20"/>
                <w:szCs w:val="20"/>
                <w:lang w:val="cs-CZ"/>
              </w:rPr>
            </w:pPr>
            <w:r w:rsidRPr="007C705C">
              <w:rPr>
                <w:rFonts w:cs="Times New Roman"/>
                <w:color w:val="000000"/>
                <w:sz w:val="20"/>
                <w:szCs w:val="20"/>
                <w:lang w:val="cs-CZ"/>
              </w:rPr>
              <w:t>11 428 181</w:t>
            </w:r>
          </w:p>
        </w:tc>
        <w:tc>
          <w:tcPr>
            <w:tcW w:w="1843" w:type="dxa"/>
            <w:tcBorders>
              <w:top w:val="nil"/>
              <w:left w:val="nil"/>
              <w:bottom w:val="single" w:sz="4" w:space="0" w:color="auto"/>
              <w:right w:val="single" w:sz="4" w:space="0" w:color="auto"/>
            </w:tcBorders>
          </w:tcPr>
          <w:p w14:paraId="2EF57063" w14:textId="77777777" w:rsidR="003E0F58" w:rsidRPr="007C705C" w:rsidRDefault="003E0F58" w:rsidP="004D2249">
            <w:pPr>
              <w:jc w:val="center"/>
              <w:rPr>
                <w:rFonts w:cs="Times New Roman"/>
                <w:color w:val="000000"/>
                <w:sz w:val="20"/>
                <w:szCs w:val="20"/>
                <w:lang w:val="cs-CZ"/>
              </w:rPr>
            </w:pPr>
            <w:r w:rsidRPr="007C705C">
              <w:rPr>
                <w:rFonts w:cs="Times New Roman"/>
                <w:color w:val="000000"/>
                <w:sz w:val="20"/>
                <w:szCs w:val="20"/>
                <w:lang w:val="cs-CZ"/>
              </w:rPr>
              <w:t>7 607 159</w:t>
            </w:r>
          </w:p>
        </w:tc>
        <w:tc>
          <w:tcPr>
            <w:tcW w:w="1559" w:type="dxa"/>
            <w:tcBorders>
              <w:top w:val="nil"/>
              <w:left w:val="nil"/>
              <w:bottom w:val="single" w:sz="4" w:space="0" w:color="auto"/>
              <w:right w:val="single" w:sz="4" w:space="0" w:color="auto"/>
            </w:tcBorders>
          </w:tcPr>
          <w:p w14:paraId="18E55D1C" w14:textId="77777777" w:rsidR="003E0F58" w:rsidRPr="007C705C" w:rsidRDefault="003E0F58" w:rsidP="004D2249">
            <w:pPr>
              <w:jc w:val="center"/>
              <w:rPr>
                <w:rFonts w:cs="Times New Roman"/>
                <w:color w:val="000000"/>
                <w:sz w:val="20"/>
                <w:szCs w:val="20"/>
                <w:lang w:val="cs-CZ"/>
              </w:rPr>
            </w:pPr>
            <w:r w:rsidRPr="007C705C">
              <w:rPr>
                <w:rFonts w:cs="Times New Roman"/>
                <w:color w:val="000000"/>
                <w:sz w:val="20"/>
                <w:szCs w:val="20"/>
                <w:lang w:val="cs-CZ"/>
              </w:rPr>
              <w:t>0</w:t>
            </w:r>
          </w:p>
        </w:tc>
      </w:tr>
      <w:tr w:rsidR="003E0F58" w:rsidRPr="007C705C" w14:paraId="042309D1" w14:textId="77777777" w:rsidTr="009D2725">
        <w:trPr>
          <w:trHeight w:val="227"/>
        </w:trPr>
        <w:tc>
          <w:tcPr>
            <w:tcW w:w="3392" w:type="dxa"/>
            <w:tcBorders>
              <w:top w:val="nil"/>
              <w:left w:val="single" w:sz="8" w:space="0" w:color="auto"/>
              <w:bottom w:val="single" w:sz="4" w:space="0" w:color="auto"/>
              <w:right w:val="single" w:sz="4" w:space="0" w:color="auto"/>
            </w:tcBorders>
            <w:shd w:val="clear" w:color="auto" w:fill="auto"/>
            <w:vAlign w:val="center"/>
            <w:hideMark/>
          </w:tcPr>
          <w:p w14:paraId="3872F78E" w14:textId="77777777" w:rsidR="003E0F58" w:rsidRPr="007C705C" w:rsidRDefault="003E0F58" w:rsidP="004D2249">
            <w:pPr>
              <w:rPr>
                <w:rFonts w:cs="Times New Roman"/>
                <w:color w:val="000000"/>
                <w:sz w:val="20"/>
                <w:szCs w:val="20"/>
                <w:lang w:val="cs-CZ"/>
              </w:rPr>
            </w:pPr>
            <w:r w:rsidRPr="007C705C">
              <w:rPr>
                <w:rFonts w:cs="Times New Roman"/>
                <w:color w:val="000000"/>
                <w:sz w:val="20"/>
                <w:szCs w:val="20"/>
                <w:lang w:val="cs-CZ"/>
              </w:rPr>
              <w:t>Počet proplacených projektů (ks)</w:t>
            </w:r>
          </w:p>
        </w:tc>
        <w:tc>
          <w:tcPr>
            <w:tcW w:w="1560" w:type="dxa"/>
            <w:tcBorders>
              <w:top w:val="nil"/>
              <w:left w:val="nil"/>
              <w:bottom w:val="single" w:sz="4" w:space="0" w:color="auto"/>
              <w:right w:val="single" w:sz="4" w:space="0" w:color="auto"/>
            </w:tcBorders>
            <w:shd w:val="clear" w:color="auto" w:fill="auto"/>
            <w:noWrap/>
            <w:vAlign w:val="center"/>
            <w:hideMark/>
          </w:tcPr>
          <w:p w14:paraId="2D8FC353" w14:textId="77777777" w:rsidR="003E0F58" w:rsidRPr="007C705C" w:rsidRDefault="003E0F58" w:rsidP="004D2249">
            <w:pPr>
              <w:jc w:val="center"/>
              <w:rPr>
                <w:rFonts w:cs="Times New Roman"/>
                <w:color w:val="000000"/>
                <w:sz w:val="20"/>
                <w:szCs w:val="20"/>
                <w:lang w:val="cs-CZ"/>
              </w:rPr>
            </w:pPr>
            <w:r w:rsidRPr="007C705C">
              <w:rPr>
                <w:rFonts w:cs="Times New Roman"/>
                <w:color w:val="000000"/>
                <w:sz w:val="20"/>
                <w:szCs w:val="20"/>
                <w:lang w:val="cs-CZ"/>
              </w:rPr>
              <w:t>4</w:t>
            </w:r>
          </w:p>
        </w:tc>
        <w:tc>
          <w:tcPr>
            <w:tcW w:w="1559" w:type="dxa"/>
            <w:tcBorders>
              <w:top w:val="nil"/>
              <w:left w:val="nil"/>
              <w:bottom w:val="single" w:sz="4" w:space="0" w:color="auto"/>
              <w:right w:val="single" w:sz="4" w:space="0" w:color="auto"/>
            </w:tcBorders>
          </w:tcPr>
          <w:p w14:paraId="7F451E97" w14:textId="77777777" w:rsidR="003E0F58" w:rsidRPr="007C705C" w:rsidRDefault="003E0F58" w:rsidP="004D2249">
            <w:pPr>
              <w:jc w:val="center"/>
              <w:rPr>
                <w:rFonts w:cs="Times New Roman"/>
                <w:color w:val="000000"/>
                <w:sz w:val="20"/>
                <w:szCs w:val="20"/>
                <w:lang w:val="cs-CZ"/>
              </w:rPr>
            </w:pPr>
            <w:r w:rsidRPr="007C705C">
              <w:rPr>
                <w:rFonts w:cs="Times New Roman"/>
                <w:color w:val="000000"/>
                <w:sz w:val="20"/>
                <w:szCs w:val="20"/>
                <w:lang w:val="cs-CZ"/>
              </w:rPr>
              <w:t>3</w:t>
            </w:r>
          </w:p>
        </w:tc>
        <w:tc>
          <w:tcPr>
            <w:tcW w:w="1843" w:type="dxa"/>
            <w:tcBorders>
              <w:top w:val="nil"/>
              <w:left w:val="nil"/>
              <w:bottom w:val="single" w:sz="4" w:space="0" w:color="auto"/>
              <w:right w:val="single" w:sz="4" w:space="0" w:color="auto"/>
            </w:tcBorders>
          </w:tcPr>
          <w:p w14:paraId="19B38616" w14:textId="77777777" w:rsidR="003E0F58" w:rsidRPr="007C705C" w:rsidRDefault="003E0F58" w:rsidP="004D2249">
            <w:pPr>
              <w:jc w:val="center"/>
              <w:rPr>
                <w:rFonts w:cs="Times New Roman"/>
                <w:color w:val="000000"/>
                <w:sz w:val="20"/>
                <w:szCs w:val="20"/>
                <w:lang w:val="cs-CZ"/>
              </w:rPr>
            </w:pPr>
            <w:r w:rsidRPr="007C705C">
              <w:rPr>
                <w:rFonts w:cs="Times New Roman"/>
                <w:color w:val="000000"/>
                <w:sz w:val="20"/>
                <w:szCs w:val="20"/>
                <w:lang w:val="cs-CZ"/>
              </w:rPr>
              <w:t>2</w:t>
            </w:r>
          </w:p>
        </w:tc>
        <w:tc>
          <w:tcPr>
            <w:tcW w:w="1559" w:type="dxa"/>
            <w:tcBorders>
              <w:top w:val="nil"/>
              <w:left w:val="nil"/>
              <w:bottom w:val="single" w:sz="4" w:space="0" w:color="auto"/>
              <w:right w:val="single" w:sz="4" w:space="0" w:color="auto"/>
            </w:tcBorders>
          </w:tcPr>
          <w:p w14:paraId="172BBDF4" w14:textId="77777777" w:rsidR="003E0F58" w:rsidRPr="007C705C" w:rsidRDefault="003E0F58" w:rsidP="004D2249">
            <w:pPr>
              <w:jc w:val="center"/>
              <w:rPr>
                <w:rFonts w:cs="Times New Roman"/>
                <w:color w:val="000000"/>
                <w:sz w:val="20"/>
                <w:szCs w:val="20"/>
                <w:lang w:val="cs-CZ"/>
              </w:rPr>
            </w:pPr>
            <w:r w:rsidRPr="007C705C">
              <w:rPr>
                <w:rFonts w:cs="Times New Roman"/>
                <w:color w:val="000000"/>
                <w:sz w:val="20"/>
                <w:szCs w:val="20"/>
                <w:lang w:val="cs-CZ"/>
              </w:rPr>
              <w:t>0</w:t>
            </w:r>
          </w:p>
        </w:tc>
      </w:tr>
      <w:tr w:rsidR="003E0F58" w:rsidRPr="007C705C" w14:paraId="308BCB26" w14:textId="77777777" w:rsidTr="009D2725">
        <w:trPr>
          <w:trHeight w:val="227"/>
        </w:trPr>
        <w:tc>
          <w:tcPr>
            <w:tcW w:w="3392" w:type="dxa"/>
            <w:tcBorders>
              <w:top w:val="nil"/>
              <w:left w:val="single" w:sz="8" w:space="0" w:color="auto"/>
              <w:bottom w:val="single" w:sz="8" w:space="0" w:color="auto"/>
              <w:right w:val="single" w:sz="4" w:space="0" w:color="auto"/>
            </w:tcBorders>
            <w:shd w:val="clear" w:color="auto" w:fill="auto"/>
            <w:vAlign w:val="center"/>
            <w:hideMark/>
          </w:tcPr>
          <w:p w14:paraId="4F3C580A" w14:textId="77777777" w:rsidR="003E0F58" w:rsidRPr="007C705C" w:rsidRDefault="003E0F58" w:rsidP="004D2249">
            <w:pPr>
              <w:rPr>
                <w:rFonts w:cs="Times New Roman"/>
                <w:color w:val="000000"/>
                <w:sz w:val="20"/>
                <w:szCs w:val="20"/>
                <w:lang w:val="cs-CZ"/>
              </w:rPr>
            </w:pPr>
            <w:r w:rsidRPr="007C705C">
              <w:rPr>
                <w:rFonts w:cs="Times New Roman"/>
                <w:color w:val="000000"/>
                <w:sz w:val="20"/>
                <w:szCs w:val="20"/>
                <w:lang w:val="cs-CZ"/>
              </w:rPr>
              <w:t>Proplacená částka (Kč)</w:t>
            </w:r>
          </w:p>
        </w:tc>
        <w:tc>
          <w:tcPr>
            <w:tcW w:w="1560" w:type="dxa"/>
            <w:tcBorders>
              <w:top w:val="nil"/>
              <w:left w:val="nil"/>
              <w:bottom w:val="single" w:sz="8" w:space="0" w:color="auto"/>
              <w:right w:val="single" w:sz="4" w:space="0" w:color="auto"/>
            </w:tcBorders>
            <w:shd w:val="clear" w:color="auto" w:fill="auto"/>
            <w:noWrap/>
            <w:vAlign w:val="center"/>
            <w:hideMark/>
          </w:tcPr>
          <w:p w14:paraId="590A4B8D" w14:textId="77777777" w:rsidR="003E0F58" w:rsidRPr="007C705C" w:rsidRDefault="003E0F58" w:rsidP="004D2249">
            <w:pPr>
              <w:jc w:val="center"/>
              <w:rPr>
                <w:rFonts w:cs="Times New Roman"/>
                <w:color w:val="000000"/>
                <w:sz w:val="20"/>
                <w:szCs w:val="20"/>
                <w:lang w:val="cs-CZ"/>
              </w:rPr>
            </w:pPr>
            <w:r w:rsidRPr="007C705C">
              <w:rPr>
                <w:rFonts w:cs="Times New Roman"/>
                <w:color w:val="000000"/>
                <w:sz w:val="20"/>
                <w:szCs w:val="20"/>
                <w:lang w:val="cs-CZ"/>
              </w:rPr>
              <w:t>9 572 757</w:t>
            </w:r>
          </w:p>
        </w:tc>
        <w:tc>
          <w:tcPr>
            <w:tcW w:w="1559" w:type="dxa"/>
            <w:tcBorders>
              <w:top w:val="nil"/>
              <w:left w:val="nil"/>
              <w:bottom w:val="single" w:sz="8" w:space="0" w:color="auto"/>
              <w:right w:val="single" w:sz="4" w:space="0" w:color="auto"/>
            </w:tcBorders>
          </w:tcPr>
          <w:p w14:paraId="7B014AD8" w14:textId="77777777" w:rsidR="003E0F58" w:rsidRPr="007C705C" w:rsidRDefault="003E0F58" w:rsidP="004D2249">
            <w:pPr>
              <w:jc w:val="center"/>
              <w:rPr>
                <w:rFonts w:cs="Times New Roman"/>
                <w:color w:val="000000"/>
                <w:sz w:val="20"/>
                <w:szCs w:val="20"/>
                <w:lang w:val="cs-CZ"/>
              </w:rPr>
            </w:pPr>
            <w:r w:rsidRPr="007C705C">
              <w:rPr>
                <w:rFonts w:cs="Times New Roman"/>
                <w:color w:val="000000"/>
                <w:sz w:val="20"/>
                <w:szCs w:val="20"/>
                <w:lang w:val="cs-CZ"/>
              </w:rPr>
              <w:t>11 428 181</w:t>
            </w:r>
          </w:p>
        </w:tc>
        <w:tc>
          <w:tcPr>
            <w:tcW w:w="1843" w:type="dxa"/>
            <w:tcBorders>
              <w:top w:val="nil"/>
              <w:left w:val="nil"/>
              <w:bottom w:val="single" w:sz="8" w:space="0" w:color="auto"/>
              <w:right w:val="single" w:sz="4" w:space="0" w:color="auto"/>
            </w:tcBorders>
          </w:tcPr>
          <w:p w14:paraId="7BA12C83" w14:textId="77777777" w:rsidR="003E0F58" w:rsidRPr="007C705C" w:rsidRDefault="003E0F58" w:rsidP="004D2249">
            <w:pPr>
              <w:jc w:val="center"/>
              <w:rPr>
                <w:rFonts w:cs="Times New Roman"/>
                <w:color w:val="000000"/>
                <w:sz w:val="20"/>
                <w:szCs w:val="20"/>
                <w:lang w:val="cs-CZ"/>
              </w:rPr>
            </w:pPr>
            <w:r w:rsidRPr="007C705C">
              <w:rPr>
                <w:rFonts w:cs="Times New Roman"/>
                <w:color w:val="000000"/>
                <w:sz w:val="20"/>
                <w:szCs w:val="20"/>
                <w:lang w:val="cs-CZ"/>
              </w:rPr>
              <w:t>7 496 631</w:t>
            </w:r>
          </w:p>
        </w:tc>
        <w:tc>
          <w:tcPr>
            <w:tcW w:w="1559" w:type="dxa"/>
            <w:tcBorders>
              <w:top w:val="nil"/>
              <w:left w:val="nil"/>
              <w:bottom w:val="single" w:sz="8" w:space="0" w:color="auto"/>
              <w:right w:val="single" w:sz="4" w:space="0" w:color="auto"/>
            </w:tcBorders>
          </w:tcPr>
          <w:p w14:paraId="71359B18" w14:textId="77777777" w:rsidR="003E0F58" w:rsidRPr="007C705C" w:rsidRDefault="003E0F58" w:rsidP="004D2249">
            <w:pPr>
              <w:jc w:val="center"/>
              <w:rPr>
                <w:rFonts w:cs="Times New Roman"/>
                <w:color w:val="000000"/>
                <w:sz w:val="20"/>
                <w:szCs w:val="20"/>
                <w:lang w:val="cs-CZ"/>
              </w:rPr>
            </w:pPr>
            <w:r w:rsidRPr="007C705C">
              <w:rPr>
                <w:rFonts w:cs="Times New Roman"/>
                <w:color w:val="000000"/>
                <w:sz w:val="20"/>
                <w:szCs w:val="20"/>
                <w:lang w:val="cs-CZ"/>
              </w:rPr>
              <w:t>0</w:t>
            </w:r>
          </w:p>
        </w:tc>
      </w:tr>
    </w:tbl>
    <w:p w14:paraId="795EEB06" w14:textId="511E0B0C" w:rsidR="003E0F58" w:rsidRPr="009D2725" w:rsidRDefault="003E0F58" w:rsidP="009D2725">
      <w:pPr>
        <w:keepNext/>
        <w:rPr>
          <w:rFonts w:cs="Times New Roman"/>
          <w:i/>
          <w:sz w:val="18"/>
          <w:szCs w:val="18"/>
          <w:lang w:val="cs-CZ"/>
        </w:rPr>
      </w:pPr>
      <w:r w:rsidRPr="007C705C">
        <w:rPr>
          <w:rFonts w:cs="Times New Roman"/>
          <w:i/>
          <w:sz w:val="18"/>
          <w:szCs w:val="18"/>
          <w:lang w:val="cs-CZ"/>
        </w:rPr>
        <w:t>Pozn.: Stav k 30.6.2020</w:t>
      </w:r>
    </w:p>
    <w:p w14:paraId="496B3F63" w14:textId="5443135F" w:rsidR="003E0F58" w:rsidRPr="007C705C" w:rsidRDefault="003E0F58" w:rsidP="009D2725">
      <w:pPr>
        <w:pStyle w:val="UZEITaB"/>
        <w:rPr>
          <w:rFonts w:eastAsia="Calibri"/>
        </w:rPr>
      </w:pPr>
      <w:bookmarkStart w:id="467" w:name="_Toc77245869"/>
      <w:bookmarkStart w:id="468" w:name="_Toc94181636"/>
      <w:r w:rsidRPr="007C705C">
        <w:rPr>
          <w:rFonts w:eastAsia="Calibri"/>
        </w:rPr>
        <w:t>Kvantifikované cíle operací 8.4 podle 6. schválené verze PRV</w:t>
      </w:r>
      <w:bookmarkEnd w:id="466"/>
      <w:bookmarkEnd w:id="467"/>
      <w:bookmarkEnd w:id="468"/>
    </w:p>
    <w:tbl>
      <w:tblPr>
        <w:tblW w:w="8783" w:type="dxa"/>
        <w:tblInd w:w="-10" w:type="dxa"/>
        <w:tblCellMar>
          <w:left w:w="0" w:type="dxa"/>
          <w:right w:w="0" w:type="dxa"/>
        </w:tblCellMar>
        <w:tblLook w:val="04A0" w:firstRow="1" w:lastRow="0" w:firstColumn="1" w:lastColumn="0" w:noHBand="0" w:noVBand="1"/>
      </w:tblPr>
      <w:tblGrid>
        <w:gridCol w:w="2305"/>
        <w:gridCol w:w="1301"/>
        <w:gridCol w:w="3598"/>
        <w:gridCol w:w="1579"/>
      </w:tblGrid>
      <w:tr w:rsidR="003E0F58" w:rsidRPr="007C705C" w14:paraId="0DE71797" w14:textId="77777777" w:rsidTr="009D2725">
        <w:trPr>
          <w:trHeight w:val="286"/>
        </w:trPr>
        <w:tc>
          <w:tcPr>
            <w:tcW w:w="2305" w:type="dxa"/>
            <w:tcBorders>
              <w:top w:val="single" w:sz="8" w:space="0" w:color="auto"/>
              <w:left w:val="single" w:sz="8" w:space="0" w:color="auto"/>
              <w:bottom w:val="single" w:sz="8" w:space="0" w:color="auto"/>
              <w:right w:val="single" w:sz="8" w:space="0" w:color="auto"/>
            </w:tcBorders>
            <w:tcMar>
              <w:top w:w="0" w:type="dxa"/>
              <w:left w:w="70" w:type="dxa"/>
              <w:bottom w:w="0" w:type="dxa"/>
              <w:right w:w="70" w:type="dxa"/>
            </w:tcMar>
            <w:vAlign w:val="center"/>
            <w:hideMark/>
          </w:tcPr>
          <w:p w14:paraId="326B9CB2" w14:textId="77777777" w:rsidR="003E0F58" w:rsidRPr="007C705C" w:rsidRDefault="003E0F58" w:rsidP="004D2249">
            <w:pPr>
              <w:spacing w:after="200" w:line="276" w:lineRule="auto"/>
              <w:jc w:val="left"/>
              <w:rPr>
                <w:rFonts w:eastAsia="Calibri" w:cs="Times New Roman"/>
                <w:b/>
                <w:bCs/>
                <w:color w:val="000000"/>
                <w:sz w:val="20"/>
                <w:szCs w:val="20"/>
                <w:lang w:val="cs-CZ"/>
              </w:rPr>
            </w:pPr>
            <w:r w:rsidRPr="007C705C">
              <w:rPr>
                <w:rFonts w:eastAsia="Calibri" w:cs="Times New Roman"/>
                <w:b/>
                <w:bCs/>
                <w:color w:val="000000"/>
                <w:sz w:val="20"/>
                <w:szCs w:val="20"/>
                <w:lang w:val="cs-CZ"/>
              </w:rPr>
              <w:t>Cíl operace</w:t>
            </w:r>
          </w:p>
        </w:tc>
        <w:tc>
          <w:tcPr>
            <w:tcW w:w="1301" w:type="dxa"/>
            <w:tcBorders>
              <w:top w:val="single" w:sz="8" w:space="0" w:color="auto"/>
              <w:left w:val="nil"/>
              <w:bottom w:val="single" w:sz="8" w:space="0" w:color="auto"/>
              <w:right w:val="single" w:sz="8" w:space="0" w:color="auto"/>
            </w:tcBorders>
            <w:tcMar>
              <w:top w:w="0" w:type="dxa"/>
              <w:left w:w="70" w:type="dxa"/>
              <w:bottom w:w="0" w:type="dxa"/>
              <w:right w:w="70" w:type="dxa"/>
            </w:tcMar>
            <w:vAlign w:val="center"/>
            <w:hideMark/>
          </w:tcPr>
          <w:p w14:paraId="6567296F" w14:textId="77777777" w:rsidR="003E0F58" w:rsidRPr="007C705C" w:rsidRDefault="003E0F58" w:rsidP="004D2249">
            <w:pPr>
              <w:spacing w:after="200" w:line="276" w:lineRule="auto"/>
              <w:jc w:val="left"/>
              <w:rPr>
                <w:rFonts w:eastAsia="Calibri" w:cs="Times New Roman"/>
                <w:b/>
                <w:bCs/>
                <w:color w:val="000000"/>
                <w:sz w:val="20"/>
                <w:szCs w:val="20"/>
                <w:lang w:val="cs-CZ"/>
              </w:rPr>
            </w:pPr>
            <w:r w:rsidRPr="007C705C">
              <w:rPr>
                <w:rFonts w:eastAsia="Calibri" w:cs="Times New Roman"/>
                <w:b/>
                <w:bCs/>
                <w:color w:val="000000"/>
                <w:sz w:val="20"/>
                <w:szCs w:val="20"/>
                <w:lang w:val="cs-CZ"/>
              </w:rPr>
              <w:t>Typ indikátoru</w:t>
            </w:r>
          </w:p>
        </w:tc>
        <w:tc>
          <w:tcPr>
            <w:tcW w:w="3598" w:type="dxa"/>
            <w:tcBorders>
              <w:top w:val="single" w:sz="8" w:space="0" w:color="auto"/>
              <w:left w:val="nil"/>
              <w:bottom w:val="single" w:sz="8" w:space="0" w:color="auto"/>
              <w:right w:val="single" w:sz="8" w:space="0" w:color="auto"/>
            </w:tcBorders>
            <w:tcMar>
              <w:top w:w="0" w:type="dxa"/>
              <w:left w:w="70" w:type="dxa"/>
              <w:bottom w:w="0" w:type="dxa"/>
              <w:right w:w="70" w:type="dxa"/>
            </w:tcMar>
            <w:vAlign w:val="center"/>
            <w:hideMark/>
          </w:tcPr>
          <w:p w14:paraId="41AD802F" w14:textId="77777777" w:rsidR="003E0F58" w:rsidRPr="007C705C" w:rsidRDefault="003E0F58" w:rsidP="004D2249">
            <w:pPr>
              <w:spacing w:after="200" w:line="276" w:lineRule="auto"/>
              <w:jc w:val="left"/>
              <w:rPr>
                <w:rFonts w:eastAsia="Calibri" w:cs="Times New Roman"/>
                <w:b/>
                <w:bCs/>
                <w:color w:val="000000"/>
                <w:sz w:val="20"/>
                <w:szCs w:val="20"/>
                <w:lang w:val="cs-CZ"/>
              </w:rPr>
            </w:pPr>
            <w:r w:rsidRPr="007C705C">
              <w:rPr>
                <w:rFonts w:eastAsia="Calibri" w:cs="Times New Roman"/>
                <w:b/>
                <w:bCs/>
                <w:color w:val="000000"/>
                <w:sz w:val="20"/>
                <w:szCs w:val="20"/>
                <w:lang w:val="cs-CZ"/>
              </w:rPr>
              <w:t>Název indikátoru</w:t>
            </w:r>
          </w:p>
        </w:tc>
        <w:tc>
          <w:tcPr>
            <w:tcW w:w="1579" w:type="dxa"/>
            <w:tcBorders>
              <w:top w:val="single" w:sz="8" w:space="0" w:color="auto"/>
              <w:left w:val="nil"/>
              <w:bottom w:val="single" w:sz="8" w:space="0" w:color="auto"/>
              <w:right w:val="single" w:sz="8" w:space="0" w:color="auto"/>
            </w:tcBorders>
            <w:tcMar>
              <w:top w:w="0" w:type="dxa"/>
              <w:left w:w="70" w:type="dxa"/>
              <w:bottom w:w="0" w:type="dxa"/>
              <w:right w:w="70" w:type="dxa"/>
            </w:tcMar>
            <w:vAlign w:val="center"/>
            <w:hideMark/>
          </w:tcPr>
          <w:p w14:paraId="381B6464" w14:textId="77777777" w:rsidR="003E0F58" w:rsidRPr="007C705C" w:rsidRDefault="003E0F58" w:rsidP="004D2249">
            <w:pPr>
              <w:spacing w:after="200" w:line="276" w:lineRule="auto"/>
              <w:jc w:val="left"/>
              <w:rPr>
                <w:rFonts w:eastAsia="Calibri" w:cs="Times New Roman"/>
                <w:b/>
                <w:bCs/>
                <w:color w:val="000000"/>
                <w:sz w:val="20"/>
                <w:szCs w:val="20"/>
                <w:lang w:val="cs-CZ"/>
              </w:rPr>
            </w:pPr>
            <w:r w:rsidRPr="007C705C">
              <w:rPr>
                <w:rFonts w:eastAsia="Calibri" w:cs="Times New Roman"/>
                <w:b/>
                <w:bCs/>
                <w:color w:val="000000"/>
                <w:sz w:val="20"/>
                <w:szCs w:val="20"/>
                <w:lang w:val="cs-CZ"/>
              </w:rPr>
              <w:t>Kvantifikace</w:t>
            </w:r>
          </w:p>
        </w:tc>
      </w:tr>
      <w:tr w:rsidR="003E0F58" w:rsidRPr="007C705C" w14:paraId="5EC52BE8" w14:textId="77777777" w:rsidTr="009D2725">
        <w:trPr>
          <w:trHeight w:val="1198"/>
        </w:trPr>
        <w:tc>
          <w:tcPr>
            <w:tcW w:w="2305" w:type="dxa"/>
            <w:vMerge w:val="restart"/>
            <w:tcBorders>
              <w:top w:val="nil"/>
              <w:left w:val="single" w:sz="8" w:space="0" w:color="auto"/>
              <w:bottom w:val="single" w:sz="8" w:space="0" w:color="000000"/>
              <w:right w:val="single" w:sz="8" w:space="0" w:color="auto"/>
            </w:tcBorders>
            <w:tcMar>
              <w:top w:w="0" w:type="dxa"/>
              <w:left w:w="70" w:type="dxa"/>
              <w:bottom w:w="0" w:type="dxa"/>
              <w:right w:w="70" w:type="dxa"/>
            </w:tcMar>
            <w:vAlign w:val="center"/>
            <w:hideMark/>
          </w:tcPr>
          <w:p w14:paraId="7580A55D" w14:textId="77777777" w:rsidR="003E0F58" w:rsidRPr="007C705C" w:rsidRDefault="003E0F58" w:rsidP="004D2249">
            <w:pPr>
              <w:spacing w:after="200" w:line="276" w:lineRule="auto"/>
              <w:jc w:val="left"/>
              <w:rPr>
                <w:rFonts w:eastAsia="Calibri" w:cs="Times New Roman"/>
                <w:color w:val="000000"/>
                <w:sz w:val="20"/>
                <w:szCs w:val="20"/>
                <w:lang w:val="cs-CZ"/>
              </w:rPr>
            </w:pPr>
            <w:r w:rsidRPr="007C705C">
              <w:rPr>
                <w:rFonts w:eastAsia="Calibri" w:cs="Times New Roman"/>
                <w:color w:val="000000"/>
                <w:sz w:val="20"/>
                <w:szCs w:val="20"/>
                <w:lang w:val="cs-CZ"/>
              </w:rPr>
              <w:t>Operativní cíl – Podpořit investice na obnovu lesů poškozených lesními požáry a přírodními katastrofami a katastrofickými událostmi</w:t>
            </w:r>
          </w:p>
        </w:tc>
        <w:tc>
          <w:tcPr>
            <w:tcW w:w="1301" w:type="dxa"/>
            <w:vMerge w:val="restart"/>
            <w:tcBorders>
              <w:top w:val="nil"/>
              <w:left w:val="nil"/>
              <w:right w:val="single" w:sz="8" w:space="0" w:color="auto"/>
            </w:tcBorders>
            <w:noWrap/>
            <w:tcMar>
              <w:top w:w="0" w:type="dxa"/>
              <w:left w:w="70" w:type="dxa"/>
              <w:bottom w:w="0" w:type="dxa"/>
              <w:right w:w="70" w:type="dxa"/>
            </w:tcMar>
            <w:vAlign w:val="center"/>
            <w:hideMark/>
          </w:tcPr>
          <w:p w14:paraId="6354D2C0" w14:textId="77777777" w:rsidR="003E0F58" w:rsidRPr="007C705C" w:rsidRDefault="003E0F58" w:rsidP="004D2249">
            <w:pPr>
              <w:spacing w:after="200" w:line="276" w:lineRule="auto"/>
              <w:jc w:val="left"/>
              <w:rPr>
                <w:rFonts w:eastAsia="Calibri" w:cs="Times New Roman"/>
                <w:color w:val="000000"/>
                <w:sz w:val="20"/>
                <w:szCs w:val="20"/>
                <w:lang w:val="cs-CZ"/>
              </w:rPr>
            </w:pPr>
            <w:r w:rsidRPr="007C705C">
              <w:rPr>
                <w:rFonts w:eastAsia="Calibri" w:cs="Times New Roman"/>
                <w:color w:val="000000"/>
                <w:sz w:val="20"/>
                <w:szCs w:val="20"/>
                <w:lang w:val="cs-CZ"/>
              </w:rPr>
              <w:t>Výstup</w:t>
            </w:r>
          </w:p>
        </w:tc>
        <w:tc>
          <w:tcPr>
            <w:tcW w:w="3598"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4825F43B" w14:textId="77777777" w:rsidR="003E0F58" w:rsidRPr="007C705C" w:rsidRDefault="003E0F58" w:rsidP="004D2249">
            <w:pPr>
              <w:spacing w:after="200" w:line="276" w:lineRule="auto"/>
              <w:jc w:val="left"/>
              <w:rPr>
                <w:rFonts w:eastAsia="Calibri" w:cs="Times New Roman"/>
                <w:color w:val="000000"/>
                <w:sz w:val="20"/>
                <w:szCs w:val="20"/>
                <w:lang w:val="cs-CZ"/>
              </w:rPr>
            </w:pPr>
            <w:r w:rsidRPr="007C705C">
              <w:rPr>
                <w:rFonts w:eastAsia="Calibri" w:cs="Times New Roman"/>
                <w:color w:val="000000"/>
                <w:sz w:val="20"/>
                <w:szCs w:val="20"/>
                <w:lang w:val="cs-CZ"/>
              </w:rPr>
              <w:t>Počet podpořených příjemců s podporou v rámci obnovních akcí (8.4)</w:t>
            </w:r>
          </w:p>
        </w:tc>
        <w:tc>
          <w:tcPr>
            <w:tcW w:w="1579"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73174529" w14:textId="77777777" w:rsidR="003E0F58" w:rsidRPr="007C705C" w:rsidRDefault="003E0F58" w:rsidP="004D2249">
            <w:pPr>
              <w:spacing w:after="200" w:line="276" w:lineRule="auto"/>
              <w:jc w:val="left"/>
              <w:rPr>
                <w:rFonts w:eastAsia="Calibri" w:cs="Times New Roman"/>
                <w:color w:val="000000"/>
                <w:sz w:val="20"/>
                <w:szCs w:val="20"/>
                <w:lang w:val="cs-CZ"/>
              </w:rPr>
            </w:pPr>
            <w:r w:rsidRPr="007C705C">
              <w:rPr>
                <w:rFonts w:eastAsia="Calibri" w:cs="Times New Roman"/>
                <w:color w:val="000000"/>
                <w:sz w:val="20"/>
                <w:szCs w:val="20"/>
                <w:lang w:val="cs-CZ"/>
              </w:rPr>
              <w:t>680</w:t>
            </w:r>
          </w:p>
        </w:tc>
      </w:tr>
      <w:tr w:rsidR="003E0F58" w:rsidRPr="007C705C" w14:paraId="1BF4B23F" w14:textId="77777777" w:rsidTr="009D2725">
        <w:trPr>
          <w:trHeight w:val="1211"/>
        </w:trPr>
        <w:tc>
          <w:tcPr>
            <w:tcW w:w="0" w:type="auto"/>
            <w:vMerge/>
            <w:tcBorders>
              <w:top w:val="nil"/>
              <w:left w:val="single" w:sz="8" w:space="0" w:color="auto"/>
              <w:bottom w:val="single" w:sz="8" w:space="0" w:color="000000"/>
              <w:right w:val="single" w:sz="8" w:space="0" w:color="auto"/>
            </w:tcBorders>
            <w:vAlign w:val="center"/>
            <w:hideMark/>
          </w:tcPr>
          <w:p w14:paraId="4D32406B" w14:textId="77777777" w:rsidR="003E0F58" w:rsidRPr="007C705C" w:rsidRDefault="003E0F58" w:rsidP="004D2249">
            <w:pPr>
              <w:spacing w:after="200" w:line="276" w:lineRule="auto"/>
              <w:jc w:val="left"/>
              <w:rPr>
                <w:rFonts w:eastAsia="Calibri" w:cs="Times New Roman"/>
                <w:color w:val="000000"/>
                <w:sz w:val="20"/>
                <w:szCs w:val="20"/>
                <w:lang w:val="cs-CZ"/>
              </w:rPr>
            </w:pPr>
          </w:p>
        </w:tc>
        <w:tc>
          <w:tcPr>
            <w:tcW w:w="1301" w:type="dxa"/>
            <w:vMerge/>
            <w:tcBorders>
              <w:left w:val="nil"/>
              <w:bottom w:val="single" w:sz="8" w:space="0" w:color="auto"/>
              <w:right w:val="single" w:sz="8" w:space="0" w:color="auto"/>
            </w:tcBorders>
            <w:noWrap/>
            <w:tcMar>
              <w:top w:w="0" w:type="dxa"/>
              <w:left w:w="70" w:type="dxa"/>
              <w:bottom w:w="0" w:type="dxa"/>
              <w:right w:w="70" w:type="dxa"/>
            </w:tcMar>
            <w:vAlign w:val="center"/>
            <w:hideMark/>
          </w:tcPr>
          <w:p w14:paraId="1BDE1A3F" w14:textId="77777777" w:rsidR="003E0F58" w:rsidRPr="007C705C" w:rsidRDefault="003E0F58" w:rsidP="004D2249">
            <w:pPr>
              <w:spacing w:after="200" w:line="276" w:lineRule="auto"/>
              <w:jc w:val="left"/>
              <w:rPr>
                <w:rFonts w:eastAsia="Calibri" w:cs="Times New Roman"/>
                <w:color w:val="000000"/>
                <w:sz w:val="20"/>
                <w:szCs w:val="20"/>
                <w:lang w:val="cs-CZ"/>
              </w:rPr>
            </w:pPr>
          </w:p>
        </w:tc>
        <w:tc>
          <w:tcPr>
            <w:tcW w:w="3598"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32A1A067" w14:textId="77777777" w:rsidR="003E0F58" w:rsidRPr="007C705C" w:rsidRDefault="003E0F58" w:rsidP="004D2249">
            <w:pPr>
              <w:spacing w:after="200" w:line="276" w:lineRule="auto"/>
              <w:jc w:val="left"/>
              <w:rPr>
                <w:rFonts w:eastAsia="Calibri" w:cs="Times New Roman"/>
                <w:color w:val="000000"/>
                <w:sz w:val="20"/>
                <w:szCs w:val="20"/>
                <w:lang w:val="cs-CZ"/>
              </w:rPr>
            </w:pPr>
            <w:r w:rsidRPr="007C705C">
              <w:rPr>
                <w:rFonts w:eastAsia="Calibri" w:cs="Times New Roman"/>
                <w:color w:val="000000"/>
                <w:sz w:val="20"/>
                <w:szCs w:val="20"/>
                <w:lang w:val="cs-CZ"/>
              </w:rPr>
              <w:t>Celkové veřejné výdaje (EUR) (8.4)</w:t>
            </w:r>
          </w:p>
        </w:tc>
        <w:tc>
          <w:tcPr>
            <w:tcW w:w="1579"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7D936E20" w14:textId="77777777" w:rsidR="003E0F58" w:rsidRPr="007C705C" w:rsidRDefault="003E0F58" w:rsidP="004D2249">
            <w:pPr>
              <w:spacing w:after="200" w:line="276" w:lineRule="auto"/>
              <w:jc w:val="left"/>
              <w:rPr>
                <w:rFonts w:eastAsia="Calibri" w:cs="Times New Roman"/>
                <w:color w:val="000000"/>
                <w:sz w:val="20"/>
                <w:szCs w:val="20"/>
                <w:lang w:val="cs-CZ"/>
              </w:rPr>
            </w:pPr>
            <w:r w:rsidRPr="007C705C">
              <w:rPr>
                <w:rFonts w:eastAsia="Calibri" w:cs="Times New Roman"/>
                <w:color w:val="000000"/>
                <w:sz w:val="20"/>
                <w:szCs w:val="20"/>
                <w:lang w:val="cs-CZ"/>
              </w:rPr>
              <w:t>12 960 009</w:t>
            </w:r>
          </w:p>
        </w:tc>
      </w:tr>
    </w:tbl>
    <w:p w14:paraId="241316F1" w14:textId="77777777" w:rsidR="003E0F58" w:rsidRPr="007C705C" w:rsidRDefault="003E0F58" w:rsidP="009D2725">
      <w:pPr>
        <w:pStyle w:val="UZEINormaln"/>
        <w:rPr>
          <w:rFonts w:eastAsia="Calibri"/>
        </w:rPr>
      </w:pPr>
      <w:r w:rsidRPr="007C705C">
        <w:rPr>
          <w:rFonts w:eastAsia="Calibri"/>
        </w:rPr>
        <w:t>U operací 8.4 u výstupu byla stanovena kvantifikace 680 příjemců. V současné době za roky 2016 až 2018 je evidováno 225 projektů od 139 unikátních příjemců, tzn., že se jedná o plnění ve výši 20,4 %, nebo příp. 33,1 % pokud by se započítával počet projektů. Za toto období 2016-2018 je požadováno 7 006 485 EUR, tzn., že se jedná o plnění ve výši 54,1 %.</w:t>
      </w:r>
    </w:p>
    <w:p w14:paraId="0B63E476" w14:textId="77777777" w:rsidR="003E0F58" w:rsidRPr="007C705C" w:rsidRDefault="003E0F58" w:rsidP="008A1AE3">
      <w:pPr>
        <w:pStyle w:val="Odstavecseseznamem"/>
        <w:numPr>
          <w:ilvl w:val="0"/>
          <w:numId w:val="37"/>
        </w:numPr>
        <w:spacing w:before="60" w:line="360" w:lineRule="atLeast"/>
        <w:rPr>
          <w:rFonts w:eastAsiaTheme="minorEastAsia"/>
          <w:b/>
          <w:bCs/>
        </w:rPr>
      </w:pPr>
      <w:r w:rsidRPr="007C705C">
        <w:rPr>
          <w:rFonts w:eastAsiaTheme="minorEastAsia"/>
          <w:b/>
          <w:bCs/>
        </w:rPr>
        <w:t>Nedostatečné využití potenciálu lesních ekosystémů při možné minimalizaci dopadu očekávané globální klimatické změny a extrémních meteorologických jevů</w:t>
      </w:r>
    </w:p>
    <w:p w14:paraId="12402C3B" w14:textId="354C6E0A" w:rsidR="003E0F58" w:rsidRPr="007C705C" w:rsidRDefault="003E0F58" w:rsidP="009D2725">
      <w:pPr>
        <w:pStyle w:val="UZEIOdrky"/>
        <w:rPr>
          <w:rFonts w:eastAsiaTheme="minorEastAsia"/>
        </w:rPr>
      </w:pPr>
      <w:r w:rsidRPr="007C705C">
        <w:rPr>
          <w:rFonts w:eastAsiaTheme="minorEastAsia"/>
        </w:rPr>
        <w:t>Zalesňování zemědělské půdy</w:t>
      </w:r>
    </w:p>
    <w:p w14:paraId="42ED911A" w14:textId="77777777" w:rsidR="003E0F58" w:rsidRPr="007C705C" w:rsidRDefault="003E0F58" w:rsidP="009D2725">
      <w:pPr>
        <w:pStyle w:val="UZEINormaln"/>
        <w:rPr>
          <w:rFonts w:eastAsiaTheme="minorEastAsia"/>
        </w:rPr>
      </w:pPr>
      <w:r w:rsidRPr="007C705C">
        <w:rPr>
          <w:rFonts w:eastAsiaTheme="minorEastAsia"/>
        </w:rPr>
        <w:t xml:space="preserve">V programovém období 2014-2020 je implementováno opatření zalesnění zemědělské půdy včetně poskytnutí dotace na péči o založený porost po dobu 5 let a dotace za ukončení zemědělské činnosti po dobu 10 let. Podpora je zacílena na vymezenou zemědělskou půdu v LPIS, která je definována jako vhodná k zalesnění a způsobilá pro přímou platbu, resp. SAPS. V roce 2017 bylo podáno 44 žádostí na 47,5 ha s požadovaným finančním objemem 3,5 mil. Kč. Dotace na péči o založený porost a náhradu za ukončení zemědělské výroby byla poskytnuta na výměru 158 ha 66 žadatelům ve výši 1,6 mil. Kč. V rámci opatření jsou vypláceny i závazky z předchozích </w:t>
      </w:r>
      <w:bookmarkStart w:id="469" w:name="OLE_LINK1"/>
      <w:bookmarkStart w:id="470" w:name="OLE_LINK2"/>
      <w:r w:rsidRPr="007C705C">
        <w:rPr>
          <w:rFonts w:eastAsiaTheme="minorEastAsia"/>
        </w:rPr>
        <w:t>programových období, přičemž je možné podávat pouze žádosti o poskytnutí dotace na péči o lesní porost a náhradu za ukončení zemědělské výroby. V roce 2017 bylo podáno na staré závazky z PRV 1 387 žádostí ve výši 20,5 mil. Kč</w:t>
      </w:r>
      <w:bookmarkEnd w:id="469"/>
      <w:bookmarkEnd w:id="470"/>
      <w:r w:rsidRPr="007C705C">
        <w:rPr>
          <w:rFonts w:eastAsiaTheme="minorEastAsia"/>
        </w:rPr>
        <w:t xml:space="preserve"> a z HRDP bylo podáno 834 žádostí na 9 mil. Kč.</w:t>
      </w:r>
    </w:p>
    <w:tbl>
      <w:tblPr>
        <w:tblW w:w="9222" w:type="dxa"/>
        <w:tblCellMar>
          <w:left w:w="70" w:type="dxa"/>
          <w:right w:w="70" w:type="dxa"/>
        </w:tblCellMar>
        <w:tblLook w:val="04A0" w:firstRow="1" w:lastRow="0" w:firstColumn="1" w:lastColumn="0" w:noHBand="0" w:noVBand="1"/>
      </w:tblPr>
      <w:tblGrid>
        <w:gridCol w:w="9222"/>
      </w:tblGrid>
      <w:tr w:rsidR="003E0F58" w:rsidRPr="007C705C" w14:paraId="692AF297" w14:textId="77777777" w:rsidTr="00601C1D">
        <w:trPr>
          <w:trHeight w:val="237"/>
        </w:trPr>
        <w:tc>
          <w:tcPr>
            <w:tcW w:w="0" w:type="auto"/>
            <w:shd w:val="clear" w:color="000000" w:fill="FFFFFF"/>
            <w:vAlign w:val="center"/>
            <w:hideMark/>
          </w:tcPr>
          <w:p w14:paraId="092CBFF3" w14:textId="77777777" w:rsidR="003E0F58" w:rsidRPr="007C705C" w:rsidRDefault="003E0F58" w:rsidP="004D2249">
            <w:pPr>
              <w:rPr>
                <w:rFonts w:cs="Times New Roman"/>
                <w:b/>
                <w:i/>
                <w:color w:val="000000"/>
                <w:sz w:val="14"/>
                <w:szCs w:val="16"/>
                <w:lang w:val="cs-CZ"/>
              </w:rPr>
            </w:pPr>
          </w:p>
          <w:p w14:paraId="14CC81BB" w14:textId="14D8806A" w:rsidR="003E0F58" w:rsidRPr="007C705C" w:rsidRDefault="009D2725" w:rsidP="009D2725">
            <w:pPr>
              <w:pStyle w:val="UZEITaB"/>
            </w:pPr>
            <w:bookmarkStart w:id="471" w:name="_Toc77245870"/>
            <w:r>
              <w:t xml:space="preserve">  </w:t>
            </w:r>
            <w:bookmarkStart w:id="472" w:name="_Toc94181637"/>
            <w:r w:rsidR="003E0F58" w:rsidRPr="007C705C">
              <w:t>Kvantifikované cíle operace 8.1.1 podle 5.</w:t>
            </w:r>
            <w:bookmarkEnd w:id="471"/>
            <w:bookmarkEnd w:id="472"/>
          </w:p>
          <w:tbl>
            <w:tblPr>
              <w:tblW w:w="9072" w:type="dxa"/>
              <w:tblCellMar>
                <w:left w:w="70" w:type="dxa"/>
                <w:right w:w="70" w:type="dxa"/>
              </w:tblCellMar>
              <w:tblLook w:val="04A0" w:firstRow="1" w:lastRow="0" w:firstColumn="1" w:lastColumn="0" w:noHBand="0" w:noVBand="1"/>
            </w:tblPr>
            <w:tblGrid>
              <w:gridCol w:w="2069"/>
              <w:gridCol w:w="2225"/>
              <w:gridCol w:w="2823"/>
              <w:gridCol w:w="1955"/>
            </w:tblGrid>
            <w:tr w:rsidR="003E0F58" w:rsidRPr="007C705C" w14:paraId="7E9C4976" w14:textId="77777777" w:rsidTr="004D2249">
              <w:trPr>
                <w:trHeight w:val="310"/>
              </w:trPr>
              <w:tc>
                <w:tcPr>
                  <w:tcW w:w="22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999C1C" w14:textId="77777777" w:rsidR="003E0F58" w:rsidRPr="007C705C" w:rsidRDefault="003E0F58" w:rsidP="004D2249">
                  <w:pPr>
                    <w:jc w:val="left"/>
                    <w:rPr>
                      <w:rFonts w:cs="Times New Roman"/>
                      <w:b/>
                      <w:bCs/>
                      <w:color w:val="000000"/>
                      <w:sz w:val="20"/>
                      <w:szCs w:val="20"/>
                      <w:lang w:val="cs-CZ"/>
                    </w:rPr>
                  </w:pPr>
                  <w:r w:rsidRPr="007C705C">
                    <w:rPr>
                      <w:rFonts w:cs="Times New Roman"/>
                      <w:b/>
                      <w:bCs/>
                      <w:color w:val="000000"/>
                      <w:sz w:val="20"/>
                      <w:szCs w:val="20"/>
                      <w:lang w:val="cs-CZ"/>
                    </w:rPr>
                    <w:t>Cíl operace</w:t>
                  </w:r>
                </w:p>
              </w:tc>
              <w:tc>
                <w:tcPr>
                  <w:tcW w:w="1672" w:type="dxa"/>
                  <w:tcBorders>
                    <w:top w:val="single" w:sz="4" w:space="0" w:color="auto"/>
                    <w:left w:val="nil"/>
                    <w:bottom w:val="single" w:sz="4" w:space="0" w:color="auto"/>
                    <w:right w:val="single" w:sz="4" w:space="0" w:color="auto"/>
                  </w:tcBorders>
                  <w:shd w:val="clear" w:color="auto" w:fill="auto"/>
                  <w:vAlign w:val="center"/>
                  <w:hideMark/>
                </w:tcPr>
                <w:p w14:paraId="140681FE" w14:textId="77777777" w:rsidR="003E0F58" w:rsidRPr="007C705C" w:rsidRDefault="003E0F58" w:rsidP="004D2249">
                  <w:pPr>
                    <w:jc w:val="center"/>
                    <w:rPr>
                      <w:rFonts w:cs="Times New Roman"/>
                      <w:b/>
                      <w:bCs/>
                      <w:color w:val="000000"/>
                      <w:sz w:val="20"/>
                      <w:szCs w:val="20"/>
                      <w:lang w:val="cs-CZ"/>
                    </w:rPr>
                  </w:pPr>
                  <w:r w:rsidRPr="007C705C">
                    <w:rPr>
                      <w:rFonts w:cs="Times New Roman"/>
                      <w:b/>
                      <w:bCs/>
                      <w:color w:val="000000"/>
                      <w:sz w:val="20"/>
                      <w:szCs w:val="20"/>
                      <w:lang w:val="cs-CZ"/>
                    </w:rPr>
                    <w:t>Typ indikátoru</w:t>
                  </w:r>
                </w:p>
              </w:tc>
              <w:tc>
                <w:tcPr>
                  <w:tcW w:w="3253" w:type="dxa"/>
                  <w:tcBorders>
                    <w:top w:val="single" w:sz="4" w:space="0" w:color="auto"/>
                    <w:left w:val="nil"/>
                    <w:bottom w:val="single" w:sz="4" w:space="0" w:color="auto"/>
                    <w:right w:val="single" w:sz="4" w:space="0" w:color="auto"/>
                  </w:tcBorders>
                  <w:shd w:val="clear" w:color="auto" w:fill="auto"/>
                  <w:vAlign w:val="center"/>
                  <w:hideMark/>
                </w:tcPr>
                <w:p w14:paraId="58B59A01" w14:textId="77777777" w:rsidR="003E0F58" w:rsidRPr="007C705C" w:rsidRDefault="003E0F58" w:rsidP="004D2249">
                  <w:pPr>
                    <w:jc w:val="center"/>
                    <w:rPr>
                      <w:rFonts w:cs="Times New Roman"/>
                      <w:b/>
                      <w:bCs/>
                      <w:color w:val="000000"/>
                      <w:sz w:val="20"/>
                      <w:szCs w:val="20"/>
                      <w:lang w:val="cs-CZ"/>
                    </w:rPr>
                  </w:pPr>
                  <w:r w:rsidRPr="007C705C">
                    <w:rPr>
                      <w:rFonts w:cs="Times New Roman"/>
                      <w:b/>
                      <w:bCs/>
                      <w:color w:val="000000"/>
                      <w:sz w:val="20"/>
                      <w:szCs w:val="20"/>
                      <w:lang w:val="cs-CZ"/>
                    </w:rPr>
                    <w:t>Název indikátoru</w:t>
                  </w:r>
                </w:p>
              </w:tc>
              <w:tc>
                <w:tcPr>
                  <w:tcW w:w="1899" w:type="dxa"/>
                  <w:tcBorders>
                    <w:top w:val="single" w:sz="4" w:space="0" w:color="auto"/>
                    <w:left w:val="nil"/>
                    <w:bottom w:val="single" w:sz="4" w:space="0" w:color="auto"/>
                    <w:right w:val="single" w:sz="4" w:space="0" w:color="auto"/>
                  </w:tcBorders>
                  <w:shd w:val="clear" w:color="auto" w:fill="auto"/>
                  <w:vAlign w:val="center"/>
                  <w:hideMark/>
                </w:tcPr>
                <w:p w14:paraId="49E20310" w14:textId="77777777" w:rsidR="003E0F58" w:rsidRPr="007C705C" w:rsidRDefault="003E0F58" w:rsidP="004D2249">
                  <w:pPr>
                    <w:jc w:val="center"/>
                    <w:rPr>
                      <w:rFonts w:cs="Times New Roman"/>
                      <w:b/>
                      <w:bCs/>
                      <w:color w:val="000000"/>
                      <w:sz w:val="20"/>
                      <w:szCs w:val="20"/>
                      <w:lang w:val="cs-CZ"/>
                    </w:rPr>
                  </w:pPr>
                  <w:r w:rsidRPr="007C705C">
                    <w:rPr>
                      <w:rFonts w:cs="Times New Roman"/>
                      <w:b/>
                      <w:bCs/>
                      <w:color w:val="000000"/>
                      <w:sz w:val="20"/>
                      <w:szCs w:val="20"/>
                      <w:lang w:val="cs-CZ"/>
                    </w:rPr>
                    <w:t>Kvantifikace</w:t>
                  </w:r>
                </w:p>
              </w:tc>
            </w:tr>
            <w:tr w:rsidR="003E0F58" w:rsidRPr="007C705C" w14:paraId="7087728E" w14:textId="77777777" w:rsidTr="004D2249">
              <w:trPr>
                <w:trHeight w:val="885"/>
              </w:trPr>
              <w:tc>
                <w:tcPr>
                  <w:tcW w:w="2248" w:type="dxa"/>
                  <w:tcBorders>
                    <w:top w:val="nil"/>
                    <w:left w:val="single" w:sz="4" w:space="0" w:color="auto"/>
                    <w:bottom w:val="single" w:sz="4" w:space="0" w:color="auto"/>
                    <w:right w:val="single" w:sz="4" w:space="0" w:color="auto"/>
                  </w:tcBorders>
                  <w:shd w:val="clear" w:color="auto" w:fill="auto"/>
                  <w:vAlign w:val="center"/>
                  <w:hideMark/>
                </w:tcPr>
                <w:p w14:paraId="4CBB2D1A" w14:textId="77777777" w:rsidR="003E0F58" w:rsidRPr="007C705C" w:rsidRDefault="003E0F58" w:rsidP="004D2249">
                  <w:pPr>
                    <w:jc w:val="center"/>
                    <w:rPr>
                      <w:rFonts w:cs="Times New Roman"/>
                      <w:color w:val="000000"/>
                      <w:sz w:val="20"/>
                      <w:szCs w:val="20"/>
                      <w:lang w:val="cs-CZ"/>
                    </w:rPr>
                  </w:pPr>
                  <w:r w:rsidRPr="007C705C">
                    <w:rPr>
                      <w:rFonts w:cs="Times New Roman"/>
                      <w:color w:val="000000"/>
                      <w:sz w:val="20"/>
                      <w:szCs w:val="20"/>
                      <w:lang w:val="cs-CZ"/>
                    </w:rPr>
                    <w:t>Operativní cíl - Podpořit plochu s vyšším ukládáním a pohlcováním uhlíku</w:t>
                  </w:r>
                </w:p>
              </w:tc>
              <w:tc>
                <w:tcPr>
                  <w:tcW w:w="1672" w:type="dxa"/>
                  <w:tcBorders>
                    <w:top w:val="nil"/>
                    <w:left w:val="nil"/>
                    <w:bottom w:val="single" w:sz="4" w:space="0" w:color="auto"/>
                    <w:right w:val="single" w:sz="4" w:space="0" w:color="auto"/>
                  </w:tcBorders>
                  <w:shd w:val="clear" w:color="auto" w:fill="auto"/>
                  <w:noWrap/>
                  <w:vAlign w:val="center"/>
                  <w:hideMark/>
                </w:tcPr>
                <w:p w14:paraId="43BE1463" w14:textId="77777777" w:rsidR="003E0F58" w:rsidRPr="007C705C" w:rsidRDefault="003E0F58" w:rsidP="004D2249">
                  <w:pPr>
                    <w:jc w:val="center"/>
                    <w:rPr>
                      <w:rFonts w:cs="Times New Roman"/>
                      <w:color w:val="000000"/>
                      <w:sz w:val="20"/>
                      <w:szCs w:val="20"/>
                      <w:lang w:val="cs-CZ"/>
                    </w:rPr>
                  </w:pPr>
                  <w:r w:rsidRPr="007C705C">
                    <w:rPr>
                      <w:rFonts w:cs="Times New Roman"/>
                      <w:bCs/>
                      <w:color w:val="000000"/>
                      <w:sz w:val="20"/>
                      <w:szCs w:val="20"/>
                      <w:lang w:val="cs-CZ"/>
                    </w:rPr>
                    <w:t>Výstup</w:t>
                  </w:r>
                </w:p>
              </w:tc>
              <w:tc>
                <w:tcPr>
                  <w:tcW w:w="3253" w:type="dxa"/>
                  <w:tcBorders>
                    <w:top w:val="nil"/>
                    <w:left w:val="nil"/>
                    <w:bottom w:val="single" w:sz="4" w:space="0" w:color="auto"/>
                    <w:right w:val="single" w:sz="4" w:space="0" w:color="auto"/>
                  </w:tcBorders>
                  <w:shd w:val="clear" w:color="auto" w:fill="auto"/>
                  <w:vAlign w:val="center"/>
                  <w:hideMark/>
                </w:tcPr>
                <w:p w14:paraId="6E2100EA" w14:textId="77777777" w:rsidR="003E0F58" w:rsidRPr="007C705C" w:rsidRDefault="003E0F58" w:rsidP="004D2249">
                  <w:pPr>
                    <w:jc w:val="center"/>
                    <w:rPr>
                      <w:rFonts w:cs="Times New Roman"/>
                      <w:color w:val="000000"/>
                      <w:sz w:val="20"/>
                      <w:szCs w:val="20"/>
                      <w:lang w:val="cs-CZ"/>
                    </w:rPr>
                  </w:pPr>
                  <w:r w:rsidRPr="007C705C">
                    <w:rPr>
                      <w:rFonts w:cs="Times New Roman"/>
                      <w:bCs/>
                      <w:color w:val="000000"/>
                      <w:sz w:val="20"/>
                      <w:szCs w:val="20"/>
                      <w:lang w:val="cs-CZ"/>
                    </w:rPr>
                    <w:t>Celková plocha; (ha) – oblast, která má být zalesněna (8.1)</w:t>
                  </w:r>
                </w:p>
              </w:tc>
              <w:tc>
                <w:tcPr>
                  <w:tcW w:w="1899" w:type="dxa"/>
                  <w:tcBorders>
                    <w:top w:val="nil"/>
                    <w:left w:val="nil"/>
                    <w:bottom w:val="single" w:sz="4" w:space="0" w:color="auto"/>
                    <w:right w:val="single" w:sz="4" w:space="0" w:color="auto"/>
                  </w:tcBorders>
                  <w:shd w:val="clear" w:color="auto" w:fill="auto"/>
                  <w:vAlign w:val="center"/>
                  <w:hideMark/>
                </w:tcPr>
                <w:p w14:paraId="032D00E1" w14:textId="77777777" w:rsidR="003E0F58" w:rsidRPr="007C705C" w:rsidRDefault="003E0F58" w:rsidP="004D2249">
                  <w:pPr>
                    <w:jc w:val="center"/>
                    <w:rPr>
                      <w:rFonts w:cs="Times New Roman"/>
                      <w:color w:val="000000"/>
                      <w:sz w:val="20"/>
                      <w:szCs w:val="20"/>
                      <w:lang w:val="cs-CZ"/>
                    </w:rPr>
                  </w:pPr>
                  <w:r w:rsidRPr="007C705C">
                    <w:rPr>
                      <w:rFonts w:cs="Times New Roman"/>
                      <w:color w:val="000000"/>
                      <w:sz w:val="20"/>
                      <w:szCs w:val="20"/>
                      <w:lang w:val="cs-CZ"/>
                    </w:rPr>
                    <w:t>1 000</w:t>
                  </w:r>
                </w:p>
              </w:tc>
            </w:tr>
            <w:tr w:rsidR="003E0F58" w:rsidRPr="007C705C" w14:paraId="02D475F4" w14:textId="77777777" w:rsidTr="004D2249">
              <w:trPr>
                <w:trHeight w:val="1475"/>
              </w:trPr>
              <w:tc>
                <w:tcPr>
                  <w:tcW w:w="2248" w:type="dxa"/>
                  <w:tcBorders>
                    <w:top w:val="nil"/>
                    <w:left w:val="single" w:sz="4" w:space="0" w:color="auto"/>
                    <w:bottom w:val="single" w:sz="4" w:space="0" w:color="auto"/>
                    <w:right w:val="single" w:sz="4" w:space="0" w:color="auto"/>
                  </w:tcBorders>
                  <w:shd w:val="clear" w:color="auto" w:fill="auto"/>
                  <w:vAlign w:val="center"/>
                  <w:hideMark/>
                </w:tcPr>
                <w:p w14:paraId="1742A1FC" w14:textId="77777777" w:rsidR="003E0F58" w:rsidRPr="007C705C" w:rsidRDefault="003E0F58" w:rsidP="004D2249">
                  <w:pPr>
                    <w:jc w:val="center"/>
                    <w:rPr>
                      <w:rFonts w:cs="Times New Roman"/>
                      <w:color w:val="000000"/>
                      <w:sz w:val="20"/>
                      <w:szCs w:val="20"/>
                      <w:lang w:val="cs-CZ"/>
                    </w:rPr>
                  </w:pPr>
                  <w:r w:rsidRPr="007C705C">
                    <w:rPr>
                      <w:rFonts w:cs="Times New Roman"/>
                      <w:color w:val="000000"/>
                      <w:sz w:val="20"/>
                      <w:szCs w:val="20"/>
                      <w:lang w:val="cs-CZ"/>
                    </w:rPr>
                    <w:t>Operativní cíl - Podpořit vyšší  ukládání a pohlcování uhlíku skrze poskytování podpor na změnu krajinného rázu</w:t>
                  </w:r>
                </w:p>
              </w:tc>
              <w:tc>
                <w:tcPr>
                  <w:tcW w:w="1672" w:type="dxa"/>
                  <w:tcBorders>
                    <w:top w:val="nil"/>
                    <w:left w:val="nil"/>
                    <w:bottom w:val="single" w:sz="4" w:space="0" w:color="auto"/>
                    <w:right w:val="single" w:sz="4" w:space="0" w:color="auto"/>
                  </w:tcBorders>
                  <w:shd w:val="clear" w:color="auto" w:fill="auto"/>
                  <w:noWrap/>
                  <w:vAlign w:val="center"/>
                  <w:hideMark/>
                </w:tcPr>
                <w:p w14:paraId="724CF66B" w14:textId="77777777" w:rsidR="003E0F58" w:rsidRPr="007C705C" w:rsidRDefault="003E0F58" w:rsidP="004D2249">
                  <w:pPr>
                    <w:jc w:val="center"/>
                    <w:rPr>
                      <w:rFonts w:cs="Times New Roman"/>
                      <w:color w:val="000000"/>
                      <w:sz w:val="20"/>
                      <w:szCs w:val="20"/>
                      <w:lang w:val="cs-CZ"/>
                    </w:rPr>
                  </w:pPr>
                  <w:r w:rsidRPr="007C705C">
                    <w:rPr>
                      <w:rFonts w:cs="Times New Roman"/>
                      <w:bCs/>
                      <w:color w:val="000000"/>
                      <w:sz w:val="20"/>
                      <w:szCs w:val="20"/>
                      <w:lang w:val="cs-CZ"/>
                    </w:rPr>
                    <w:t>Výstup</w:t>
                  </w:r>
                </w:p>
              </w:tc>
              <w:tc>
                <w:tcPr>
                  <w:tcW w:w="3253" w:type="dxa"/>
                  <w:tcBorders>
                    <w:top w:val="nil"/>
                    <w:left w:val="nil"/>
                    <w:bottom w:val="single" w:sz="4" w:space="0" w:color="auto"/>
                    <w:right w:val="single" w:sz="4" w:space="0" w:color="auto"/>
                  </w:tcBorders>
                  <w:shd w:val="clear" w:color="auto" w:fill="auto"/>
                  <w:vAlign w:val="center"/>
                  <w:hideMark/>
                </w:tcPr>
                <w:p w14:paraId="0D9657B7" w14:textId="77777777" w:rsidR="003E0F58" w:rsidRPr="007C705C" w:rsidRDefault="003E0F58" w:rsidP="004D2249">
                  <w:pPr>
                    <w:jc w:val="center"/>
                    <w:rPr>
                      <w:rFonts w:cs="Times New Roman"/>
                      <w:color w:val="000000"/>
                      <w:sz w:val="20"/>
                      <w:szCs w:val="20"/>
                      <w:lang w:val="cs-CZ"/>
                    </w:rPr>
                  </w:pPr>
                  <w:r w:rsidRPr="007C705C">
                    <w:rPr>
                      <w:rFonts w:cs="Times New Roman"/>
                      <w:bCs/>
                      <w:color w:val="000000"/>
                      <w:sz w:val="20"/>
                      <w:szCs w:val="20"/>
                      <w:lang w:val="cs-CZ"/>
                    </w:rPr>
                    <w:t>Celkové veřejné výdaje (EUR) (8.1)</w:t>
                  </w:r>
                </w:p>
              </w:tc>
              <w:tc>
                <w:tcPr>
                  <w:tcW w:w="1899" w:type="dxa"/>
                  <w:tcBorders>
                    <w:top w:val="nil"/>
                    <w:left w:val="nil"/>
                    <w:bottom w:val="single" w:sz="4" w:space="0" w:color="auto"/>
                    <w:right w:val="single" w:sz="4" w:space="0" w:color="auto"/>
                  </w:tcBorders>
                  <w:shd w:val="clear" w:color="auto" w:fill="auto"/>
                  <w:vAlign w:val="center"/>
                  <w:hideMark/>
                </w:tcPr>
                <w:p w14:paraId="5BAFD03C" w14:textId="77777777" w:rsidR="003E0F58" w:rsidRPr="007C705C" w:rsidRDefault="003E0F58" w:rsidP="004D2249">
                  <w:pPr>
                    <w:jc w:val="center"/>
                    <w:rPr>
                      <w:rFonts w:cs="Times New Roman"/>
                      <w:color w:val="000000"/>
                      <w:sz w:val="20"/>
                      <w:szCs w:val="20"/>
                      <w:lang w:val="cs-CZ"/>
                    </w:rPr>
                  </w:pPr>
                  <w:r w:rsidRPr="007C705C">
                    <w:rPr>
                      <w:rFonts w:cs="Times New Roman"/>
                      <w:bCs/>
                      <w:color w:val="000000"/>
                      <w:sz w:val="20"/>
                      <w:szCs w:val="20"/>
                      <w:lang w:val="cs-CZ"/>
                    </w:rPr>
                    <w:t>10 375 680</w:t>
                  </w:r>
                </w:p>
              </w:tc>
            </w:tr>
            <w:tr w:rsidR="003E0F58" w:rsidRPr="007C705C" w14:paraId="0EA28279" w14:textId="77777777" w:rsidTr="004D2249">
              <w:trPr>
                <w:trHeight w:val="1121"/>
              </w:trPr>
              <w:tc>
                <w:tcPr>
                  <w:tcW w:w="2248" w:type="dxa"/>
                  <w:tcBorders>
                    <w:top w:val="nil"/>
                    <w:left w:val="single" w:sz="4" w:space="0" w:color="auto"/>
                    <w:bottom w:val="single" w:sz="4" w:space="0" w:color="auto"/>
                    <w:right w:val="single" w:sz="4" w:space="0" w:color="auto"/>
                  </w:tcBorders>
                  <w:shd w:val="clear" w:color="auto" w:fill="auto"/>
                  <w:vAlign w:val="center"/>
                  <w:hideMark/>
                </w:tcPr>
                <w:p w14:paraId="2BBDB130" w14:textId="77777777" w:rsidR="003E0F58" w:rsidRPr="007C705C" w:rsidRDefault="003E0F58" w:rsidP="004D2249">
                  <w:pPr>
                    <w:jc w:val="center"/>
                    <w:rPr>
                      <w:rFonts w:cs="Times New Roman"/>
                      <w:color w:val="000000"/>
                      <w:sz w:val="20"/>
                      <w:szCs w:val="20"/>
                      <w:lang w:val="cs-CZ"/>
                    </w:rPr>
                  </w:pPr>
                  <w:r w:rsidRPr="007C705C">
                    <w:rPr>
                      <w:rFonts w:cs="Times New Roman"/>
                      <w:color w:val="000000"/>
                      <w:sz w:val="20"/>
                      <w:szCs w:val="20"/>
                      <w:lang w:val="cs-CZ"/>
                    </w:rPr>
                    <w:lastRenderedPageBreak/>
                    <w:t xml:space="preserve">Specifický cíl - Předcházet erozi půdy a lepší hospodaření s půdou </w:t>
                  </w:r>
                </w:p>
              </w:tc>
              <w:tc>
                <w:tcPr>
                  <w:tcW w:w="1672" w:type="dxa"/>
                  <w:tcBorders>
                    <w:top w:val="nil"/>
                    <w:left w:val="nil"/>
                    <w:bottom w:val="single" w:sz="4" w:space="0" w:color="auto"/>
                    <w:right w:val="single" w:sz="4" w:space="0" w:color="auto"/>
                  </w:tcBorders>
                  <w:shd w:val="clear" w:color="auto" w:fill="auto"/>
                  <w:noWrap/>
                  <w:vAlign w:val="center"/>
                  <w:hideMark/>
                </w:tcPr>
                <w:p w14:paraId="274343FA" w14:textId="77777777" w:rsidR="003E0F58" w:rsidRPr="007C705C" w:rsidRDefault="003E0F58" w:rsidP="004D2249">
                  <w:pPr>
                    <w:jc w:val="center"/>
                    <w:rPr>
                      <w:rFonts w:cs="Times New Roman"/>
                      <w:color w:val="000000"/>
                      <w:sz w:val="20"/>
                      <w:szCs w:val="20"/>
                      <w:lang w:val="cs-CZ"/>
                    </w:rPr>
                  </w:pPr>
                  <w:r w:rsidRPr="007C705C">
                    <w:rPr>
                      <w:rFonts w:cs="Times New Roman"/>
                      <w:color w:val="000000"/>
                      <w:sz w:val="20"/>
                      <w:szCs w:val="20"/>
                      <w:lang w:val="cs-CZ"/>
                    </w:rPr>
                    <w:t>Výsledek</w:t>
                  </w:r>
                </w:p>
              </w:tc>
              <w:tc>
                <w:tcPr>
                  <w:tcW w:w="3253" w:type="dxa"/>
                  <w:tcBorders>
                    <w:top w:val="nil"/>
                    <w:left w:val="nil"/>
                    <w:bottom w:val="single" w:sz="4" w:space="0" w:color="auto"/>
                    <w:right w:val="single" w:sz="4" w:space="0" w:color="auto"/>
                  </w:tcBorders>
                  <w:shd w:val="clear" w:color="auto" w:fill="auto"/>
                  <w:vAlign w:val="center"/>
                  <w:hideMark/>
                </w:tcPr>
                <w:p w14:paraId="5A938784" w14:textId="77777777" w:rsidR="003E0F58" w:rsidRPr="007C705C" w:rsidRDefault="003E0F58" w:rsidP="004D2249">
                  <w:pPr>
                    <w:jc w:val="center"/>
                    <w:rPr>
                      <w:rFonts w:cs="Times New Roman"/>
                      <w:color w:val="000000"/>
                      <w:sz w:val="20"/>
                      <w:szCs w:val="20"/>
                      <w:lang w:val="cs-CZ"/>
                    </w:rPr>
                  </w:pPr>
                  <w:r w:rsidRPr="007C705C">
                    <w:rPr>
                      <w:rFonts w:cs="Times New Roman"/>
                      <w:bCs/>
                      <w:color w:val="000000"/>
                      <w:sz w:val="20"/>
                      <w:szCs w:val="20"/>
                      <w:lang w:val="cs-CZ"/>
                    </w:rPr>
                    <w:t>Podíl zemědělské a lesní půdy pod závazkem obhospodařování přispívajícím k pohlcování a ukládání uhlíku (prioritní oblast 5E)</w:t>
                  </w:r>
                </w:p>
              </w:tc>
              <w:tc>
                <w:tcPr>
                  <w:tcW w:w="1899" w:type="dxa"/>
                  <w:tcBorders>
                    <w:top w:val="nil"/>
                    <w:left w:val="nil"/>
                    <w:bottom w:val="single" w:sz="4" w:space="0" w:color="auto"/>
                    <w:right w:val="single" w:sz="4" w:space="0" w:color="auto"/>
                  </w:tcBorders>
                  <w:shd w:val="clear" w:color="auto" w:fill="auto"/>
                  <w:vAlign w:val="center"/>
                  <w:hideMark/>
                </w:tcPr>
                <w:p w14:paraId="68C2A78C" w14:textId="77777777" w:rsidR="003E0F58" w:rsidRPr="007C705C" w:rsidRDefault="003E0F58" w:rsidP="004D2249">
                  <w:pPr>
                    <w:jc w:val="center"/>
                    <w:rPr>
                      <w:rFonts w:cs="Times New Roman"/>
                      <w:color w:val="000000"/>
                      <w:sz w:val="20"/>
                      <w:szCs w:val="20"/>
                      <w:lang w:val="cs-CZ"/>
                    </w:rPr>
                  </w:pPr>
                  <w:r w:rsidRPr="007C705C">
                    <w:rPr>
                      <w:rFonts w:cs="Times New Roman"/>
                      <w:bCs/>
                      <w:color w:val="000000"/>
                      <w:sz w:val="20"/>
                      <w:szCs w:val="20"/>
                      <w:lang w:val="cs-CZ"/>
                    </w:rPr>
                    <w:t>1 000/6 140 500</w:t>
                  </w:r>
                </w:p>
              </w:tc>
            </w:tr>
            <w:tr w:rsidR="003E0F58" w:rsidRPr="007C705C" w14:paraId="017EB57E" w14:textId="77777777" w:rsidTr="004D2249">
              <w:trPr>
                <w:trHeight w:val="237"/>
              </w:trPr>
              <w:tc>
                <w:tcPr>
                  <w:tcW w:w="0" w:type="auto"/>
                  <w:gridSpan w:val="4"/>
                  <w:tcBorders>
                    <w:top w:val="single" w:sz="4" w:space="0" w:color="auto"/>
                    <w:left w:val="nil"/>
                    <w:bottom w:val="nil"/>
                    <w:right w:val="nil"/>
                  </w:tcBorders>
                  <w:shd w:val="clear" w:color="000000" w:fill="FFFFFF"/>
                  <w:vAlign w:val="center"/>
                  <w:hideMark/>
                </w:tcPr>
                <w:p w14:paraId="016C4560" w14:textId="77777777" w:rsidR="003E0F58" w:rsidRPr="007C705C" w:rsidRDefault="003E0F58" w:rsidP="009D2725">
                  <w:pPr>
                    <w:pStyle w:val="UZEINormaln"/>
                    <w:rPr>
                      <w:rFonts w:eastAsiaTheme="minorEastAsia"/>
                    </w:rPr>
                  </w:pPr>
                  <w:r w:rsidRPr="007C705C">
                    <w:rPr>
                      <w:rFonts w:eastAsiaTheme="minorEastAsia"/>
                    </w:rPr>
                    <w:t>U operace 8.1. u výstupu byla stanovena kvantifikace 1000 ha. V současné době za roky 2015 až 2018 je evidován požadavek na dotaci na 171 hektarech, tzn., že se jedná o plnění ve výši 17,1 %. Jedná se o závazky uzavřené programové období 2014-2020. Pokud by se jednalo i o závazky uzavřené v předchozích letech, tak by byl tento výsledek o jeden řád vyšší. Za toto období (2015-2018) je požadováno 4 594 615 EUR, tzn., že se jedná o plnění ve výši 44,3 %.</w:t>
                  </w:r>
                </w:p>
                <w:p w14:paraId="31AE299A" w14:textId="77777777" w:rsidR="003E0F58" w:rsidRPr="007C705C" w:rsidRDefault="003E0F58" w:rsidP="004D2249">
                  <w:pPr>
                    <w:rPr>
                      <w:rFonts w:cs="Times New Roman"/>
                      <w:i/>
                      <w:color w:val="000000"/>
                      <w:sz w:val="16"/>
                      <w:szCs w:val="16"/>
                      <w:lang w:val="cs-CZ"/>
                    </w:rPr>
                  </w:pPr>
                </w:p>
              </w:tc>
            </w:tr>
          </w:tbl>
          <w:p w14:paraId="750558C2" w14:textId="77777777" w:rsidR="003E0F58" w:rsidRPr="007C705C" w:rsidRDefault="003E0F58" w:rsidP="004D2249">
            <w:pPr>
              <w:rPr>
                <w:rFonts w:cs="Times New Roman"/>
                <w:i/>
                <w:color w:val="000000"/>
                <w:sz w:val="16"/>
                <w:szCs w:val="16"/>
                <w:lang w:val="cs-CZ"/>
              </w:rPr>
            </w:pPr>
          </w:p>
        </w:tc>
      </w:tr>
    </w:tbl>
    <w:p w14:paraId="22EE8FEB" w14:textId="77777777" w:rsidR="003E0F58" w:rsidRPr="008E5D17" w:rsidRDefault="003E0F58" w:rsidP="008E5D17">
      <w:pPr>
        <w:pStyle w:val="Nadpis2"/>
      </w:pPr>
      <w:bookmarkStart w:id="473" w:name="_Toc521315965"/>
      <w:bookmarkStart w:id="474" w:name="_Toc522523042"/>
      <w:bookmarkStart w:id="475" w:name="_Toc523143779"/>
      <w:bookmarkStart w:id="476" w:name="_Toc523146696"/>
      <w:bookmarkStart w:id="477" w:name="_Toc7429650"/>
      <w:bookmarkStart w:id="478" w:name="_Toc7429852"/>
      <w:bookmarkStart w:id="479" w:name="_Toc7430783"/>
      <w:bookmarkStart w:id="480" w:name="_Toc7432035"/>
      <w:bookmarkStart w:id="481" w:name="_Toc9611304"/>
      <w:bookmarkStart w:id="482" w:name="_Toc23326658"/>
      <w:bookmarkStart w:id="483" w:name="_Toc23327265"/>
      <w:bookmarkStart w:id="484" w:name="_Toc77245898"/>
      <w:bookmarkStart w:id="485" w:name="_Toc81343104"/>
      <w:bookmarkStart w:id="486" w:name="_Toc81343167"/>
      <w:bookmarkStart w:id="487" w:name="_Toc81343236"/>
      <w:bookmarkStart w:id="488" w:name="_Toc94181685"/>
      <w:r w:rsidRPr="008E5D17">
        <w:lastRenderedPageBreak/>
        <w:t>Míra současného řešení problému jinými politikami</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3513F6F3" w14:textId="77777777" w:rsidR="003E0F58" w:rsidRPr="007C705C" w:rsidRDefault="003E0F58" w:rsidP="003E0F58">
      <w:pPr>
        <w:rPr>
          <w:rFonts w:eastAsiaTheme="minorEastAsia" w:cs="Times New Roman"/>
          <w:lang w:val="cs-CZ"/>
        </w:rPr>
      </w:pPr>
      <w:r w:rsidRPr="007C705C">
        <w:rPr>
          <w:rFonts w:cs="Times New Roman"/>
          <w:b/>
          <w:lang w:val="cs-CZ"/>
        </w:rPr>
        <w:t>KLIMA:</w:t>
      </w:r>
    </w:p>
    <w:p w14:paraId="59F5942E" w14:textId="1BEACD4C" w:rsidR="003E0F58" w:rsidRPr="007C705C" w:rsidRDefault="003E0F58" w:rsidP="008E5D17">
      <w:pPr>
        <w:pStyle w:val="UZEINormaln"/>
        <w:rPr>
          <w:rFonts w:eastAsiaTheme="minorEastAsia"/>
        </w:rPr>
      </w:pPr>
      <w:r w:rsidRPr="007C705C">
        <w:rPr>
          <w:rFonts w:eastAsiaTheme="minorEastAsia"/>
        </w:rPr>
        <w:t xml:space="preserve">Právní ukotvení viz bod </w:t>
      </w:r>
      <w:r w:rsidRPr="007C705C">
        <w:fldChar w:fldCharType="begin"/>
      </w:r>
      <w:r w:rsidRPr="007C705C">
        <w:rPr>
          <w:rFonts w:eastAsiaTheme="minorEastAsia"/>
        </w:rPr>
        <w:instrText xml:space="preserve"> REF _Ref522274102 \r \h </w:instrText>
      </w:r>
      <w:r w:rsidRPr="007C705C">
        <w:instrText xml:space="preserve"> \* MERGEFORMAT </w:instrText>
      </w:r>
      <w:r w:rsidRPr="007C705C">
        <w:rPr>
          <w:rFonts w:eastAsiaTheme="minorEastAsia"/>
        </w:rPr>
        <w:fldChar w:fldCharType="separate"/>
      </w:r>
      <w:r w:rsidR="00127D64">
        <w:rPr>
          <w:rFonts w:eastAsiaTheme="minorEastAsia"/>
        </w:rPr>
        <w:t>1</w:t>
      </w:r>
      <w:r w:rsidRPr="007C705C">
        <w:fldChar w:fldCharType="end"/>
      </w:r>
      <w:r w:rsidRPr="007C705C">
        <w:rPr>
          <w:rFonts w:eastAsiaTheme="minorEastAsia"/>
        </w:rPr>
        <w:t>.</w:t>
      </w:r>
    </w:p>
    <w:p w14:paraId="3D4282A0" w14:textId="77777777" w:rsidR="003E0F58" w:rsidRPr="007C705C" w:rsidRDefault="003E0F58" w:rsidP="008E5D17">
      <w:pPr>
        <w:pStyle w:val="UZEINormaln"/>
        <w:rPr>
          <w:rFonts w:eastAsiaTheme="minorEastAsia"/>
        </w:rPr>
      </w:pPr>
      <w:r w:rsidRPr="007C705C">
        <w:rPr>
          <w:rFonts w:eastAsiaTheme="minorEastAsia"/>
        </w:rPr>
        <w:t xml:space="preserve">Definované problémy jsou řešeny napříč sektorovými politikami, každý ve vymezené oblasti. </w:t>
      </w:r>
    </w:p>
    <w:p w14:paraId="3B9A0CC4" w14:textId="77777777" w:rsidR="003E0F58" w:rsidRPr="007C705C" w:rsidRDefault="003E0F58" w:rsidP="008E5D17">
      <w:pPr>
        <w:spacing w:before="120" w:after="120"/>
        <w:ind w:firstLine="360"/>
        <w:rPr>
          <w:rFonts w:eastAsiaTheme="minorEastAsia" w:cs="Times New Roman"/>
          <w:lang w:val="cs-CZ"/>
        </w:rPr>
      </w:pPr>
      <w:r w:rsidRPr="007C705C">
        <w:rPr>
          <w:rFonts w:eastAsiaTheme="minorEastAsia" w:cs="Times New Roman"/>
          <w:b/>
          <w:bCs/>
          <w:u w:val="single"/>
          <w:lang w:val="cs-CZ"/>
        </w:rPr>
        <w:t>za oblast GHG a NH</w:t>
      </w:r>
      <w:r w:rsidRPr="0006094E">
        <w:rPr>
          <w:rFonts w:eastAsiaTheme="minorEastAsia" w:cs="Times New Roman"/>
          <w:b/>
          <w:bCs/>
          <w:u w:val="single"/>
          <w:vertAlign w:val="subscript"/>
          <w:lang w:val="cs-CZ"/>
        </w:rPr>
        <w:t>3</w:t>
      </w:r>
    </w:p>
    <w:p w14:paraId="1FE89079" w14:textId="77777777" w:rsidR="003E0F58" w:rsidRPr="007C705C" w:rsidRDefault="003E0F58" w:rsidP="008A1AE3">
      <w:pPr>
        <w:pStyle w:val="Odstavecseseznamem"/>
        <w:numPr>
          <w:ilvl w:val="0"/>
          <w:numId w:val="20"/>
        </w:numPr>
        <w:spacing w:before="120" w:after="120" w:line="240" w:lineRule="auto"/>
        <w:rPr>
          <w:rFonts w:eastAsiaTheme="minorEastAsia"/>
          <w:b/>
          <w:bCs/>
        </w:rPr>
      </w:pPr>
      <w:r w:rsidRPr="007C705C">
        <w:rPr>
          <w:rFonts w:eastAsiaTheme="minorEastAsia"/>
          <w:b/>
          <w:bCs/>
        </w:rPr>
        <w:t>Nízká odolnost zemědělských podniků vůči klimatickým změnám</w:t>
      </w:r>
    </w:p>
    <w:p w14:paraId="37FB408F" w14:textId="77777777" w:rsidR="003E0F58" w:rsidRPr="007C705C" w:rsidRDefault="003E0F58" w:rsidP="008A1AE3">
      <w:pPr>
        <w:pStyle w:val="Odstavecseseznamem"/>
        <w:numPr>
          <w:ilvl w:val="0"/>
          <w:numId w:val="20"/>
        </w:numPr>
        <w:spacing w:before="120" w:after="120" w:line="240" w:lineRule="auto"/>
        <w:rPr>
          <w:rFonts w:eastAsiaTheme="minorEastAsia"/>
          <w:b/>
          <w:bCs/>
        </w:rPr>
      </w:pPr>
      <w:r w:rsidRPr="007C705C">
        <w:rPr>
          <w:rFonts w:eastAsiaTheme="minorEastAsia"/>
          <w:b/>
          <w:bCs/>
        </w:rPr>
        <w:t>Vysoké emise GHG a NH3 ze zemědělství</w:t>
      </w:r>
    </w:p>
    <w:p w14:paraId="3CE8762E" w14:textId="77777777" w:rsidR="003E0F58" w:rsidRPr="007C705C" w:rsidRDefault="003E0F58" w:rsidP="008A1AE3">
      <w:pPr>
        <w:pStyle w:val="Odstavecseseznamem"/>
        <w:numPr>
          <w:ilvl w:val="0"/>
          <w:numId w:val="20"/>
        </w:numPr>
        <w:spacing w:before="120" w:after="120" w:line="240" w:lineRule="auto"/>
        <w:rPr>
          <w:rFonts w:eastAsiaTheme="minorEastAsia"/>
          <w:b/>
          <w:bCs/>
        </w:rPr>
      </w:pPr>
      <w:r w:rsidRPr="007C705C">
        <w:rPr>
          <w:rFonts w:eastAsiaTheme="minorEastAsia"/>
          <w:b/>
          <w:bCs/>
        </w:rPr>
        <w:t>Nízký obsah organického uhlíku v půdě</w:t>
      </w:r>
      <w:r w:rsidRPr="007C705C">
        <w:rPr>
          <w:rStyle w:val="Znakapoznpodarou"/>
          <w:rFonts w:eastAsiaTheme="minorEastAsia"/>
          <w:b/>
          <w:bCs/>
        </w:rPr>
        <w:footnoteReference w:id="12"/>
      </w:r>
    </w:p>
    <w:p w14:paraId="3D0AA072" w14:textId="77777777" w:rsidR="003E0F58" w:rsidRPr="007C705C" w:rsidRDefault="003E0F58" w:rsidP="003E0F58">
      <w:pPr>
        <w:pStyle w:val="Odstavecseseznamem"/>
      </w:pPr>
    </w:p>
    <w:p w14:paraId="0D3E12E6" w14:textId="35203946" w:rsidR="003E0F58" w:rsidRPr="003F3C51" w:rsidRDefault="003E0F58" w:rsidP="003F3C51">
      <w:pPr>
        <w:pStyle w:val="UZEINormaln"/>
        <w:rPr>
          <w:rFonts w:eastAsiaTheme="minorEastAsia"/>
        </w:rPr>
      </w:pPr>
      <w:r w:rsidRPr="007C705C">
        <w:rPr>
          <w:rFonts w:eastAsiaTheme="minorEastAsia"/>
        </w:rPr>
        <w:t xml:space="preserve">Jiné politiky mimo výčet v bodě </w:t>
      </w:r>
      <w:r w:rsidRPr="007C705C">
        <w:fldChar w:fldCharType="begin"/>
      </w:r>
      <w:r w:rsidRPr="007C705C">
        <w:rPr>
          <w:rFonts w:eastAsiaTheme="minorEastAsia"/>
        </w:rPr>
        <w:instrText xml:space="preserve"> REF _Ref522274102 \r \h  \* MERGEFORMAT </w:instrText>
      </w:r>
      <w:r w:rsidRPr="007C705C">
        <w:fldChar w:fldCharType="separate"/>
      </w:r>
      <w:r w:rsidR="00127D64">
        <w:rPr>
          <w:rFonts w:eastAsiaTheme="minorEastAsia"/>
        </w:rPr>
        <w:t>1</w:t>
      </w:r>
      <w:r w:rsidRPr="007C705C">
        <w:fldChar w:fldCharType="end"/>
      </w:r>
      <w:r w:rsidRPr="007C705C">
        <w:rPr>
          <w:rFonts w:eastAsiaTheme="minorEastAsia"/>
        </w:rPr>
        <w:t xml:space="preserve">, PRV 14+ a politik uvedených v </w:t>
      </w:r>
      <w:r w:rsidR="004C4072">
        <w:fldChar w:fldCharType="begin"/>
      </w:r>
      <w:r w:rsidR="004C4072">
        <w:rPr>
          <w:rFonts w:eastAsiaTheme="minorEastAsia"/>
        </w:rPr>
        <w:instrText xml:space="preserve"> REF _Ref81338885 \r \h </w:instrText>
      </w:r>
      <w:r w:rsidR="004C4072">
        <w:fldChar w:fldCharType="separate"/>
      </w:r>
      <w:r w:rsidR="00127D64">
        <w:rPr>
          <w:rFonts w:eastAsiaTheme="minorEastAsia"/>
        </w:rPr>
        <w:t>Tabulka 8</w:t>
      </w:r>
      <w:r w:rsidR="004C4072">
        <w:fldChar w:fldCharType="end"/>
      </w:r>
      <w:r w:rsidR="00E83544">
        <w:t xml:space="preserve">7 </w:t>
      </w:r>
      <w:r w:rsidRPr="007C705C">
        <w:rPr>
          <w:rFonts w:eastAsiaTheme="minorEastAsia"/>
        </w:rPr>
        <w:t>se definovanými problémy přímo nezabývají, nicméně není zcela vyloučen jejich nepřímý vliv.</w:t>
      </w:r>
    </w:p>
    <w:p w14:paraId="2167BCE6" w14:textId="2813D119" w:rsidR="003E0F58" w:rsidRPr="007C705C" w:rsidRDefault="003F3C51" w:rsidP="003F3C51">
      <w:pPr>
        <w:pStyle w:val="UZEITaB"/>
      </w:pPr>
      <w:bookmarkStart w:id="489" w:name="_Toc77245871"/>
      <w:r>
        <w:t xml:space="preserve">  </w:t>
      </w:r>
      <w:bookmarkStart w:id="490" w:name="_Ref81338885"/>
      <w:bookmarkStart w:id="491" w:name="_Toc94181638"/>
      <w:r w:rsidR="003E0F58" w:rsidRPr="007C705C">
        <w:t>Přehled Operačních programů a oblastí podpory snižování GHG a NH</w:t>
      </w:r>
      <w:r w:rsidR="003E0F58" w:rsidRPr="007C705C">
        <w:rPr>
          <w:vertAlign w:val="subscript"/>
        </w:rPr>
        <w:t>3</w:t>
      </w:r>
      <w:r w:rsidR="003E0F58" w:rsidRPr="007C705C">
        <w:t xml:space="preserve"> ze zemědělství</w:t>
      </w:r>
      <w:bookmarkEnd w:id="489"/>
      <w:bookmarkEnd w:id="490"/>
      <w:bookmarkEnd w:id="491"/>
    </w:p>
    <w:tbl>
      <w:tblPr>
        <w:tblStyle w:val="Mkatabulky"/>
        <w:tblW w:w="5000" w:type="pct"/>
        <w:tblLook w:val="04A0" w:firstRow="1" w:lastRow="0" w:firstColumn="1" w:lastColumn="0" w:noHBand="0" w:noVBand="1"/>
      </w:tblPr>
      <w:tblGrid>
        <w:gridCol w:w="3869"/>
        <w:gridCol w:w="5193"/>
      </w:tblGrid>
      <w:tr w:rsidR="003E0F58" w:rsidRPr="004C4072" w14:paraId="7286EA0B" w14:textId="77777777" w:rsidTr="004D2249">
        <w:tc>
          <w:tcPr>
            <w:tcW w:w="2135" w:type="pct"/>
            <w:shd w:val="clear" w:color="auto" w:fill="DEEAF6" w:themeFill="accent5" w:themeFillTint="33"/>
            <w:vAlign w:val="center"/>
          </w:tcPr>
          <w:p w14:paraId="23C69800" w14:textId="77777777" w:rsidR="003E0F58" w:rsidRPr="004C4072" w:rsidRDefault="003E0F58" w:rsidP="004D2249">
            <w:pPr>
              <w:spacing w:line="276" w:lineRule="auto"/>
              <w:ind w:firstLine="22"/>
              <w:jc w:val="center"/>
              <w:rPr>
                <w:rFonts w:eastAsiaTheme="minorEastAsia"/>
                <w:sz w:val="20"/>
              </w:rPr>
            </w:pPr>
            <w:r w:rsidRPr="004C4072">
              <w:rPr>
                <w:rFonts w:eastAsiaTheme="minorEastAsia"/>
                <w:sz w:val="20"/>
              </w:rPr>
              <w:t>Název operačního programu</w:t>
            </w:r>
          </w:p>
        </w:tc>
        <w:tc>
          <w:tcPr>
            <w:tcW w:w="2865" w:type="pct"/>
            <w:shd w:val="clear" w:color="auto" w:fill="DEEAF6" w:themeFill="accent5" w:themeFillTint="33"/>
            <w:vAlign w:val="center"/>
          </w:tcPr>
          <w:p w14:paraId="14C206AD" w14:textId="77777777" w:rsidR="003E0F58" w:rsidRPr="004C4072" w:rsidRDefault="003E0F58" w:rsidP="004D2249">
            <w:pPr>
              <w:spacing w:line="276" w:lineRule="auto"/>
              <w:ind w:firstLine="22"/>
              <w:jc w:val="center"/>
              <w:rPr>
                <w:rFonts w:eastAsiaTheme="minorEastAsia"/>
                <w:sz w:val="20"/>
              </w:rPr>
            </w:pPr>
            <w:r w:rsidRPr="004C4072">
              <w:rPr>
                <w:rFonts w:eastAsiaTheme="minorEastAsia"/>
                <w:sz w:val="20"/>
              </w:rPr>
              <w:t>Název oblasti podpory</w:t>
            </w:r>
          </w:p>
        </w:tc>
      </w:tr>
      <w:tr w:rsidR="003E0F58" w:rsidRPr="004C4072" w14:paraId="1AB5063F" w14:textId="77777777" w:rsidTr="004D2249">
        <w:tc>
          <w:tcPr>
            <w:tcW w:w="2135" w:type="pct"/>
            <w:vMerge w:val="restart"/>
            <w:shd w:val="clear" w:color="auto" w:fill="EDEDED" w:themeFill="accent3" w:themeFillTint="33"/>
            <w:vAlign w:val="center"/>
          </w:tcPr>
          <w:p w14:paraId="3CCDA7F9" w14:textId="77777777" w:rsidR="003E0F58" w:rsidRPr="004C4072" w:rsidRDefault="003E0F58" w:rsidP="004D2249">
            <w:pPr>
              <w:spacing w:line="276" w:lineRule="auto"/>
              <w:ind w:left="113" w:firstLine="22"/>
              <w:jc w:val="center"/>
              <w:rPr>
                <w:rFonts w:eastAsiaTheme="minorEastAsia"/>
                <w:sz w:val="20"/>
              </w:rPr>
            </w:pPr>
            <w:r w:rsidRPr="004C4072">
              <w:rPr>
                <w:rFonts w:eastAsiaTheme="minorEastAsia"/>
                <w:sz w:val="20"/>
              </w:rPr>
              <w:t>Operační program Životní prostředí (OPŽP)</w:t>
            </w:r>
          </w:p>
        </w:tc>
        <w:tc>
          <w:tcPr>
            <w:tcW w:w="2865" w:type="pct"/>
            <w:vAlign w:val="center"/>
          </w:tcPr>
          <w:p w14:paraId="38B1DE97" w14:textId="77777777" w:rsidR="003E0F58" w:rsidRPr="004C4072" w:rsidRDefault="003E0F58" w:rsidP="004D2249">
            <w:pPr>
              <w:spacing w:line="276" w:lineRule="auto"/>
              <w:ind w:firstLine="22"/>
              <w:jc w:val="center"/>
              <w:rPr>
                <w:rFonts w:eastAsiaTheme="minorEastAsia"/>
                <w:sz w:val="20"/>
              </w:rPr>
            </w:pPr>
            <w:r w:rsidRPr="004C4072">
              <w:rPr>
                <w:rFonts w:eastAsiaTheme="minorEastAsia"/>
                <w:sz w:val="20"/>
              </w:rPr>
              <w:t>1) Zlepšování kvality vod a snižování rizika povodní</w:t>
            </w:r>
          </w:p>
        </w:tc>
      </w:tr>
      <w:tr w:rsidR="003E0F58" w:rsidRPr="004C4072" w14:paraId="1BBD5781" w14:textId="77777777" w:rsidTr="004D2249">
        <w:tc>
          <w:tcPr>
            <w:tcW w:w="2135" w:type="pct"/>
            <w:vMerge/>
          </w:tcPr>
          <w:p w14:paraId="2DBD6BFD" w14:textId="77777777" w:rsidR="003E0F58" w:rsidRPr="004C4072" w:rsidRDefault="003E0F58" w:rsidP="004D2249">
            <w:pPr>
              <w:spacing w:line="276" w:lineRule="auto"/>
              <w:ind w:firstLine="22"/>
              <w:rPr>
                <w:sz w:val="20"/>
              </w:rPr>
            </w:pPr>
          </w:p>
        </w:tc>
        <w:tc>
          <w:tcPr>
            <w:tcW w:w="2865" w:type="pct"/>
            <w:vAlign w:val="center"/>
          </w:tcPr>
          <w:p w14:paraId="56E49F3A" w14:textId="77777777" w:rsidR="003E0F58" w:rsidRPr="004C4072" w:rsidRDefault="003E0F58" w:rsidP="004D2249">
            <w:pPr>
              <w:spacing w:line="276" w:lineRule="auto"/>
              <w:ind w:firstLine="22"/>
              <w:jc w:val="center"/>
              <w:rPr>
                <w:rFonts w:eastAsiaTheme="minorEastAsia"/>
                <w:sz w:val="20"/>
              </w:rPr>
            </w:pPr>
            <w:r w:rsidRPr="004C4072">
              <w:rPr>
                <w:rFonts w:eastAsiaTheme="minorEastAsia"/>
                <w:sz w:val="20"/>
              </w:rPr>
              <w:t>2) Zlepšování kvality ovzduší v lidských sídlech</w:t>
            </w:r>
          </w:p>
        </w:tc>
      </w:tr>
      <w:tr w:rsidR="003E0F58" w:rsidRPr="004C4072" w14:paraId="0EF0E31C" w14:textId="77777777" w:rsidTr="004D2249">
        <w:tc>
          <w:tcPr>
            <w:tcW w:w="2135" w:type="pct"/>
            <w:vMerge/>
          </w:tcPr>
          <w:p w14:paraId="49D2A4C3" w14:textId="77777777" w:rsidR="003E0F58" w:rsidRPr="004C4072" w:rsidRDefault="003E0F58" w:rsidP="004D2249">
            <w:pPr>
              <w:spacing w:line="276" w:lineRule="auto"/>
              <w:ind w:firstLine="22"/>
              <w:rPr>
                <w:sz w:val="20"/>
              </w:rPr>
            </w:pPr>
          </w:p>
        </w:tc>
        <w:tc>
          <w:tcPr>
            <w:tcW w:w="2865" w:type="pct"/>
            <w:vAlign w:val="center"/>
          </w:tcPr>
          <w:p w14:paraId="3107AFD2" w14:textId="77777777" w:rsidR="003E0F58" w:rsidRPr="004C4072" w:rsidRDefault="003E0F58" w:rsidP="004D2249">
            <w:pPr>
              <w:spacing w:line="276" w:lineRule="auto"/>
              <w:ind w:firstLine="22"/>
              <w:jc w:val="center"/>
              <w:rPr>
                <w:rFonts w:eastAsiaTheme="minorEastAsia"/>
                <w:sz w:val="20"/>
              </w:rPr>
            </w:pPr>
            <w:r w:rsidRPr="004C4072">
              <w:rPr>
                <w:rFonts w:eastAsiaTheme="minorEastAsia"/>
                <w:sz w:val="20"/>
              </w:rPr>
              <w:t>3) Ochrana a péče o přírodu a krajinu</w:t>
            </w:r>
          </w:p>
        </w:tc>
      </w:tr>
      <w:tr w:rsidR="003E0F58" w:rsidRPr="004C4072" w14:paraId="610A07C5" w14:textId="77777777" w:rsidTr="004D2249">
        <w:tc>
          <w:tcPr>
            <w:tcW w:w="2135" w:type="pct"/>
            <w:vMerge w:val="restart"/>
            <w:shd w:val="clear" w:color="auto" w:fill="E2EFD9" w:themeFill="accent6" w:themeFillTint="33"/>
            <w:vAlign w:val="center"/>
          </w:tcPr>
          <w:p w14:paraId="4A455827" w14:textId="77777777" w:rsidR="003E0F58" w:rsidRPr="004C4072" w:rsidRDefault="003E0F58" w:rsidP="004D2249">
            <w:pPr>
              <w:spacing w:line="276" w:lineRule="auto"/>
              <w:ind w:left="113" w:firstLine="22"/>
              <w:jc w:val="center"/>
              <w:rPr>
                <w:rFonts w:eastAsiaTheme="minorEastAsia"/>
                <w:sz w:val="20"/>
              </w:rPr>
            </w:pPr>
            <w:r w:rsidRPr="004C4072">
              <w:rPr>
                <w:rFonts w:eastAsiaTheme="minorEastAsia"/>
                <w:sz w:val="20"/>
              </w:rPr>
              <w:t>Integrovaný regionální operační program</w:t>
            </w:r>
          </w:p>
        </w:tc>
        <w:tc>
          <w:tcPr>
            <w:tcW w:w="2865" w:type="pct"/>
            <w:vAlign w:val="center"/>
          </w:tcPr>
          <w:p w14:paraId="6153A5BC" w14:textId="77777777" w:rsidR="003E0F58" w:rsidRPr="004C4072" w:rsidRDefault="003E0F58" w:rsidP="004D2249">
            <w:pPr>
              <w:spacing w:line="276" w:lineRule="auto"/>
              <w:ind w:firstLine="22"/>
              <w:jc w:val="center"/>
              <w:rPr>
                <w:rFonts w:eastAsiaTheme="minorEastAsia"/>
                <w:sz w:val="20"/>
              </w:rPr>
            </w:pPr>
            <w:r w:rsidRPr="004C4072">
              <w:rPr>
                <w:rFonts w:eastAsiaTheme="minorEastAsia"/>
                <w:sz w:val="20"/>
              </w:rPr>
              <w:t>1) Zvýšení připravenosti k řešení a řízení rizik a katastrof</w:t>
            </w:r>
          </w:p>
        </w:tc>
      </w:tr>
      <w:tr w:rsidR="003E0F58" w:rsidRPr="004C4072" w14:paraId="3678F44C" w14:textId="77777777" w:rsidTr="004D2249">
        <w:tc>
          <w:tcPr>
            <w:tcW w:w="2135" w:type="pct"/>
            <w:vMerge/>
          </w:tcPr>
          <w:p w14:paraId="58D8EEAD" w14:textId="77777777" w:rsidR="003E0F58" w:rsidRPr="004C4072" w:rsidRDefault="003E0F58" w:rsidP="004D2249">
            <w:pPr>
              <w:spacing w:line="276" w:lineRule="auto"/>
              <w:ind w:firstLine="22"/>
              <w:rPr>
                <w:sz w:val="20"/>
              </w:rPr>
            </w:pPr>
          </w:p>
        </w:tc>
        <w:tc>
          <w:tcPr>
            <w:tcW w:w="2865" w:type="pct"/>
            <w:vAlign w:val="center"/>
          </w:tcPr>
          <w:p w14:paraId="15494216" w14:textId="77777777" w:rsidR="003E0F58" w:rsidRPr="004C4072" w:rsidRDefault="003E0F58" w:rsidP="004D2249">
            <w:pPr>
              <w:spacing w:line="276" w:lineRule="auto"/>
              <w:ind w:firstLine="22"/>
              <w:jc w:val="center"/>
              <w:rPr>
                <w:rFonts w:eastAsiaTheme="minorEastAsia"/>
                <w:sz w:val="20"/>
              </w:rPr>
            </w:pPr>
            <w:r w:rsidRPr="004C4072">
              <w:rPr>
                <w:rFonts w:eastAsiaTheme="minorEastAsia"/>
                <w:sz w:val="20"/>
              </w:rPr>
              <w:t>2) Podpora pořizování a uplatňování dokumentů územního rozvoje</w:t>
            </w:r>
          </w:p>
        </w:tc>
      </w:tr>
      <w:tr w:rsidR="003E0F58" w:rsidRPr="004C4072" w14:paraId="43C63CF4" w14:textId="77777777" w:rsidTr="004D2249">
        <w:tc>
          <w:tcPr>
            <w:tcW w:w="2135" w:type="pct"/>
            <w:shd w:val="clear" w:color="auto" w:fill="DEEAF6" w:themeFill="accent5" w:themeFillTint="33"/>
            <w:vAlign w:val="center"/>
          </w:tcPr>
          <w:p w14:paraId="5940EB30" w14:textId="77777777" w:rsidR="003E0F58" w:rsidRPr="004C4072" w:rsidRDefault="003E0F58" w:rsidP="004D2249">
            <w:pPr>
              <w:spacing w:line="276" w:lineRule="auto"/>
              <w:ind w:firstLine="22"/>
              <w:rPr>
                <w:sz w:val="20"/>
              </w:rPr>
            </w:pPr>
            <w:r w:rsidRPr="004C4072">
              <w:rPr>
                <w:rFonts w:eastAsiaTheme="minorEastAsia"/>
                <w:sz w:val="20"/>
              </w:rPr>
              <w:t>Název finančního instrumentu EU</w:t>
            </w:r>
          </w:p>
        </w:tc>
        <w:tc>
          <w:tcPr>
            <w:tcW w:w="2865" w:type="pct"/>
            <w:shd w:val="clear" w:color="auto" w:fill="DEEAF6" w:themeFill="accent5" w:themeFillTint="33"/>
            <w:vAlign w:val="center"/>
          </w:tcPr>
          <w:p w14:paraId="2A8B79A3" w14:textId="77777777" w:rsidR="003E0F58" w:rsidRPr="004C4072" w:rsidRDefault="003E0F58" w:rsidP="004D2249">
            <w:pPr>
              <w:spacing w:line="276" w:lineRule="auto"/>
              <w:ind w:firstLine="22"/>
              <w:jc w:val="center"/>
              <w:rPr>
                <w:rFonts w:eastAsiaTheme="minorEastAsia"/>
                <w:sz w:val="20"/>
              </w:rPr>
            </w:pPr>
            <w:r w:rsidRPr="004C4072">
              <w:rPr>
                <w:rFonts w:eastAsiaTheme="minorEastAsia"/>
                <w:sz w:val="20"/>
              </w:rPr>
              <w:t>Název oblasti podpory</w:t>
            </w:r>
          </w:p>
        </w:tc>
      </w:tr>
      <w:tr w:rsidR="003E0F58" w:rsidRPr="004C4072" w14:paraId="5F7787B4" w14:textId="77777777" w:rsidTr="004D2249">
        <w:tc>
          <w:tcPr>
            <w:tcW w:w="2135" w:type="pct"/>
            <w:vAlign w:val="center"/>
          </w:tcPr>
          <w:p w14:paraId="271D3535" w14:textId="77777777" w:rsidR="003E0F58" w:rsidRPr="004C4072" w:rsidRDefault="003E0F58" w:rsidP="004D2249">
            <w:pPr>
              <w:spacing w:line="276" w:lineRule="auto"/>
              <w:ind w:firstLine="22"/>
              <w:jc w:val="center"/>
              <w:rPr>
                <w:sz w:val="20"/>
              </w:rPr>
            </w:pPr>
            <w:r w:rsidRPr="004C4072">
              <w:rPr>
                <w:sz w:val="20"/>
              </w:rPr>
              <w:t>LIFE +</w:t>
            </w:r>
          </w:p>
        </w:tc>
        <w:tc>
          <w:tcPr>
            <w:tcW w:w="2865" w:type="pct"/>
            <w:vAlign w:val="center"/>
          </w:tcPr>
          <w:p w14:paraId="268F008E" w14:textId="77777777" w:rsidR="003E0F58" w:rsidRPr="004C4072" w:rsidRDefault="003E0F58" w:rsidP="004D2249">
            <w:pPr>
              <w:spacing w:line="276" w:lineRule="auto"/>
              <w:ind w:firstLine="22"/>
              <w:jc w:val="center"/>
              <w:rPr>
                <w:rFonts w:eastAsiaTheme="minorEastAsia"/>
                <w:sz w:val="20"/>
              </w:rPr>
            </w:pPr>
            <w:r w:rsidRPr="004C4072">
              <w:rPr>
                <w:rFonts w:eastAsiaTheme="minorEastAsia"/>
                <w:sz w:val="20"/>
              </w:rPr>
              <w:t>1) Účinné využívání zdrojů</w:t>
            </w:r>
          </w:p>
          <w:p w14:paraId="57151A4E" w14:textId="77777777" w:rsidR="003E0F58" w:rsidRPr="004C4072" w:rsidRDefault="003E0F58" w:rsidP="004D2249">
            <w:pPr>
              <w:spacing w:line="276" w:lineRule="auto"/>
              <w:ind w:firstLine="22"/>
              <w:jc w:val="center"/>
              <w:rPr>
                <w:rFonts w:eastAsiaTheme="minorEastAsia"/>
                <w:sz w:val="20"/>
              </w:rPr>
            </w:pPr>
            <w:r w:rsidRPr="004C4072">
              <w:rPr>
                <w:rFonts w:eastAsiaTheme="minorEastAsia"/>
                <w:sz w:val="20"/>
              </w:rPr>
              <w:t>2) Správa a informace – životní prostředí</w:t>
            </w:r>
          </w:p>
          <w:p w14:paraId="5F9F108E" w14:textId="77777777" w:rsidR="003E0F58" w:rsidRPr="004C4072" w:rsidRDefault="003E0F58" w:rsidP="004D2249">
            <w:pPr>
              <w:spacing w:line="276" w:lineRule="auto"/>
              <w:ind w:firstLine="22"/>
              <w:jc w:val="center"/>
              <w:rPr>
                <w:rFonts w:eastAsiaTheme="minorEastAsia"/>
                <w:sz w:val="20"/>
              </w:rPr>
            </w:pPr>
            <w:r w:rsidRPr="004C4072">
              <w:rPr>
                <w:rFonts w:eastAsiaTheme="minorEastAsia"/>
                <w:sz w:val="20"/>
              </w:rPr>
              <w:t>3) Zmírňování změny klimatu</w:t>
            </w:r>
          </w:p>
          <w:p w14:paraId="744AF8D7" w14:textId="77777777" w:rsidR="003E0F58" w:rsidRPr="004C4072" w:rsidRDefault="003E0F58" w:rsidP="004D2249">
            <w:pPr>
              <w:spacing w:line="276" w:lineRule="auto"/>
              <w:ind w:firstLine="22"/>
              <w:jc w:val="center"/>
              <w:rPr>
                <w:rFonts w:eastAsiaTheme="minorEastAsia"/>
                <w:sz w:val="20"/>
              </w:rPr>
            </w:pPr>
            <w:r w:rsidRPr="004C4072">
              <w:rPr>
                <w:rFonts w:eastAsiaTheme="minorEastAsia"/>
                <w:sz w:val="20"/>
              </w:rPr>
              <w:t>4) Adaptace na změnu klimatu</w:t>
            </w:r>
          </w:p>
          <w:p w14:paraId="7B394777" w14:textId="77777777" w:rsidR="003E0F58" w:rsidRPr="004C4072" w:rsidRDefault="003E0F58" w:rsidP="004D2249">
            <w:pPr>
              <w:spacing w:line="276" w:lineRule="auto"/>
              <w:ind w:firstLine="22"/>
              <w:jc w:val="center"/>
              <w:rPr>
                <w:rFonts w:eastAsiaTheme="minorEastAsia"/>
                <w:sz w:val="20"/>
              </w:rPr>
            </w:pPr>
            <w:r w:rsidRPr="004C4072">
              <w:rPr>
                <w:rFonts w:eastAsiaTheme="minorEastAsia"/>
                <w:sz w:val="20"/>
              </w:rPr>
              <w:t>5) Správa a informace - klima</w:t>
            </w:r>
          </w:p>
        </w:tc>
      </w:tr>
      <w:tr w:rsidR="003E0F58" w:rsidRPr="004C4072" w14:paraId="57E1A2C1" w14:textId="77777777" w:rsidTr="004D2249">
        <w:tc>
          <w:tcPr>
            <w:tcW w:w="2135" w:type="pct"/>
            <w:vAlign w:val="center"/>
          </w:tcPr>
          <w:p w14:paraId="079DFEC1" w14:textId="77777777" w:rsidR="003E0F58" w:rsidRPr="004C4072" w:rsidRDefault="003E0F58" w:rsidP="004D2249">
            <w:pPr>
              <w:spacing w:line="276" w:lineRule="auto"/>
              <w:ind w:firstLine="22"/>
              <w:jc w:val="center"/>
              <w:rPr>
                <w:sz w:val="20"/>
              </w:rPr>
            </w:pPr>
            <w:r w:rsidRPr="004C4072">
              <w:rPr>
                <w:sz w:val="20"/>
              </w:rPr>
              <w:t>Horizon 2020</w:t>
            </w:r>
          </w:p>
        </w:tc>
        <w:tc>
          <w:tcPr>
            <w:tcW w:w="2865" w:type="pct"/>
            <w:vAlign w:val="center"/>
          </w:tcPr>
          <w:p w14:paraId="5342D6FA" w14:textId="77777777" w:rsidR="003E0F58" w:rsidRPr="004C4072" w:rsidRDefault="003E0F58" w:rsidP="004D2249">
            <w:pPr>
              <w:spacing w:line="276" w:lineRule="auto"/>
              <w:ind w:firstLine="22"/>
              <w:jc w:val="center"/>
              <w:rPr>
                <w:rFonts w:eastAsiaTheme="minorEastAsia"/>
                <w:sz w:val="20"/>
              </w:rPr>
            </w:pPr>
            <w:r w:rsidRPr="004C4072">
              <w:rPr>
                <w:rFonts w:eastAsiaTheme="minorEastAsia"/>
                <w:sz w:val="20"/>
              </w:rPr>
              <w:t>1) Building a low-carbon, climate resilient future</w:t>
            </w:r>
          </w:p>
          <w:p w14:paraId="463E1CBF" w14:textId="77777777" w:rsidR="003E0F58" w:rsidRPr="004C4072" w:rsidRDefault="003E0F58" w:rsidP="004D2249">
            <w:pPr>
              <w:spacing w:line="276" w:lineRule="auto"/>
              <w:ind w:firstLine="22"/>
              <w:jc w:val="center"/>
              <w:rPr>
                <w:rFonts w:eastAsiaTheme="minorEastAsia"/>
                <w:sz w:val="20"/>
              </w:rPr>
            </w:pPr>
            <w:r w:rsidRPr="004C4072">
              <w:rPr>
                <w:rFonts w:eastAsiaTheme="minorEastAsia"/>
                <w:sz w:val="20"/>
              </w:rPr>
              <w:t>2) Connecting economic and environmental gains – the Circular Economy</w:t>
            </w:r>
          </w:p>
        </w:tc>
      </w:tr>
    </w:tbl>
    <w:p w14:paraId="1E2D7306" w14:textId="42908671" w:rsidR="003E0F58" w:rsidRDefault="003E0F58" w:rsidP="004C4072">
      <w:pPr>
        <w:pStyle w:val="UZEIZdroj"/>
      </w:pPr>
      <w:r w:rsidRPr="007C705C">
        <w:t>Zdroj: Analýza operačních programů a finančních instrumentů EU (ÚZEI, 2018)</w:t>
      </w:r>
    </w:p>
    <w:p w14:paraId="530EE3DE" w14:textId="110AE873" w:rsidR="00DF7D2F" w:rsidRPr="00B96B9F" w:rsidRDefault="00DF7D2F" w:rsidP="00DF7D2F">
      <w:pPr>
        <w:pStyle w:val="UZEINormaln"/>
      </w:pPr>
      <w:r w:rsidRPr="00B96B9F">
        <w:t xml:space="preserve">Nejvýznamnějším dopadem na životní prostředí, pokud jde o kvalitu ovzduší, je eutrofizace půdy a vodních ekosystémů. Ta je definována jako překročení „kritického zatížení“ pro usazování – maximálního usazeného znečištění, které může ekosystém zvládnout bez </w:t>
      </w:r>
      <w:r w:rsidRPr="00B96B9F">
        <w:lastRenderedPageBreak/>
        <w:t>nepříznivých ekologických dopadů. Nadměrné usazování dusíku je způsobeno usazováním NO</w:t>
      </w:r>
      <w:r w:rsidRPr="00B96B9F">
        <w:rPr>
          <w:vertAlign w:val="subscript"/>
        </w:rPr>
        <w:t>X</w:t>
      </w:r>
      <w:r w:rsidRPr="00B96B9F">
        <w:t xml:space="preserve"> a NH</w:t>
      </w:r>
      <w:r w:rsidRPr="00B96B9F">
        <w:rPr>
          <w:vertAlign w:val="subscript"/>
        </w:rPr>
        <w:t>3</w:t>
      </w:r>
      <w:r w:rsidRPr="00B96B9F">
        <w:t>. NH</w:t>
      </w:r>
      <w:r w:rsidRPr="00B96B9F">
        <w:rPr>
          <w:vertAlign w:val="subscript"/>
        </w:rPr>
        <w:t xml:space="preserve">3 </w:t>
      </w:r>
      <w:r w:rsidRPr="00B96B9F">
        <w:t xml:space="preserve">převládá, přičemž existuje potenciál pro jeho snížení – plné provedení aktuálně dostupných technických opatření by snížilo nadměrné usazování o více než 75 % (Zpráva Komise EU, 2018). Definované problémy jsou řešeny napříč sektorovými politikami, každý ve vymezené oblasti. Přehled řešení jinými politikami je uveden v tabulce </w:t>
      </w:r>
      <w:r>
        <w:t>87</w:t>
      </w:r>
      <w:r w:rsidRPr="00B96B9F">
        <w:t>.</w:t>
      </w:r>
    </w:p>
    <w:p w14:paraId="5BB4006B" w14:textId="1332CD01" w:rsidR="00044AFD" w:rsidRPr="000952AD" w:rsidRDefault="00044AFD" w:rsidP="000952AD">
      <w:pPr>
        <w:pStyle w:val="Default"/>
        <w:jc w:val="both"/>
        <w:rPr>
          <w:rFonts w:eastAsiaTheme="minorHAnsi"/>
        </w:rPr>
      </w:pPr>
      <w:r w:rsidRPr="000952AD">
        <w:t>V ČR je základním dokumentem ochrany životního prostředí Státní politika životního prostředí České republiky do roku 2030 s výhledem do roku 2050, schválená v lednu 2021. Jedním ze strategických cílů je cíl 1.2 Kvalita ovzduší se zlepšuje</w:t>
      </w:r>
      <w:r w:rsidR="000952AD" w:rsidRPr="000952AD">
        <w:rPr>
          <w:rFonts w:eastAsiaTheme="minorHAnsi"/>
        </w:rPr>
        <w:t xml:space="preserve">, v rámci kterého jsou definovány specifické cíle </w:t>
      </w:r>
      <w:r w:rsidR="000952AD">
        <w:rPr>
          <w:rFonts w:eastAsiaTheme="minorHAnsi"/>
        </w:rPr>
        <w:t>1.2.1 Emise znečišťujících látek se snižují a 1.2.2 Imisní limity znečisťujících látek jsou dodržovány. Závazek snížení emisí NH</w:t>
      </w:r>
      <w:r w:rsidR="000952AD" w:rsidRPr="000952AD">
        <w:rPr>
          <w:rFonts w:eastAsiaTheme="minorHAnsi"/>
          <w:vertAlign w:val="subscript"/>
        </w:rPr>
        <w:t>3</w:t>
      </w:r>
      <w:r w:rsidR="000952AD">
        <w:rPr>
          <w:rFonts w:eastAsiaTheme="minorHAnsi"/>
          <w:vertAlign w:val="subscript"/>
        </w:rPr>
        <w:t xml:space="preserve"> </w:t>
      </w:r>
      <w:r w:rsidR="000952AD">
        <w:rPr>
          <w:rFonts w:eastAsiaTheme="minorHAnsi"/>
        </w:rPr>
        <w:t>oproti roku 2005 je k roku 2030 stanoven na 22</w:t>
      </w:r>
      <w:r w:rsidR="00601C1D">
        <w:rPr>
          <w:rFonts w:eastAsiaTheme="minorHAnsi"/>
        </w:rPr>
        <w:t xml:space="preserve"> </w:t>
      </w:r>
      <w:r w:rsidR="000952AD">
        <w:rPr>
          <w:rFonts w:eastAsiaTheme="minorHAnsi"/>
        </w:rPr>
        <w:t>%.</w:t>
      </w:r>
    </w:p>
    <w:p w14:paraId="74EF7350" w14:textId="7A9FC826" w:rsidR="00DF7D2F" w:rsidRPr="00B96B9F" w:rsidRDefault="00DF7D2F" w:rsidP="00DF7D2F">
      <w:pPr>
        <w:pStyle w:val="UZEINormaln"/>
      </w:pPr>
      <w:r w:rsidRPr="00B96B9F">
        <w:t>Dle Střednědobé strategie zlepšení kvality ovzduší v České republice v rámci prioritní osy 2 Operačního programu Životní prostředí bylo ke dni 9. 6. 2015 k podpoře schváleno celkem 2 487 žádostí o dotaci. Tyto projekty jsou v různé fázi realizace. Celkové investiční výdaje na všechny projekty činí 38,1 mld. Kč. Podpora z Fondu soudržnosti na tyto projekty činí 16,9 mld. Kč (což je v podstatě 100 % alokace na prioritní osu 2 OPŽP), ze státního rozpočtu cca 0,7 mld. Kč a z rozpočtu Státního fondu životního prostředí cca 0,6 mld. Kč. Z hlediska distribuce počtu projektů v jednotlivých podporovaných opatřeních jednoznačně převládají projekty na omezení prašnosti (především pořízení čistících vozů), kterých je dosud podpořeno 1 116, dále pak projekty zaměřené na snížení emisí NH</w:t>
      </w:r>
      <w:r w:rsidRPr="00B96B9F">
        <w:rPr>
          <w:vertAlign w:val="subscript"/>
        </w:rPr>
        <w:t>3</w:t>
      </w:r>
      <w:r w:rsidRPr="00B96B9F">
        <w:t xml:space="preserve"> ze zemědělské činnosti, kterých je podpořeno 697. Přehled podpořených projektů podle jednotlivých typů je uveden v tabulce </w:t>
      </w:r>
      <w:r w:rsidR="00E83544">
        <w:t>88</w:t>
      </w:r>
      <w:r w:rsidRPr="00B96B9F">
        <w:t>.</w:t>
      </w:r>
    </w:p>
    <w:p w14:paraId="2127C458" w14:textId="77777777" w:rsidR="00DF7D2F" w:rsidRPr="00B96B9F" w:rsidRDefault="00DF7D2F" w:rsidP="00DF7D2F">
      <w:pPr>
        <w:pStyle w:val="UZEITaB"/>
      </w:pPr>
      <w:bookmarkStart w:id="492" w:name="_Toc81088070"/>
      <w:bookmarkStart w:id="493" w:name="_Toc81749912"/>
      <w:bookmarkStart w:id="494" w:name="_Toc94181639"/>
      <w:r w:rsidRPr="00B96B9F">
        <w:t>Celkový přehled podpořených projektů z OPŽP v prioritní ose 2</w:t>
      </w:r>
      <w:bookmarkEnd w:id="492"/>
      <w:bookmarkEnd w:id="493"/>
      <w:bookmarkEnd w:id="494"/>
    </w:p>
    <w:tbl>
      <w:tblPr>
        <w:tblW w:w="9139" w:type="dxa"/>
        <w:tblInd w:w="70" w:type="dxa"/>
        <w:tblCellMar>
          <w:left w:w="70" w:type="dxa"/>
          <w:right w:w="70" w:type="dxa"/>
        </w:tblCellMar>
        <w:tblLook w:val="04A0" w:firstRow="1" w:lastRow="0" w:firstColumn="1" w:lastColumn="0" w:noHBand="0" w:noVBand="1"/>
      </w:tblPr>
      <w:tblGrid>
        <w:gridCol w:w="776"/>
        <w:gridCol w:w="3969"/>
        <w:gridCol w:w="992"/>
        <w:gridCol w:w="1985"/>
        <w:gridCol w:w="1417"/>
      </w:tblGrid>
      <w:tr w:rsidR="00DF7D2F" w:rsidRPr="002777EE" w14:paraId="35EFBABC" w14:textId="77777777" w:rsidTr="007C4202">
        <w:trPr>
          <w:trHeight w:val="510"/>
          <w:tblHeader/>
        </w:trPr>
        <w:tc>
          <w:tcPr>
            <w:tcW w:w="4745" w:type="dxa"/>
            <w:gridSpan w:val="2"/>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DA41640" w14:textId="77777777" w:rsidR="00DF7D2F" w:rsidRPr="00B96B9F" w:rsidRDefault="00DF7D2F" w:rsidP="007C4202">
            <w:pPr>
              <w:pStyle w:val="UZEINormaln"/>
              <w:spacing w:before="0" w:after="0"/>
              <w:jc w:val="center"/>
              <w:rPr>
                <w:b/>
                <w:sz w:val="22"/>
                <w:szCs w:val="20"/>
              </w:rPr>
            </w:pPr>
            <w:r w:rsidRPr="00286674">
              <w:rPr>
                <w:b/>
                <w:sz w:val="22"/>
                <w:szCs w:val="22"/>
              </w:rPr>
              <w:t>Podporovaný typ projektu</w:t>
            </w:r>
          </w:p>
        </w:tc>
        <w:tc>
          <w:tcPr>
            <w:tcW w:w="992" w:type="dxa"/>
            <w:tcBorders>
              <w:top w:val="single" w:sz="4" w:space="0" w:color="auto"/>
              <w:left w:val="nil"/>
              <w:bottom w:val="single" w:sz="4" w:space="0" w:color="auto"/>
              <w:right w:val="single" w:sz="4" w:space="0" w:color="auto"/>
            </w:tcBorders>
            <w:shd w:val="clear" w:color="auto" w:fill="D9D9D9"/>
            <w:noWrap/>
            <w:vAlign w:val="center"/>
            <w:hideMark/>
          </w:tcPr>
          <w:p w14:paraId="6AF64427" w14:textId="77777777" w:rsidR="00DF7D2F" w:rsidRPr="00B96B9F" w:rsidRDefault="00DF7D2F" w:rsidP="007C4202">
            <w:pPr>
              <w:pStyle w:val="UZEINormaln"/>
              <w:spacing w:before="0" w:after="0"/>
              <w:jc w:val="center"/>
              <w:rPr>
                <w:b/>
                <w:sz w:val="22"/>
                <w:szCs w:val="20"/>
              </w:rPr>
            </w:pPr>
            <w:r w:rsidRPr="00286674">
              <w:rPr>
                <w:b/>
                <w:sz w:val="22"/>
                <w:szCs w:val="22"/>
              </w:rPr>
              <w:t>Počet projektů</w:t>
            </w:r>
          </w:p>
        </w:tc>
        <w:tc>
          <w:tcPr>
            <w:tcW w:w="1985" w:type="dxa"/>
            <w:tcBorders>
              <w:top w:val="single" w:sz="4" w:space="0" w:color="auto"/>
              <w:left w:val="nil"/>
              <w:bottom w:val="single" w:sz="4" w:space="0" w:color="auto"/>
              <w:right w:val="single" w:sz="4" w:space="0" w:color="auto"/>
            </w:tcBorders>
            <w:shd w:val="clear" w:color="auto" w:fill="D9D9D9"/>
            <w:noWrap/>
            <w:vAlign w:val="center"/>
            <w:hideMark/>
          </w:tcPr>
          <w:p w14:paraId="04A18123" w14:textId="77777777" w:rsidR="00DF7D2F" w:rsidRPr="00B96B9F" w:rsidRDefault="00DF7D2F" w:rsidP="007C4202">
            <w:pPr>
              <w:pStyle w:val="UZEINormaln"/>
              <w:spacing w:before="0" w:after="0"/>
              <w:jc w:val="center"/>
              <w:rPr>
                <w:b/>
                <w:sz w:val="22"/>
                <w:szCs w:val="20"/>
              </w:rPr>
            </w:pPr>
            <w:r w:rsidRPr="00286674">
              <w:rPr>
                <w:b/>
                <w:sz w:val="22"/>
                <w:szCs w:val="22"/>
              </w:rPr>
              <w:t>Celkové investiční náklady (mld. Kč)</w:t>
            </w:r>
          </w:p>
        </w:tc>
        <w:tc>
          <w:tcPr>
            <w:tcW w:w="1417" w:type="dxa"/>
            <w:tcBorders>
              <w:top w:val="single" w:sz="4" w:space="0" w:color="auto"/>
              <w:left w:val="nil"/>
              <w:bottom w:val="single" w:sz="4" w:space="0" w:color="auto"/>
              <w:right w:val="single" w:sz="4" w:space="0" w:color="auto"/>
            </w:tcBorders>
            <w:shd w:val="clear" w:color="auto" w:fill="D9D9D9"/>
            <w:noWrap/>
            <w:vAlign w:val="center"/>
            <w:hideMark/>
          </w:tcPr>
          <w:p w14:paraId="42E3BDA8" w14:textId="77777777" w:rsidR="00DF7D2F" w:rsidRPr="00B96B9F" w:rsidRDefault="00DF7D2F" w:rsidP="007C4202">
            <w:pPr>
              <w:pStyle w:val="UZEINormaln"/>
              <w:spacing w:before="0" w:after="0"/>
              <w:jc w:val="center"/>
              <w:rPr>
                <w:b/>
                <w:sz w:val="22"/>
                <w:szCs w:val="20"/>
              </w:rPr>
            </w:pPr>
            <w:r w:rsidRPr="00286674">
              <w:rPr>
                <w:b/>
                <w:sz w:val="22"/>
                <w:szCs w:val="22"/>
              </w:rPr>
              <w:t>Podpora z FS (mld. Kč)</w:t>
            </w:r>
          </w:p>
        </w:tc>
      </w:tr>
      <w:tr w:rsidR="00DF7D2F" w:rsidRPr="00B96B9F" w14:paraId="78BC3B6B" w14:textId="77777777" w:rsidTr="0006094E">
        <w:trPr>
          <w:trHeight w:val="283"/>
        </w:trPr>
        <w:tc>
          <w:tcPr>
            <w:tcW w:w="776" w:type="dxa"/>
            <w:tcBorders>
              <w:top w:val="nil"/>
              <w:left w:val="single" w:sz="4" w:space="0" w:color="auto"/>
              <w:bottom w:val="single" w:sz="4" w:space="0" w:color="auto"/>
              <w:right w:val="single" w:sz="4" w:space="0" w:color="auto"/>
            </w:tcBorders>
            <w:shd w:val="clear" w:color="auto" w:fill="auto"/>
            <w:noWrap/>
            <w:vAlign w:val="center"/>
            <w:hideMark/>
          </w:tcPr>
          <w:p w14:paraId="48DB9CEE" w14:textId="77777777" w:rsidR="00DF7D2F" w:rsidRPr="00B96B9F" w:rsidRDefault="00DF7D2F" w:rsidP="007C4202">
            <w:pPr>
              <w:pStyle w:val="UZEINormaln"/>
              <w:spacing w:before="0" w:after="0"/>
              <w:rPr>
                <w:sz w:val="22"/>
              </w:rPr>
            </w:pPr>
            <w:r w:rsidRPr="00286674">
              <w:rPr>
                <w:sz w:val="22"/>
                <w:szCs w:val="22"/>
              </w:rPr>
              <w:t>2.1.1</w:t>
            </w:r>
          </w:p>
        </w:tc>
        <w:tc>
          <w:tcPr>
            <w:tcW w:w="3969" w:type="dxa"/>
            <w:tcBorders>
              <w:top w:val="nil"/>
              <w:left w:val="nil"/>
              <w:bottom w:val="single" w:sz="4" w:space="0" w:color="auto"/>
              <w:right w:val="single" w:sz="4" w:space="0" w:color="auto"/>
            </w:tcBorders>
            <w:shd w:val="clear" w:color="auto" w:fill="auto"/>
            <w:noWrap/>
            <w:vAlign w:val="center"/>
            <w:hideMark/>
          </w:tcPr>
          <w:p w14:paraId="2C20401D" w14:textId="77777777" w:rsidR="00DF7D2F" w:rsidRPr="00B96B9F" w:rsidRDefault="00DF7D2F" w:rsidP="007C4202">
            <w:pPr>
              <w:pStyle w:val="UZEINormaln"/>
              <w:spacing w:before="0" w:after="0"/>
              <w:rPr>
                <w:sz w:val="22"/>
              </w:rPr>
            </w:pPr>
            <w:r w:rsidRPr="00286674">
              <w:rPr>
                <w:sz w:val="22"/>
                <w:szCs w:val="22"/>
              </w:rPr>
              <w:t xml:space="preserve">energetika – </w:t>
            </w:r>
            <w:r w:rsidRPr="00B96B9F">
              <w:rPr>
                <w:sz w:val="22"/>
              </w:rPr>
              <w:t>zdroje do 5 MW</w:t>
            </w:r>
          </w:p>
        </w:tc>
        <w:tc>
          <w:tcPr>
            <w:tcW w:w="992" w:type="dxa"/>
            <w:tcBorders>
              <w:top w:val="nil"/>
              <w:left w:val="nil"/>
              <w:bottom w:val="single" w:sz="4" w:space="0" w:color="auto"/>
              <w:right w:val="single" w:sz="4" w:space="0" w:color="auto"/>
            </w:tcBorders>
            <w:shd w:val="clear" w:color="auto" w:fill="auto"/>
            <w:noWrap/>
            <w:vAlign w:val="center"/>
            <w:hideMark/>
          </w:tcPr>
          <w:p w14:paraId="6C48505B" w14:textId="77777777" w:rsidR="00DF7D2F" w:rsidRPr="00B96B9F" w:rsidRDefault="00DF7D2F" w:rsidP="007C4202">
            <w:pPr>
              <w:pStyle w:val="UZEINormaln"/>
              <w:spacing w:before="0" w:after="0"/>
              <w:rPr>
                <w:sz w:val="22"/>
              </w:rPr>
            </w:pPr>
            <w:r w:rsidRPr="00286674">
              <w:rPr>
                <w:sz w:val="22"/>
                <w:szCs w:val="22"/>
              </w:rPr>
              <w:t>336</w:t>
            </w:r>
          </w:p>
        </w:tc>
        <w:tc>
          <w:tcPr>
            <w:tcW w:w="1985" w:type="dxa"/>
            <w:tcBorders>
              <w:top w:val="nil"/>
              <w:left w:val="nil"/>
              <w:bottom w:val="single" w:sz="4" w:space="0" w:color="auto"/>
              <w:right w:val="single" w:sz="4" w:space="0" w:color="auto"/>
            </w:tcBorders>
            <w:shd w:val="clear" w:color="auto" w:fill="auto"/>
            <w:noWrap/>
            <w:vAlign w:val="center"/>
            <w:hideMark/>
          </w:tcPr>
          <w:p w14:paraId="2D3F9943" w14:textId="77777777" w:rsidR="00DF7D2F" w:rsidRPr="00B96B9F" w:rsidRDefault="00DF7D2F" w:rsidP="007C4202">
            <w:pPr>
              <w:pStyle w:val="UZEINormaln"/>
              <w:spacing w:before="0" w:after="0"/>
              <w:rPr>
                <w:sz w:val="22"/>
              </w:rPr>
            </w:pPr>
            <w:r w:rsidRPr="00286674">
              <w:rPr>
                <w:sz w:val="22"/>
                <w:szCs w:val="22"/>
              </w:rPr>
              <w:t>2,0</w:t>
            </w:r>
          </w:p>
        </w:tc>
        <w:tc>
          <w:tcPr>
            <w:tcW w:w="1417" w:type="dxa"/>
            <w:tcBorders>
              <w:top w:val="nil"/>
              <w:left w:val="nil"/>
              <w:bottom w:val="single" w:sz="4" w:space="0" w:color="auto"/>
              <w:right w:val="single" w:sz="4" w:space="0" w:color="auto"/>
            </w:tcBorders>
            <w:shd w:val="clear" w:color="auto" w:fill="auto"/>
            <w:noWrap/>
            <w:vAlign w:val="center"/>
            <w:hideMark/>
          </w:tcPr>
          <w:p w14:paraId="7BE76FE2" w14:textId="77777777" w:rsidR="00DF7D2F" w:rsidRPr="00B96B9F" w:rsidRDefault="00DF7D2F" w:rsidP="007C4202">
            <w:pPr>
              <w:pStyle w:val="UZEINormaln"/>
              <w:spacing w:before="0" w:after="0"/>
              <w:rPr>
                <w:sz w:val="22"/>
              </w:rPr>
            </w:pPr>
            <w:r w:rsidRPr="00286674">
              <w:rPr>
                <w:sz w:val="22"/>
                <w:szCs w:val="22"/>
              </w:rPr>
              <w:t>1,3</w:t>
            </w:r>
          </w:p>
        </w:tc>
      </w:tr>
      <w:tr w:rsidR="00DF7D2F" w:rsidRPr="00B96B9F" w14:paraId="2327EAE6" w14:textId="77777777" w:rsidTr="0006094E">
        <w:trPr>
          <w:trHeight w:val="283"/>
        </w:trPr>
        <w:tc>
          <w:tcPr>
            <w:tcW w:w="776" w:type="dxa"/>
            <w:tcBorders>
              <w:top w:val="nil"/>
              <w:left w:val="single" w:sz="4" w:space="0" w:color="auto"/>
              <w:bottom w:val="single" w:sz="4" w:space="0" w:color="auto"/>
              <w:right w:val="single" w:sz="4" w:space="0" w:color="auto"/>
            </w:tcBorders>
            <w:shd w:val="clear" w:color="auto" w:fill="auto"/>
            <w:noWrap/>
            <w:vAlign w:val="center"/>
            <w:hideMark/>
          </w:tcPr>
          <w:p w14:paraId="68405DB2" w14:textId="77777777" w:rsidR="00DF7D2F" w:rsidRPr="00B96B9F" w:rsidRDefault="00DF7D2F" w:rsidP="007C4202">
            <w:pPr>
              <w:pStyle w:val="UZEINormaln"/>
              <w:spacing w:before="0" w:after="0"/>
              <w:rPr>
                <w:sz w:val="22"/>
              </w:rPr>
            </w:pPr>
            <w:r w:rsidRPr="00286674">
              <w:rPr>
                <w:sz w:val="22"/>
                <w:szCs w:val="22"/>
              </w:rPr>
              <w:t>2.1.2</w:t>
            </w:r>
          </w:p>
        </w:tc>
        <w:tc>
          <w:tcPr>
            <w:tcW w:w="3969" w:type="dxa"/>
            <w:tcBorders>
              <w:top w:val="nil"/>
              <w:left w:val="nil"/>
              <w:bottom w:val="single" w:sz="4" w:space="0" w:color="auto"/>
              <w:right w:val="single" w:sz="4" w:space="0" w:color="auto"/>
            </w:tcBorders>
            <w:shd w:val="clear" w:color="auto" w:fill="auto"/>
            <w:noWrap/>
            <w:vAlign w:val="center"/>
            <w:hideMark/>
          </w:tcPr>
          <w:p w14:paraId="0857702D" w14:textId="77777777" w:rsidR="00DF7D2F" w:rsidRPr="00B96B9F" w:rsidRDefault="00DF7D2F" w:rsidP="007C4202">
            <w:pPr>
              <w:pStyle w:val="UZEINormaln"/>
              <w:spacing w:before="0" w:after="0"/>
              <w:rPr>
                <w:sz w:val="22"/>
              </w:rPr>
            </w:pPr>
            <w:r w:rsidRPr="00286674">
              <w:rPr>
                <w:sz w:val="22"/>
                <w:szCs w:val="22"/>
              </w:rPr>
              <w:t>energetika – rozvody SZTE</w:t>
            </w:r>
          </w:p>
        </w:tc>
        <w:tc>
          <w:tcPr>
            <w:tcW w:w="992" w:type="dxa"/>
            <w:tcBorders>
              <w:top w:val="nil"/>
              <w:left w:val="nil"/>
              <w:bottom w:val="single" w:sz="4" w:space="0" w:color="auto"/>
              <w:right w:val="single" w:sz="4" w:space="0" w:color="auto"/>
            </w:tcBorders>
            <w:shd w:val="clear" w:color="auto" w:fill="auto"/>
            <w:noWrap/>
            <w:vAlign w:val="center"/>
            <w:hideMark/>
          </w:tcPr>
          <w:p w14:paraId="1D772127" w14:textId="77777777" w:rsidR="00DF7D2F" w:rsidRPr="00B96B9F" w:rsidRDefault="00DF7D2F" w:rsidP="007C4202">
            <w:pPr>
              <w:pStyle w:val="UZEINormaln"/>
              <w:spacing w:before="0" w:after="0"/>
              <w:rPr>
                <w:sz w:val="22"/>
              </w:rPr>
            </w:pPr>
            <w:r w:rsidRPr="00286674">
              <w:rPr>
                <w:sz w:val="22"/>
                <w:szCs w:val="22"/>
              </w:rPr>
              <w:t>86</w:t>
            </w:r>
          </w:p>
        </w:tc>
        <w:tc>
          <w:tcPr>
            <w:tcW w:w="1985" w:type="dxa"/>
            <w:tcBorders>
              <w:top w:val="nil"/>
              <w:left w:val="nil"/>
              <w:bottom w:val="single" w:sz="4" w:space="0" w:color="auto"/>
              <w:right w:val="single" w:sz="4" w:space="0" w:color="auto"/>
            </w:tcBorders>
            <w:shd w:val="clear" w:color="auto" w:fill="auto"/>
            <w:noWrap/>
            <w:vAlign w:val="center"/>
            <w:hideMark/>
          </w:tcPr>
          <w:p w14:paraId="7E3F8E7C" w14:textId="77777777" w:rsidR="00DF7D2F" w:rsidRPr="00B96B9F" w:rsidRDefault="00DF7D2F" w:rsidP="007C4202">
            <w:pPr>
              <w:pStyle w:val="UZEINormaln"/>
              <w:spacing w:before="0" w:after="0"/>
              <w:rPr>
                <w:sz w:val="22"/>
              </w:rPr>
            </w:pPr>
            <w:r w:rsidRPr="00286674">
              <w:rPr>
                <w:sz w:val="22"/>
                <w:szCs w:val="22"/>
              </w:rPr>
              <w:t>2,5</w:t>
            </w:r>
          </w:p>
        </w:tc>
        <w:tc>
          <w:tcPr>
            <w:tcW w:w="1417" w:type="dxa"/>
            <w:tcBorders>
              <w:top w:val="nil"/>
              <w:left w:val="nil"/>
              <w:bottom w:val="single" w:sz="4" w:space="0" w:color="auto"/>
              <w:right w:val="single" w:sz="4" w:space="0" w:color="auto"/>
            </w:tcBorders>
            <w:shd w:val="clear" w:color="auto" w:fill="auto"/>
            <w:noWrap/>
            <w:vAlign w:val="center"/>
            <w:hideMark/>
          </w:tcPr>
          <w:p w14:paraId="674A2986" w14:textId="77777777" w:rsidR="00DF7D2F" w:rsidRPr="00B96B9F" w:rsidRDefault="00DF7D2F" w:rsidP="007C4202">
            <w:pPr>
              <w:pStyle w:val="UZEINormaln"/>
              <w:spacing w:before="0" w:after="0"/>
              <w:rPr>
                <w:sz w:val="22"/>
              </w:rPr>
            </w:pPr>
            <w:r w:rsidRPr="00286674">
              <w:rPr>
                <w:sz w:val="22"/>
                <w:szCs w:val="22"/>
              </w:rPr>
              <w:t>0,9</w:t>
            </w:r>
          </w:p>
        </w:tc>
      </w:tr>
      <w:tr w:rsidR="00DF7D2F" w:rsidRPr="00B96B9F" w14:paraId="57F5F06C" w14:textId="77777777" w:rsidTr="0006094E">
        <w:trPr>
          <w:trHeight w:val="283"/>
        </w:trPr>
        <w:tc>
          <w:tcPr>
            <w:tcW w:w="776" w:type="dxa"/>
            <w:tcBorders>
              <w:top w:val="nil"/>
              <w:left w:val="single" w:sz="4" w:space="0" w:color="auto"/>
              <w:bottom w:val="single" w:sz="4" w:space="0" w:color="auto"/>
              <w:right w:val="single" w:sz="4" w:space="0" w:color="auto"/>
            </w:tcBorders>
            <w:shd w:val="clear" w:color="auto" w:fill="auto"/>
            <w:noWrap/>
            <w:vAlign w:val="center"/>
            <w:hideMark/>
          </w:tcPr>
          <w:p w14:paraId="4D6B3EA3" w14:textId="77777777" w:rsidR="00DF7D2F" w:rsidRPr="00B96B9F" w:rsidRDefault="00DF7D2F" w:rsidP="007C4202">
            <w:pPr>
              <w:pStyle w:val="UZEINormaln"/>
              <w:spacing w:before="0" w:after="0"/>
              <w:rPr>
                <w:sz w:val="22"/>
              </w:rPr>
            </w:pPr>
            <w:r w:rsidRPr="00286674">
              <w:rPr>
                <w:sz w:val="22"/>
                <w:szCs w:val="22"/>
              </w:rPr>
              <w:t>2.1.3</w:t>
            </w:r>
          </w:p>
        </w:tc>
        <w:tc>
          <w:tcPr>
            <w:tcW w:w="3969" w:type="dxa"/>
            <w:tcBorders>
              <w:top w:val="nil"/>
              <w:left w:val="nil"/>
              <w:bottom w:val="single" w:sz="4" w:space="0" w:color="auto"/>
              <w:right w:val="single" w:sz="4" w:space="0" w:color="auto"/>
            </w:tcBorders>
            <w:shd w:val="clear" w:color="auto" w:fill="auto"/>
            <w:noWrap/>
            <w:vAlign w:val="center"/>
            <w:hideMark/>
          </w:tcPr>
          <w:p w14:paraId="264EDF30" w14:textId="77777777" w:rsidR="00DF7D2F" w:rsidRPr="00B96B9F" w:rsidRDefault="00DF7D2F" w:rsidP="007C4202">
            <w:pPr>
              <w:pStyle w:val="UZEINormaln"/>
              <w:spacing w:before="0" w:after="0"/>
              <w:rPr>
                <w:sz w:val="22"/>
              </w:rPr>
            </w:pPr>
            <w:r w:rsidRPr="00286674">
              <w:rPr>
                <w:sz w:val="22"/>
                <w:szCs w:val="22"/>
              </w:rPr>
              <w:t>omezení prašnosti – čistící vozy a zeleň</w:t>
            </w:r>
          </w:p>
        </w:tc>
        <w:tc>
          <w:tcPr>
            <w:tcW w:w="992" w:type="dxa"/>
            <w:tcBorders>
              <w:top w:val="nil"/>
              <w:left w:val="nil"/>
              <w:bottom w:val="single" w:sz="4" w:space="0" w:color="auto"/>
              <w:right w:val="single" w:sz="4" w:space="0" w:color="auto"/>
            </w:tcBorders>
            <w:shd w:val="clear" w:color="auto" w:fill="auto"/>
            <w:noWrap/>
            <w:vAlign w:val="center"/>
            <w:hideMark/>
          </w:tcPr>
          <w:p w14:paraId="3AD50476" w14:textId="77777777" w:rsidR="00DF7D2F" w:rsidRPr="00B96B9F" w:rsidRDefault="00DF7D2F" w:rsidP="007C4202">
            <w:pPr>
              <w:pStyle w:val="UZEINormaln"/>
              <w:spacing w:before="0" w:after="0"/>
              <w:rPr>
                <w:sz w:val="22"/>
              </w:rPr>
            </w:pPr>
            <w:r w:rsidRPr="00286674">
              <w:rPr>
                <w:sz w:val="22"/>
                <w:szCs w:val="22"/>
              </w:rPr>
              <w:t>1116</w:t>
            </w:r>
          </w:p>
        </w:tc>
        <w:tc>
          <w:tcPr>
            <w:tcW w:w="1985" w:type="dxa"/>
            <w:tcBorders>
              <w:top w:val="nil"/>
              <w:left w:val="nil"/>
              <w:bottom w:val="single" w:sz="4" w:space="0" w:color="auto"/>
              <w:right w:val="single" w:sz="4" w:space="0" w:color="auto"/>
            </w:tcBorders>
            <w:shd w:val="clear" w:color="auto" w:fill="auto"/>
            <w:noWrap/>
            <w:vAlign w:val="center"/>
            <w:hideMark/>
          </w:tcPr>
          <w:p w14:paraId="1918FC69" w14:textId="77777777" w:rsidR="00DF7D2F" w:rsidRPr="00B96B9F" w:rsidRDefault="00DF7D2F" w:rsidP="007C4202">
            <w:pPr>
              <w:pStyle w:val="UZEINormaln"/>
              <w:spacing w:before="0" w:after="0"/>
              <w:rPr>
                <w:sz w:val="22"/>
              </w:rPr>
            </w:pPr>
            <w:r w:rsidRPr="00286674">
              <w:rPr>
                <w:sz w:val="22"/>
                <w:szCs w:val="22"/>
              </w:rPr>
              <w:t>3,5</w:t>
            </w:r>
          </w:p>
        </w:tc>
        <w:tc>
          <w:tcPr>
            <w:tcW w:w="1417" w:type="dxa"/>
            <w:tcBorders>
              <w:top w:val="nil"/>
              <w:left w:val="nil"/>
              <w:bottom w:val="single" w:sz="4" w:space="0" w:color="auto"/>
              <w:right w:val="single" w:sz="4" w:space="0" w:color="auto"/>
            </w:tcBorders>
            <w:shd w:val="clear" w:color="auto" w:fill="auto"/>
            <w:noWrap/>
            <w:vAlign w:val="center"/>
            <w:hideMark/>
          </w:tcPr>
          <w:p w14:paraId="6E97FDF1" w14:textId="77777777" w:rsidR="00DF7D2F" w:rsidRPr="00B96B9F" w:rsidRDefault="00DF7D2F" w:rsidP="007C4202">
            <w:pPr>
              <w:pStyle w:val="UZEINormaln"/>
              <w:spacing w:before="0" w:after="0"/>
              <w:rPr>
                <w:sz w:val="22"/>
              </w:rPr>
            </w:pPr>
            <w:r w:rsidRPr="00286674">
              <w:rPr>
                <w:sz w:val="22"/>
                <w:szCs w:val="22"/>
              </w:rPr>
              <w:t>2,5</w:t>
            </w:r>
          </w:p>
        </w:tc>
      </w:tr>
      <w:tr w:rsidR="00DF7D2F" w:rsidRPr="00B96B9F" w14:paraId="67235FBB" w14:textId="77777777" w:rsidTr="0006094E">
        <w:trPr>
          <w:trHeight w:val="283"/>
        </w:trPr>
        <w:tc>
          <w:tcPr>
            <w:tcW w:w="776" w:type="dxa"/>
            <w:tcBorders>
              <w:top w:val="nil"/>
              <w:left w:val="single" w:sz="4" w:space="0" w:color="auto"/>
              <w:bottom w:val="single" w:sz="4" w:space="0" w:color="auto"/>
              <w:right w:val="single" w:sz="4" w:space="0" w:color="auto"/>
            </w:tcBorders>
            <w:shd w:val="clear" w:color="auto" w:fill="auto"/>
            <w:noWrap/>
            <w:vAlign w:val="center"/>
            <w:hideMark/>
          </w:tcPr>
          <w:p w14:paraId="11155267" w14:textId="77777777" w:rsidR="00DF7D2F" w:rsidRPr="00B96B9F" w:rsidRDefault="00DF7D2F" w:rsidP="007C4202">
            <w:pPr>
              <w:pStyle w:val="UZEINormaln"/>
              <w:spacing w:before="0" w:after="0"/>
              <w:rPr>
                <w:sz w:val="22"/>
              </w:rPr>
            </w:pPr>
            <w:r w:rsidRPr="00286674">
              <w:rPr>
                <w:sz w:val="22"/>
                <w:szCs w:val="22"/>
              </w:rPr>
              <w:t>2.1.4</w:t>
            </w:r>
          </w:p>
        </w:tc>
        <w:tc>
          <w:tcPr>
            <w:tcW w:w="3969" w:type="dxa"/>
            <w:tcBorders>
              <w:top w:val="nil"/>
              <w:left w:val="nil"/>
              <w:bottom w:val="single" w:sz="4" w:space="0" w:color="auto"/>
              <w:right w:val="single" w:sz="4" w:space="0" w:color="auto"/>
            </w:tcBorders>
            <w:shd w:val="clear" w:color="auto" w:fill="auto"/>
            <w:noWrap/>
            <w:vAlign w:val="center"/>
            <w:hideMark/>
          </w:tcPr>
          <w:p w14:paraId="7A06F3DC" w14:textId="77777777" w:rsidR="00DF7D2F" w:rsidRPr="00B96B9F" w:rsidRDefault="00DF7D2F" w:rsidP="007C4202">
            <w:pPr>
              <w:pStyle w:val="UZEINormaln"/>
              <w:spacing w:before="0" w:after="0"/>
              <w:rPr>
                <w:sz w:val="22"/>
              </w:rPr>
            </w:pPr>
            <w:r w:rsidRPr="00286674">
              <w:rPr>
                <w:sz w:val="22"/>
                <w:szCs w:val="22"/>
              </w:rPr>
              <w:t>sledování úrovně znečištění ovzduší</w:t>
            </w:r>
          </w:p>
        </w:tc>
        <w:tc>
          <w:tcPr>
            <w:tcW w:w="992" w:type="dxa"/>
            <w:tcBorders>
              <w:top w:val="nil"/>
              <w:left w:val="nil"/>
              <w:bottom w:val="single" w:sz="4" w:space="0" w:color="auto"/>
              <w:right w:val="single" w:sz="4" w:space="0" w:color="auto"/>
            </w:tcBorders>
            <w:shd w:val="clear" w:color="auto" w:fill="auto"/>
            <w:noWrap/>
            <w:vAlign w:val="center"/>
            <w:hideMark/>
          </w:tcPr>
          <w:p w14:paraId="77C632D5" w14:textId="77777777" w:rsidR="00DF7D2F" w:rsidRPr="00B96B9F" w:rsidRDefault="00DF7D2F" w:rsidP="007C4202">
            <w:pPr>
              <w:pStyle w:val="UZEINormaln"/>
              <w:spacing w:before="0" w:after="0"/>
              <w:rPr>
                <w:sz w:val="22"/>
              </w:rPr>
            </w:pPr>
            <w:r w:rsidRPr="00286674">
              <w:rPr>
                <w:sz w:val="22"/>
                <w:szCs w:val="22"/>
              </w:rPr>
              <w:t>8</w:t>
            </w:r>
          </w:p>
        </w:tc>
        <w:tc>
          <w:tcPr>
            <w:tcW w:w="1985" w:type="dxa"/>
            <w:tcBorders>
              <w:top w:val="nil"/>
              <w:left w:val="nil"/>
              <w:bottom w:val="single" w:sz="4" w:space="0" w:color="auto"/>
              <w:right w:val="single" w:sz="4" w:space="0" w:color="auto"/>
            </w:tcBorders>
            <w:shd w:val="clear" w:color="auto" w:fill="auto"/>
            <w:noWrap/>
            <w:vAlign w:val="center"/>
            <w:hideMark/>
          </w:tcPr>
          <w:p w14:paraId="09991596" w14:textId="77777777" w:rsidR="00DF7D2F" w:rsidRPr="00B96B9F" w:rsidRDefault="00DF7D2F" w:rsidP="007C4202">
            <w:pPr>
              <w:pStyle w:val="UZEINormaln"/>
              <w:spacing w:before="0" w:after="0"/>
              <w:rPr>
                <w:sz w:val="22"/>
              </w:rPr>
            </w:pPr>
            <w:r w:rsidRPr="00286674">
              <w:rPr>
                <w:sz w:val="22"/>
                <w:szCs w:val="22"/>
              </w:rPr>
              <w:t>0,4</w:t>
            </w:r>
          </w:p>
        </w:tc>
        <w:tc>
          <w:tcPr>
            <w:tcW w:w="1417" w:type="dxa"/>
            <w:tcBorders>
              <w:top w:val="nil"/>
              <w:left w:val="nil"/>
              <w:bottom w:val="single" w:sz="4" w:space="0" w:color="auto"/>
              <w:right w:val="single" w:sz="4" w:space="0" w:color="auto"/>
            </w:tcBorders>
            <w:shd w:val="clear" w:color="auto" w:fill="auto"/>
            <w:noWrap/>
            <w:vAlign w:val="center"/>
            <w:hideMark/>
          </w:tcPr>
          <w:p w14:paraId="50DDC6E0" w14:textId="77777777" w:rsidR="00DF7D2F" w:rsidRPr="00B96B9F" w:rsidRDefault="00DF7D2F" w:rsidP="007C4202">
            <w:pPr>
              <w:pStyle w:val="UZEINormaln"/>
              <w:spacing w:before="0" w:after="0"/>
              <w:rPr>
                <w:sz w:val="22"/>
              </w:rPr>
            </w:pPr>
            <w:r w:rsidRPr="00286674">
              <w:rPr>
                <w:sz w:val="22"/>
                <w:szCs w:val="22"/>
              </w:rPr>
              <w:t>0,3</w:t>
            </w:r>
          </w:p>
        </w:tc>
      </w:tr>
      <w:tr w:rsidR="00DF7D2F" w:rsidRPr="00B96B9F" w14:paraId="7863BC0D" w14:textId="77777777" w:rsidTr="0006094E">
        <w:trPr>
          <w:trHeight w:val="283"/>
        </w:trPr>
        <w:tc>
          <w:tcPr>
            <w:tcW w:w="776" w:type="dxa"/>
            <w:tcBorders>
              <w:top w:val="nil"/>
              <w:left w:val="single" w:sz="4" w:space="0" w:color="auto"/>
              <w:bottom w:val="single" w:sz="4" w:space="0" w:color="auto"/>
              <w:right w:val="single" w:sz="4" w:space="0" w:color="auto"/>
            </w:tcBorders>
            <w:shd w:val="clear" w:color="auto" w:fill="auto"/>
            <w:noWrap/>
            <w:vAlign w:val="center"/>
            <w:hideMark/>
          </w:tcPr>
          <w:p w14:paraId="531C7966" w14:textId="77777777" w:rsidR="00DF7D2F" w:rsidRPr="00B96B9F" w:rsidRDefault="00DF7D2F" w:rsidP="007C4202">
            <w:pPr>
              <w:pStyle w:val="UZEINormaln"/>
              <w:spacing w:before="0" w:after="0"/>
              <w:rPr>
                <w:sz w:val="22"/>
              </w:rPr>
            </w:pPr>
            <w:r w:rsidRPr="00286674">
              <w:rPr>
                <w:sz w:val="22"/>
                <w:szCs w:val="22"/>
              </w:rPr>
              <w:t>2.1.5</w:t>
            </w:r>
          </w:p>
        </w:tc>
        <w:tc>
          <w:tcPr>
            <w:tcW w:w="3969" w:type="dxa"/>
            <w:tcBorders>
              <w:top w:val="nil"/>
              <w:left w:val="nil"/>
              <w:bottom w:val="single" w:sz="4" w:space="0" w:color="auto"/>
              <w:right w:val="single" w:sz="4" w:space="0" w:color="auto"/>
            </w:tcBorders>
            <w:shd w:val="clear" w:color="auto" w:fill="auto"/>
            <w:noWrap/>
            <w:vAlign w:val="center"/>
            <w:hideMark/>
          </w:tcPr>
          <w:p w14:paraId="066A308D" w14:textId="77777777" w:rsidR="00DF7D2F" w:rsidRPr="00B96B9F" w:rsidRDefault="00DF7D2F" w:rsidP="007C4202">
            <w:pPr>
              <w:pStyle w:val="UZEINormaln"/>
              <w:spacing w:before="0" w:after="0"/>
              <w:rPr>
                <w:sz w:val="22"/>
              </w:rPr>
            </w:pPr>
            <w:r w:rsidRPr="00286674">
              <w:rPr>
                <w:sz w:val="22"/>
                <w:szCs w:val="22"/>
              </w:rPr>
              <w:t>alternativní doprava</w:t>
            </w:r>
          </w:p>
        </w:tc>
        <w:tc>
          <w:tcPr>
            <w:tcW w:w="992" w:type="dxa"/>
            <w:tcBorders>
              <w:top w:val="nil"/>
              <w:left w:val="nil"/>
              <w:bottom w:val="single" w:sz="4" w:space="0" w:color="auto"/>
              <w:right w:val="single" w:sz="4" w:space="0" w:color="auto"/>
            </w:tcBorders>
            <w:shd w:val="clear" w:color="auto" w:fill="auto"/>
            <w:noWrap/>
            <w:vAlign w:val="center"/>
            <w:hideMark/>
          </w:tcPr>
          <w:p w14:paraId="32D53351" w14:textId="77777777" w:rsidR="00DF7D2F" w:rsidRPr="00B96B9F" w:rsidRDefault="00DF7D2F" w:rsidP="007C4202">
            <w:pPr>
              <w:pStyle w:val="UZEINormaln"/>
              <w:spacing w:before="0" w:after="0"/>
              <w:rPr>
                <w:sz w:val="22"/>
              </w:rPr>
            </w:pPr>
            <w:r w:rsidRPr="00286674">
              <w:rPr>
                <w:sz w:val="22"/>
                <w:szCs w:val="22"/>
              </w:rPr>
              <w:t>8</w:t>
            </w:r>
          </w:p>
        </w:tc>
        <w:tc>
          <w:tcPr>
            <w:tcW w:w="1985" w:type="dxa"/>
            <w:tcBorders>
              <w:top w:val="nil"/>
              <w:left w:val="nil"/>
              <w:bottom w:val="single" w:sz="4" w:space="0" w:color="auto"/>
              <w:right w:val="single" w:sz="4" w:space="0" w:color="auto"/>
            </w:tcBorders>
            <w:shd w:val="clear" w:color="auto" w:fill="auto"/>
            <w:noWrap/>
            <w:vAlign w:val="center"/>
            <w:hideMark/>
          </w:tcPr>
          <w:p w14:paraId="381E76B4" w14:textId="77777777" w:rsidR="00DF7D2F" w:rsidRPr="00B96B9F" w:rsidRDefault="00DF7D2F" w:rsidP="007C4202">
            <w:pPr>
              <w:pStyle w:val="UZEINormaln"/>
              <w:spacing w:before="0" w:after="0"/>
              <w:rPr>
                <w:sz w:val="22"/>
              </w:rPr>
            </w:pPr>
            <w:r w:rsidRPr="00286674">
              <w:rPr>
                <w:sz w:val="22"/>
                <w:szCs w:val="22"/>
              </w:rPr>
              <w:t>2,3</w:t>
            </w:r>
          </w:p>
        </w:tc>
        <w:tc>
          <w:tcPr>
            <w:tcW w:w="1417" w:type="dxa"/>
            <w:tcBorders>
              <w:top w:val="nil"/>
              <w:left w:val="nil"/>
              <w:bottom w:val="single" w:sz="4" w:space="0" w:color="auto"/>
              <w:right w:val="single" w:sz="4" w:space="0" w:color="auto"/>
            </w:tcBorders>
            <w:shd w:val="clear" w:color="auto" w:fill="auto"/>
            <w:noWrap/>
            <w:vAlign w:val="center"/>
            <w:hideMark/>
          </w:tcPr>
          <w:p w14:paraId="03BCADC9" w14:textId="77777777" w:rsidR="00DF7D2F" w:rsidRPr="00B96B9F" w:rsidRDefault="00DF7D2F" w:rsidP="007C4202">
            <w:pPr>
              <w:pStyle w:val="UZEINormaln"/>
              <w:spacing w:before="0" w:after="0"/>
              <w:rPr>
                <w:sz w:val="22"/>
              </w:rPr>
            </w:pPr>
            <w:r w:rsidRPr="00286674">
              <w:rPr>
                <w:sz w:val="22"/>
                <w:szCs w:val="22"/>
              </w:rPr>
              <w:t>1,3</w:t>
            </w:r>
          </w:p>
        </w:tc>
      </w:tr>
      <w:tr w:rsidR="00DF7D2F" w:rsidRPr="00B96B9F" w14:paraId="7D6BB126" w14:textId="77777777" w:rsidTr="0006094E">
        <w:trPr>
          <w:trHeight w:val="283"/>
        </w:trPr>
        <w:tc>
          <w:tcPr>
            <w:tcW w:w="776" w:type="dxa"/>
            <w:tcBorders>
              <w:top w:val="nil"/>
              <w:left w:val="single" w:sz="4" w:space="0" w:color="auto"/>
              <w:bottom w:val="single" w:sz="4" w:space="0" w:color="auto"/>
              <w:right w:val="single" w:sz="4" w:space="0" w:color="auto"/>
            </w:tcBorders>
            <w:shd w:val="clear" w:color="auto" w:fill="auto"/>
            <w:noWrap/>
            <w:vAlign w:val="center"/>
            <w:hideMark/>
          </w:tcPr>
          <w:p w14:paraId="25323C3B" w14:textId="77777777" w:rsidR="00DF7D2F" w:rsidRPr="00B96B9F" w:rsidRDefault="00DF7D2F" w:rsidP="007C4202">
            <w:pPr>
              <w:pStyle w:val="UZEINormaln"/>
              <w:spacing w:before="0" w:after="0"/>
              <w:rPr>
                <w:sz w:val="22"/>
              </w:rPr>
            </w:pPr>
            <w:r w:rsidRPr="00286674">
              <w:rPr>
                <w:sz w:val="22"/>
                <w:szCs w:val="22"/>
              </w:rPr>
              <w:t>2.2.a</w:t>
            </w:r>
          </w:p>
        </w:tc>
        <w:tc>
          <w:tcPr>
            <w:tcW w:w="3969" w:type="dxa"/>
            <w:tcBorders>
              <w:top w:val="nil"/>
              <w:left w:val="nil"/>
              <w:bottom w:val="single" w:sz="4" w:space="0" w:color="auto"/>
              <w:right w:val="single" w:sz="4" w:space="0" w:color="auto"/>
            </w:tcBorders>
            <w:shd w:val="clear" w:color="auto" w:fill="auto"/>
            <w:noWrap/>
            <w:vAlign w:val="center"/>
            <w:hideMark/>
          </w:tcPr>
          <w:p w14:paraId="133D6081" w14:textId="77777777" w:rsidR="00DF7D2F" w:rsidRPr="00B96B9F" w:rsidRDefault="00DF7D2F" w:rsidP="007C4202">
            <w:pPr>
              <w:pStyle w:val="UZEINormaln"/>
              <w:spacing w:before="0" w:after="0"/>
              <w:rPr>
                <w:sz w:val="22"/>
              </w:rPr>
            </w:pPr>
            <w:r w:rsidRPr="00286674">
              <w:rPr>
                <w:sz w:val="22"/>
                <w:szCs w:val="22"/>
              </w:rPr>
              <w:t>energetika – zdroje nad 5</w:t>
            </w:r>
            <w:r w:rsidRPr="00B96B9F">
              <w:rPr>
                <w:sz w:val="22"/>
              </w:rPr>
              <w:t xml:space="preserve"> MW</w:t>
            </w:r>
          </w:p>
        </w:tc>
        <w:tc>
          <w:tcPr>
            <w:tcW w:w="992" w:type="dxa"/>
            <w:tcBorders>
              <w:top w:val="nil"/>
              <w:left w:val="nil"/>
              <w:bottom w:val="single" w:sz="4" w:space="0" w:color="auto"/>
              <w:right w:val="single" w:sz="4" w:space="0" w:color="auto"/>
            </w:tcBorders>
            <w:shd w:val="clear" w:color="auto" w:fill="auto"/>
            <w:noWrap/>
            <w:vAlign w:val="center"/>
            <w:hideMark/>
          </w:tcPr>
          <w:p w14:paraId="34ABE9C4" w14:textId="77777777" w:rsidR="00DF7D2F" w:rsidRPr="00B96B9F" w:rsidRDefault="00DF7D2F" w:rsidP="007C4202">
            <w:pPr>
              <w:pStyle w:val="UZEINormaln"/>
              <w:spacing w:before="0" w:after="0"/>
              <w:rPr>
                <w:sz w:val="22"/>
              </w:rPr>
            </w:pPr>
            <w:r w:rsidRPr="00286674">
              <w:rPr>
                <w:sz w:val="22"/>
                <w:szCs w:val="22"/>
              </w:rPr>
              <w:t>51</w:t>
            </w:r>
          </w:p>
        </w:tc>
        <w:tc>
          <w:tcPr>
            <w:tcW w:w="1985" w:type="dxa"/>
            <w:tcBorders>
              <w:top w:val="nil"/>
              <w:left w:val="nil"/>
              <w:bottom w:val="single" w:sz="4" w:space="0" w:color="auto"/>
              <w:right w:val="single" w:sz="4" w:space="0" w:color="auto"/>
            </w:tcBorders>
            <w:shd w:val="clear" w:color="auto" w:fill="auto"/>
            <w:noWrap/>
            <w:vAlign w:val="center"/>
            <w:hideMark/>
          </w:tcPr>
          <w:p w14:paraId="4233C0D2" w14:textId="77777777" w:rsidR="00DF7D2F" w:rsidRPr="00B96B9F" w:rsidRDefault="00DF7D2F" w:rsidP="007C4202">
            <w:pPr>
              <w:pStyle w:val="UZEINormaln"/>
              <w:spacing w:before="0" w:after="0"/>
              <w:rPr>
                <w:sz w:val="22"/>
              </w:rPr>
            </w:pPr>
            <w:r w:rsidRPr="00286674">
              <w:rPr>
                <w:sz w:val="22"/>
                <w:szCs w:val="22"/>
              </w:rPr>
              <w:t>15,5</w:t>
            </w:r>
          </w:p>
        </w:tc>
        <w:tc>
          <w:tcPr>
            <w:tcW w:w="1417" w:type="dxa"/>
            <w:tcBorders>
              <w:top w:val="nil"/>
              <w:left w:val="nil"/>
              <w:bottom w:val="single" w:sz="4" w:space="0" w:color="auto"/>
              <w:right w:val="single" w:sz="4" w:space="0" w:color="auto"/>
            </w:tcBorders>
            <w:shd w:val="clear" w:color="auto" w:fill="auto"/>
            <w:noWrap/>
            <w:vAlign w:val="center"/>
            <w:hideMark/>
          </w:tcPr>
          <w:p w14:paraId="5679101B" w14:textId="77777777" w:rsidR="00DF7D2F" w:rsidRPr="00B96B9F" w:rsidRDefault="00DF7D2F" w:rsidP="007C4202">
            <w:pPr>
              <w:pStyle w:val="UZEINormaln"/>
              <w:spacing w:before="0" w:after="0"/>
              <w:rPr>
                <w:sz w:val="22"/>
              </w:rPr>
            </w:pPr>
            <w:r w:rsidRPr="00286674">
              <w:rPr>
                <w:sz w:val="22"/>
                <w:szCs w:val="22"/>
              </w:rPr>
              <w:t>4,4</w:t>
            </w:r>
          </w:p>
        </w:tc>
      </w:tr>
      <w:tr w:rsidR="00DF7D2F" w:rsidRPr="00B96B9F" w14:paraId="4A914AED" w14:textId="77777777" w:rsidTr="0006094E">
        <w:trPr>
          <w:trHeight w:val="283"/>
        </w:trPr>
        <w:tc>
          <w:tcPr>
            <w:tcW w:w="776" w:type="dxa"/>
            <w:tcBorders>
              <w:top w:val="nil"/>
              <w:left w:val="single" w:sz="4" w:space="0" w:color="auto"/>
              <w:bottom w:val="single" w:sz="4" w:space="0" w:color="auto"/>
              <w:right w:val="single" w:sz="4" w:space="0" w:color="auto"/>
            </w:tcBorders>
            <w:shd w:val="clear" w:color="auto" w:fill="auto"/>
            <w:noWrap/>
            <w:vAlign w:val="center"/>
            <w:hideMark/>
          </w:tcPr>
          <w:p w14:paraId="2777FABD" w14:textId="77777777" w:rsidR="00DF7D2F" w:rsidRPr="00B96B9F" w:rsidRDefault="00DF7D2F" w:rsidP="007C4202">
            <w:pPr>
              <w:pStyle w:val="UZEINormaln"/>
              <w:spacing w:before="0" w:after="0"/>
              <w:rPr>
                <w:sz w:val="22"/>
              </w:rPr>
            </w:pPr>
            <w:r w:rsidRPr="00286674">
              <w:rPr>
                <w:sz w:val="22"/>
                <w:szCs w:val="22"/>
              </w:rPr>
              <w:t>2.2.b</w:t>
            </w:r>
          </w:p>
        </w:tc>
        <w:tc>
          <w:tcPr>
            <w:tcW w:w="3969" w:type="dxa"/>
            <w:tcBorders>
              <w:top w:val="nil"/>
              <w:left w:val="nil"/>
              <w:bottom w:val="single" w:sz="4" w:space="0" w:color="auto"/>
              <w:right w:val="single" w:sz="4" w:space="0" w:color="auto"/>
            </w:tcBorders>
            <w:shd w:val="clear" w:color="auto" w:fill="auto"/>
            <w:noWrap/>
            <w:vAlign w:val="center"/>
            <w:hideMark/>
          </w:tcPr>
          <w:p w14:paraId="40DAE8EC" w14:textId="77777777" w:rsidR="00DF7D2F" w:rsidRPr="00B96B9F" w:rsidRDefault="00DF7D2F" w:rsidP="007C4202">
            <w:pPr>
              <w:pStyle w:val="UZEINormaln"/>
              <w:spacing w:before="0" w:after="0"/>
              <w:rPr>
                <w:sz w:val="22"/>
              </w:rPr>
            </w:pPr>
            <w:r w:rsidRPr="00286674">
              <w:rPr>
                <w:sz w:val="22"/>
                <w:szCs w:val="22"/>
              </w:rPr>
              <w:t>technologické zdroje s výjimkou VOC</w:t>
            </w:r>
          </w:p>
        </w:tc>
        <w:tc>
          <w:tcPr>
            <w:tcW w:w="992" w:type="dxa"/>
            <w:tcBorders>
              <w:top w:val="nil"/>
              <w:left w:val="nil"/>
              <w:bottom w:val="single" w:sz="4" w:space="0" w:color="auto"/>
              <w:right w:val="single" w:sz="4" w:space="0" w:color="auto"/>
            </w:tcBorders>
            <w:shd w:val="clear" w:color="auto" w:fill="auto"/>
            <w:noWrap/>
            <w:vAlign w:val="center"/>
            <w:hideMark/>
          </w:tcPr>
          <w:p w14:paraId="29266B6B" w14:textId="77777777" w:rsidR="00DF7D2F" w:rsidRPr="00B96B9F" w:rsidRDefault="00DF7D2F" w:rsidP="007C4202">
            <w:pPr>
              <w:pStyle w:val="UZEINormaln"/>
              <w:spacing w:before="0" w:after="0"/>
              <w:rPr>
                <w:sz w:val="22"/>
              </w:rPr>
            </w:pPr>
            <w:r w:rsidRPr="00286674">
              <w:rPr>
                <w:sz w:val="22"/>
                <w:szCs w:val="22"/>
              </w:rPr>
              <w:t>132</w:t>
            </w:r>
          </w:p>
        </w:tc>
        <w:tc>
          <w:tcPr>
            <w:tcW w:w="1985" w:type="dxa"/>
            <w:tcBorders>
              <w:top w:val="nil"/>
              <w:left w:val="nil"/>
              <w:bottom w:val="single" w:sz="4" w:space="0" w:color="auto"/>
              <w:right w:val="single" w:sz="4" w:space="0" w:color="auto"/>
            </w:tcBorders>
            <w:shd w:val="clear" w:color="auto" w:fill="auto"/>
            <w:noWrap/>
            <w:vAlign w:val="center"/>
            <w:hideMark/>
          </w:tcPr>
          <w:p w14:paraId="41F3BEDD" w14:textId="77777777" w:rsidR="00DF7D2F" w:rsidRPr="00B96B9F" w:rsidRDefault="00DF7D2F" w:rsidP="007C4202">
            <w:pPr>
              <w:pStyle w:val="UZEINormaln"/>
              <w:spacing w:before="0" w:after="0"/>
              <w:rPr>
                <w:sz w:val="22"/>
              </w:rPr>
            </w:pPr>
            <w:r w:rsidRPr="00286674">
              <w:rPr>
                <w:sz w:val="22"/>
                <w:szCs w:val="22"/>
              </w:rPr>
              <w:t>8,1</w:t>
            </w:r>
          </w:p>
        </w:tc>
        <w:tc>
          <w:tcPr>
            <w:tcW w:w="1417" w:type="dxa"/>
            <w:tcBorders>
              <w:top w:val="nil"/>
              <w:left w:val="nil"/>
              <w:bottom w:val="single" w:sz="4" w:space="0" w:color="auto"/>
              <w:right w:val="single" w:sz="4" w:space="0" w:color="auto"/>
            </w:tcBorders>
            <w:shd w:val="clear" w:color="auto" w:fill="auto"/>
            <w:noWrap/>
            <w:vAlign w:val="center"/>
            <w:hideMark/>
          </w:tcPr>
          <w:p w14:paraId="3EEDF9B4" w14:textId="77777777" w:rsidR="00DF7D2F" w:rsidRPr="00B96B9F" w:rsidRDefault="00DF7D2F" w:rsidP="007C4202">
            <w:pPr>
              <w:pStyle w:val="UZEINormaln"/>
              <w:spacing w:before="0" w:after="0"/>
              <w:rPr>
                <w:sz w:val="22"/>
              </w:rPr>
            </w:pPr>
            <w:r w:rsidRPr="00286674">
              <w:rPr>
                <w:sz w:val="22"/>
                <w:szCs w:val="22"/>
              </w:rPr>
              <w:t>4,8</w:t>
            </w:r>
          </w:p>
        </w:tc>
      </w:tr>
      <w:tr w:rsidR="00DF7D2F" w:rsidRPr="00B96B9F" w14:paraId="58450B91" w14:textId="77777777" w:rsidTr="0006094E">
        <w:trPr>
          <w:trHeight w:val="283"/>
        </w:trPr>
        <w:tc>
          <w:tcPr>
            <w:tcW w:w="776" w:type="dxa"/>
            <w:tcBorders>
              <w:top w:val="nil"/>
              <w:left w:val="single" w:sz="4" w:space="0" w:color="auto"/>
              <w:bottom w:val="single" w:sz="4" w:space="0" w:color="auto"/>
              <w:right w:val="single" w:sz="4" w:space="0" w:color="auto"/>
            </w:tcBorders>
            <w:shd w:val="clear" w:color="auto" w:fill="auto"/>
            <w:noWrap/>
            <w:vAlign w:val="center"/>
            <w:hideMark/>
          </w:tcPr>
          <w:p w14:paraId="42F44C73" w14:textId="77777777" w:rsidR="00DF7D2F" w:rsidRPr="00B96B9F" w:rsidRDefault="00DF7D2F" w:rsidP="007C4202">
            <w:pPr>
              <w:pStyle w:val="UZEINormaln"/>
              <w:spacing w:before="0" w:after="0"/>
              <w:rPr>
                <w:sz w:val="22"/>
              </w:rPr>
            </w:pPr>
            <w:r w:rsidRPr="00286674">
              <w:rPr>
                <w:sz w:val="22"/>
                <w:szCs w:val="22"/>
              </w:rPr>
              <w:t>2.2.c</w:t>
            </w:r>
          </w:p>
        </w:tc>
        <w:tc>
          <w:tcPr>
            <w:tcW w:w="3969" w:type="dxa"/>
            <w:tcBorders>
              <w:top w:val="nil"/>
              <w:left w:val="nil"/>
              <w:bottom w:val="single" w:sz="4" w:space="0" w:color="auto"/>
              <w:right w:val="single" w:sz="4" w:space="0" w:color="auto"/>
            </w:tcBorders>
            <w:shd w:val="clear" w:color="auto" w:fill="auto"/>
            <w:noWrap/>
            <w:vAlign w:val="center"/>
            <w:hideMark/>
          </w:tcPr>
          <w:p w14:paraId="3125B643" w14:textId="77777777" w:rsidR="00DF7D2F" w:rsidRPr="00B96B9F" w:rsidRDefault="00DF7D2F" w:rsidP="007C4202">
            <w:pPr>
              <w:pStyle w:val="UZEINormaln"/>
              <w:spacing w:before="0" w:after="0"/>
              <w:rPr>
                <w:sz w:val="22"/>
              </w:rPr>
            </w:pPr>
            <w:r w:rsidRPr="00286674">
              <w:rPr>
                <w:sz w:val="22"/>
                <w:szCs w:val="22"/>
              </w:rPr>
              <w:t>snížení emisí VOC</w:t>
            </w:r>
          </w:p>
        </w:tc>
        <w:tc>
          <w:tcPr>
            <w:tcW w:w="992" w:type="dxa"/>
            <w:tcBorders>
              <w:top w:val="nil"/>
              <w:left w:val="nil"/>
              <w:bottom w:val="single" w:sz="4" w:space="0" w:color="auto"/>
              <w:right w:val="single" w:sz="4" w:space="0" w:color="auto"/>
            </w:tcBorders>
            <w:shd w:val="clear" w:color="auto" w:fill="auto"/>
            <w:noWrap/>
            <w:vAlign w:val="center"/>
            <w:hideMark/>
          </w:tcPr>
          <w:p w14:paraId="0ECE040E" w14:textId="77777777" w:rsidR="00DF7D2F" w:rsidRPr="00B96B9F" w:rsidRDefault="00DF7D2F" w:rsidP="007C4202">
            <w:pPr>
              <w:pStyle w:val="UZEINormaln"/>
              <w:spacing w:before="0" w:after="0"/>
              <w:rPr>
                <w:sz w:val="22"/>
              </w:rPr>
            </w:pPr>
            <w:r w:rsidRPr="00286674">
              <w:rPr>
                <w:sz w:val="22"/>
                <w:szCs w:val="22"/>
              </w:rPr>
              <w:t>53</w:t>
            </w:r>
          </w:p>
        </w:tc>
        <w:tc>
          <w:tcPr>
            <w:tcW w:w="1985" w:type="dxa"/>
            <w:tcBorders>
              <w:top w:val="nil"/>
              <w:left w:val="nil"/>
              <w:bottom w:val="single" w:sz="4" w:space="0" w:color="auto"/>
              <w:right w:val="single" w:sz="4" w:space="0" w:color="auto"/>
            </w:tcBorders>
            <w:shd w:val="clear" w:color="auto" w:fill="auto"/>
            <w:noWrap/>
            <w:vAlign w:val="center"/>
            <w:hideMark/>
          </w:tcPr>
          <w:p w14:paraId="107E4D27" w14:textId="77777777" w:rsidR="00DF7D2F" w:rsidRPr="00B96B9F" w:rsidRDefault="00DF7D2F" w:rsidP="007C4202">
            <w:pPr>
              <w:pStyle w:val="UZEINormaln"/>
              <w:spacing w:before="0" w:after="0"/>
              <w:rPr>
                <w:sz w:val="22"/>
              </w:rPr>
            </w:pPr>
            <w:r w:rsidRPr="00286674">
              <w:rPr>
                <w:sz w:val="22"/>
                <w:szCs w:val="22"/>
              </w:rPr>
              <w:t>1,2</w:t>
            </w:r>
          </w:p>
        </w:tc>
        <w:tc>
          <w:tcPr>
            <w:tcW w:w="1417" w:type="dxa"/>
            <w:tcBorders>
              <w:top w:val="nil"/>
              <w:left w:val="nil"/>
              <w:bottom w:val="single" w:sz="4" w:space="0" w:color="auto"/>
              <w:right w:val="single" w:sz="4" w:space="0" w:color="auto"/>
            </w:tcBorders>
            <w:shd w:val="clear" w:color="auto" w:fill="auto"/>
            <w:noWrap/>
            <w:vAlign w:val="center"/>
            <w:hideMark/>
          </w:tcPr>
          <w:p w14:paraId="58629042" w14:textId="77777777" w:rsidR="00DF7D2F" w:rsidRPr="00B96B9F" w:rsidRDefault="00DF7D2F" w:rsidP="007C4202">
            <w:pPr>
              <w:pStyle w:val="UZEINormaln"/>
              <w:spacing w:before="0" w:after="0"/>
              <w:rPr>
                <w:sz w:val="22"/>
              </w:rPr>
            </w:pPr>
            <w:r w:rsidRPr="00286674">
              <w:rPr>
                <w:sz w:val="22"/>
                <w:szCs w:val="22"/>
              </w:rPr>
              <w:t>0,4</w:t>
            </w:r>
          </w:p>
        </w:tc>
      </w:tr>
      <w:tr w:rsidR="00DF7D2F" w:rsidRPr="00B96B9F" w14:paraId="363DFD4D" w14:textId="77777777" w:rsidTr="0006094E">
        <w:trPr>
          <w:trHeight w:val="283"/>
        </w:trPr>
        <w:tc>
          <w:tcPr>
            <w:tcW w:w="776" w:type="dxa"/>
            <w:tcBorders>
              <w:top w:val="nil"/>
              <w:left w:val="single" w:sz="4" w:space="0" w:color="auto"/>
              <w:bottom w:val="single" w:sz="4" w:space="0" w:color="auto"/>
              <w:right w:val="single" w:sz="4" w:space="0" w:color="auto"/>
            </w:tcBorders>
            <w:shd w:val="clear" w:color="auto" w:fill="auto"/>
            <w:noWrap/>
            <w:vAlign w:val="center"/>
            <w:hideMark/>
          </w:tcPr>
          <w:p w14:paraId="6BD9A07A" w14:textId="77777777" w:rsidR="00DF7D2F" w:rsidRPr="00B96B9F" w:rsidRDefault="00DF7D2F" w:rsidP="007C4202">
            <w:pPr>
              <w:pStyle w:val="UZEINormaln"/>
              <w:spacing w:before="0" w:after="0"/>
              <w:rPr>
                <w:b/>
                <w:sz w:val="22"/>
              </w:rPr>
            </w:pPr>
            <w:r w:rsidRPr="00286674">
              <w:rPr>
                <w:sz w:val="22"/>
                <w:szCs w:val="22"/>
              </w:rPr>
              <w:t>2.2.d</w:t>
            </w:r>
          </w:p>
        </w:tc>
        <w:tc>
          <w:tcPr>
            <w:tcW w:w="3969" w:type="dxa"/>
            <w:tcBorders>
              <w:top w:val="nil"/>
              <w:left w:val="nil"/>
              <w:bottom w:val="single" w:sz="4" w:space="0" w:color="auto"/>
              <w:right w:val="single" w:sz="4" w:space="0" w:color="auto"/>
            </w:tcBorders>
            <w:shd w:val="clear" w:color="auto" w:fill="auto"/>
            <w:noWrap/>
            <w:vAlign w:val="center"/>
            <w:hideMark/>
          </w:tcPr>
          <w:p w14:paraId="16EE4A41" w14:textId="77777777" w:rsidR="00DF7D2F" w:rsidRPr="00B96B9F" w:rsidRDefault="00DF7D2F" w:rsidP="007C4202">
            <w:pPr>
              <w:pStyle w:val="UZEINormaln"/>
              <w:spacing w:before="0" w:after="0"/>
              <w:rPr>
                <w:b/>
                <w:sz w:val="22"/>
              </w:rPr>
            </w:pPr>
            <w:r w:rsidRPr="00286674">
              <w:rPr>
                <w:sz w:val="22"/>
                <w:szCs w:val="22"/>
              </w:rPr>
              <w:t>snížení emisí NH</w:t>
            </w:r>
            <w:r w:rsidRPr="00B96B9F">
              <w:rPr>
                <w:b/>
                <w:sz w:val="22"/>
                <w:vertAlign w:val="subscript"/>
              </w:rPr>
              <w:t>3</w:t>
            </w:r>
            <w:r w:rsidRPr="00B96B9F">
              <w:rPr>
                <w:b/>
                <w:sz w:val="22"/>
              </w:rPr>
              <w:t xml:space="preserve"> – zemědělská činnost</w:t>
            </w:r>
          </w:p>
        </w:tc>
        <w:tc>
          <w:tcPr>
            <w:tcW w:w="992" w:type="dxa"/>
            <w:tcBorders>
              <w:top w:val="nil"/>
              <w:left w:val="nil"/>
              <w:bottom w:val="single" w:sz="4" w:space="0" w:color="auto"/>
              <w:right w:val="single" w:sz="4" w:space="0" w:color="auto"/>
            </w:tcBorders>
            <w:shd w:val="clear" w:color="auto" w:fill="auto"/>
            <w:noWrap/>
            <w:vAlign w:val="center"/>
            <w:hideMark/>
          </w:tcPr>
          <w:p w14:paraId="4EA362AC" w14:textId="77777777" w:rsidR="00DF7D2F" w:rsidRPr="00B96B9F" w:rsidRDefault="00DF7D2F" w:rsidP="007C4202">
            <w:pPr>
              <w:pStyle w:val="UZEINormaln"/>
              <w:spacing w:before="0" w:after="0"/>
              <w:rPr>
                <w:b/>
                <w:sz w:val="22"/>
              </w:rPr>
            </w:pPr>
            <w:r w:rsidRPr="00286674">
              <w:rPr>
                <w:sz w:val="22"/>
                <w:szCs w:val="22"/>
              </w:rPr>
              <w:t>697</w:t>
            </w:r>
          </w:p>
        </w:tc>
        <w:tc>
          <w:tcPr>
            <w:tcW w:w="1985" w:type="dxa"/>
            <w:tcBorders>
              <w:top w:val="nil"/>
              <w:left w:val="nil"/>
              <w:bottom w:val="single" w:sz="4" w:space="0" w:color="auto"/>
              <w:right w:val="single" w:sz="4" w:space="0" w:color="auto"/>
            </w:tcBorders>
            <w:shd w:val="clear" w:color="auto" w:fill="auto"/>
            <w:noWrap/>
            <w:vAlign w:val="center"/>
            <w:hideMark/>
          </w:tcPr>
          <w:p w14:paraId="6D0D5020" w14:textId="77777777" w:rsidR="00DF7D2F" w:rsidRPr="00B96B9F" w:rsidRDefault="00DF7D2F" w:rsidP="007C4202">
            <w:pPr>
              <w:pStyle w:val="UZEINormaln"/>
              <w:spacing w:before="0" w:after="0"/>
              <w:rPr>
                <w:b/>
                <w:sz w:val="22"/>
              </w:rPr>
            </w:pPr>
            <w:r w:rsidRPr="00286674">
              <w:rPr>
                <w:sz w:val="22"/>
                <w:szCs w:val="22"/>
              </w:rPr>
              <w:t>2,6</w:t>
            </w:r>
          </w:p>
        </w:tc>
        <w:tc>
          <w:tcPr>
            <w:tcW w:w="1417" w:type="dxa"/>
            <w:tcBorders>
              <w:top w:val="nil"/>
              <w:left w:val="nil"/>
              <w:bottom w:val="single" w:sz="4" w:space="0" w:color="auto"/>
              <w:right w:val="single" w:sz="4" w:space="0" w:color="auto"/>
            </w:tcBorders>
            <w:shd w:val="clear" w:color="auto" w:fill="auto"/>
            <w:noWrap/>
            <w:vAlign w:val="center"/>
            <w:hideMark/>
          </w:tcPr>
          <w:p w14:paraId="32C7CE31" w14:textId="77777777" w:rsidR="00DF7D2F" w:rsidRPr="00B96B9F" w:rsidRDefault="00DF7D2F" w:rsidP="007C4202">
            <w:pPr>
              <w:pStyle w:val="UZEINormaln"/>
              <w:spacing w:before="0" w:after="0"/>
              <w:rPr>
                <w:b/>
                <w:sz w:val="22"/>
              </w:rPr>
            </w:pPr>
            <w:r w:rsidRPr="00286674">
              <w:rPr>
                <w:sz w:val="22"/>
                <w:szCs w:val="22"/>
              </w:rPr>
              <w:t>0,8</w:t>
            </w:r>
          </w:p>
        </w:tc>
      </w:tr>
      <w:tr w:rsidR="00DF7D2F" w:rsidRPr="00B96B9F" w14:paraId="742FDF0A" w14:textId="77777777" w:rsidTr="0006094E">
        <w:trPr>
          <w:trHeight w:val="283"/>
        </w:trPr>
        <w:tc>
          <w:tcPr>
            <w:tcW w:w="474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2B421A" w14:textId="2B4BC681" w:rsidR="00DF7D2F" w:rsidRPr="00B96B9F" w:rsidRDefault="00DF7D2F" w:rsidP="007C4202">
            <w:pPr>
              <w:pStyle w:val="UZEINormaln"/>
              <w:spacing w:before="0" w:after="0"/>
              <w:rPr>
                <w:sz w:val="22"/>
              </w:rPr>
            </w:pPr>
            <w:r w:rsidRPr="00286674">
              <w:rPr>
                <w:sz w:val="22"/>
                <w:szCs w:val="22"/>
              </w:rPr>
              <w:t>Celkem PO 2 do 9.</w:t>
            </w:r>
            <w:r w:rsidR="00601C1D">
              <w:rPr>
                <w:sz w:val="22"/>
                <w:szCs w:val="22"/>
              </w:rPr>
              <w:t xml:space="preserve"> </w:t>
            </w:r>
            <w:r w:rsidRPr="00286674">
              <w:rPr>
                <w:sz w:val="22"/>
                <w:szCs w:val="22"/>
              </w:rPr>
              <w:t>6.</w:t>
            </w:r>
            <w:r w:rsidR="00601C1D">
              <w:rPr>
                <w:sz w:val="22"/>
                <w:szCs w:val="22"/>
              </w:rPr>
              <w:t xml:space="preserve"> </w:t>
            </w:r>
            <w:r w:rsidRPr="00286674">
              <w:rPr>
                <w:sz w:val="22"/>
                <w:szCs w:val="22"/>
              </w:rPr>
              <w:t>2015</w:t>
            </w:r>
          </w:p>
        </w:tc>
        <w:tc>
          <w:tcPr>
            <w:tcW w:w="992" w:type="dxa"/>
            <w:tcBorders>
              <w:top w:val="nil"/>
              <w:left w:val="nil"/>
              <w:bottom w:val="single" w:sz="4" w:space="0" w:color="auto"/>
              <w:right w:val="single" w:sz="4" w:space="0" w:color="auto"/>
            </w:tcBorders>
            <w:shd w:val="clear" w:color="auto" w:fill="auto"/>
            <w:noWrap/>
            <w:vAlign w:val="center"/>
            <w:hideMark/>
          </w:tcPr>
          <w:p w14:paraId="2D938BBB" w14:textId="77777777" w:rsidR="00DF7D2F" w:rsidRPr="00B96B9F" w:rsidRDefault="00DF7D2F" w:rsidP="007C4202">
            <w:pPr>
              <w:pStyle w:val="UZEINormaln"/>
              <w:spacing w:before="0" w:after="0"/>
              <w:rPr>
                <w:sz w:val="22"/>
              </w:rPr>
            </w:pPr>
            <w:r w:rsidRPr="00286674">
              <w:rPr>
                <w:sz w:val="22"/>
                <w:szCs w:val="22"/>
              </w:rPr>
              <w:t>2487</w:t>
            </w:r>
          </w:p>
        </w:tc>
        <w:tc>
          <w:tcPr>
            <w:tcW w:w="1985" w:type="dxa"/>
            <w:tcBorders>
              <w:top w:val="nil"/>
              <w:left w:val="nil"/>
              <w:bottom w:val="single" w:sz="4" w:space="0" w:color="auto"/>
              <w:right w:val="single" w:sz="4" w:space="0" w:color="auto"/>
            </w:tcBorders>
            <w:shd w:val="clear" w:color="auto" w:fill="auto"/>
            <w:noWrap/>
            <w:vAlign w:val="center"/>
            <w:hideMark/>
          </w:tcPr>
          <w:p w14:paraId="106445D4" w14:textId="77777777" w:rsidR="00DF7D2F" w:rsidRPr="00B96B9F" w:rsidRDefault="00DF7D2F" w:rsidP="007C4202">
            <w:pPr>
              <w:pStyle w:val="UZEINormaln"/>
              <w:spacing w:before="0" w:after="0"/>
              <w:rPr>
                <w:sz w:val="22"/>
              </w:rPr>
            </w:pPr>
            <w:r w:rsidRPr="00286674">
              <w:rPr>
                <w:sz w:val="22"/>
                <w:szCs w:val="22"/>
              </w:rPr>
              <w:t>38,1</w:t>
            </w:r>
          </w:p>
        </w:tc>
        <w:tc>
          <w:tcPr>
            <w:tcW w:w="1417" w:type="dxa"/>
            <w:tcBorders>
              <w:top w:val="nil"/>
              <w:left w:val="nil"/>
              <w:bottom w:val="single" w:sz="4" w:space="0" w:color="auto"/>
              <w:right w:val="single" w:sz="4" w:space="0" w:color="auto"/>
            </w:tcBorders>
            <w:shd w:val="clear" w:color="auto" w:fill="auto"/>
            <w:noWrap/>
            <w:vAlign w:val="center"/>
            <w:hideMark/>
          </w:tcPr>
          <w:p w14:paraId="71D785AB" w14:textId="77777777" w:rsidR="00DF7D2F" w:rsidRPr="00B96B9F" w:rsidRDefault="00DF7D2F" w:rsidP="007C4202">
            <w:pPr>
              <w:pStyle w:val="UZEINormaln"/>
              <w:spacing w:before="0" w:after="0"/>
              <w:rPr>
                <w:sz w:val="22"/>
              </w:rPr>
            </w:pPr>
            <w:r w:rsidRPr="00286674">
              <w:rPr>
                <w:sz w:val="22"/>
                <w:szCs w:val="22"/>
              </w:rPr>
              <w:t>16,9</w:t>
            </w:r>
          </w:p>
        </w:tc>
      </w:tr>
    </w:tbl>
    <w:p w14:paraId="6B8C6E74" w14:textId="77777777" w:rsidR="00DF7D2F" w:rsidRPr="00B96B9F" w:rsidRDefault="00DF7D2F" w:rsidP="00DF7D2F">
      <w:pPr>
        <w:pStyle w:val="UZEIZdroj"/>
        <w:rPr>
          <w:i w:val="0"/>
          <w:sz w:val="22"/>
        </w:rPr>
      </w:pPr>
      <w:r w:rsidRPr="00B96B9F">
        <w:t xml:space="preserve">Zdroj: </w:t>
      </w:r>
      <w:r w:rsidRPr="00B96B9F">
        <w:rPr>
          <w:i w:val="0"/>
          <w:sz w:val="22"/>
        </w:rPr>
        <w:t>Střednědobá strategie (do roku 2020) zlepšení kvality ovzduší v České republice (MŽP, 2017 – stav ke dni 9. 6. 2015)</w:t>
      </w:r>
    </w:p>
    <w:p w14:paraId="3D828401" w14:textId="795E0D6E" w:rsidR="00DF7D2F" w:rsidRDefault="00DF7D2F" w:rsidP="00DF7D2F">
      <w:pPr>
        <w:pStyle w:val="UZEINormaln"/>
      </w:pPr>
      <w:r w:rsidRPr="00777ECF">
        <w:t>V rámci globální a evropské úrovně se problematikou amoniaku zabývá Protokol k omezování acidifikace, eutrofizace a přízemního ozónu (Göte</w:t>
      </w:r>
      <w:r w:rsidRPr="00B96B9F">
        <w:t>borský protokol), který se původně týkal čtyř znečišťujících látek (nebo jejich skupin) – SO</w:t>
      </w:r>
      <w:r w:rsidRPr="00B96B9F">
        <w:rPr>
          <w:vertAlign w:val="subscript"/>
        </w:rPr>
        <w:t>2</w:t>
      </w:r>
      <w:r w:rsidRPr="00B96B9F">
        <w:t>, NO</w:t>
      </w:r>
      <w:r w:rsidRPr="00B96B9F">
        <w:rPr>
          <w:vertAlign w:val="subscript"/>
        </w:rPr>
        <w:t>X</w:t>
      </w:r>
      <w:r w:rsidRPr="00B96B9F">
        <w:t>, NM-VOC a NH</w:t>
      </w:r>
      <w:r w:rsidRPr="00B96B9F">
        <w:rPr>
          <w:vertAlign w:val="subscript"/>
        </w:rPr>
        <w:t>3</w:t>
      </w:r>
      <w:r w:rsidRPr="00B96B9F">
        <w:t>, které působí acidifikaci či eutrofizaci anebo mohou být prekurzory přízemního (troposférického ozónu). Göteborský protokol stanovil mimo jiné národní emisní stropy, které byly strany protokolu povinny dodržet ke konci roku 2010, což se týkalo i požadavků na omezování emisí amoniaku ze zemědělských zdrojů. V roce 2012 byla schválena zásadní revize Göteborského protokolu, která zahrnuje rozšíření regulovaných znečišťujících látek a stanovení nových hodnot národních emisních stropů k roku 2020. Nové národní emisní stropy jsou vyjádřeny jako „národní závazky snížení emisí“, tedy procento snížení emisí oproti roku 2005.</w:t>
      </w:r>
    </w:p>
    <w:p w14:paraId="28363B4F" w14:textId="77777777" w:rsidR="00DF7D2F" w:rsidRPr="004C4072" w:rsidRDefault="00DF7D2F" w:rsidP="0006094E">
      <w:pPr>
        <w:pStyle w:val="UZEINormaln"/>
      </w:pPr>
    </w:p>
    <w:p w14:paraId="50A26F0A" w14:textId="17CCAD67" w:rsidR="003E0F58" w:rsidRPr="007C705C" w:rsidRDefault="00601C1D" w:rsidP="003E0F58">
      <w:pPr>
        <w:ind w:firstLine="360"/>
        <w:rPr>
          <w:rFonts w:eastAsiaTheme="minorEastAsia" w:cs="Times New Roman"/>
          <w:b/>
          <w:bCs/>
          <w:lang w:val="cs-CZ"/>
        </w:rPr>
      </w:pPr>
      <w:r>
        <w:rPr>
          <w:rFonts w:eastAsiaTheme="minorEastAsia" w:cs="Times New Roman"/>
          <w:b/>
          <w:bCs/>
          <w:u w:val="single"/>
          <w:lang w:val="cs-CZ"/>
        </w:rPr>
        <w:lastRenderedPageBreak/>
        <w:t>Z</w:t>
      </w:r>
      <w:r w:rsidR="003E0F58" w:rsidRPr="007C705C">
        <w:rPr>
          <w:rFonts w:eastAsiaTheme="minorEastAsia" w:cs="Times New Roman"/>
          <w:b/>
          <w:bCs/>
          <w:u w:val="single"/>
          <w:lang w:val="cs-CZ"/>
        </w:rPr>
        <w:t>a oblast OZE</w:t>
      </w:r>
    </w:p>
    <w:p w14:paraId="028AC5E0" w14:textId="77777777" w:rsidR="003E0F58" w:rsidRPr="007C705C" w:rsidRDefault="003E0F58" w:rsidP="008A1AE3">
      <w:pPr>
        <w:pStyle w:val="Odstavecseseznamem"/>
        <w:numPr>
          <w:ilvl w:val="0"/>
          <w:numId w:val="20"/>
        </w:numPr>
        <w:spacing w:before="60" w:line="360" w:lineRule="atLeast"/>
        <w:rPr>
          <w:rFonts w:eastAsiaTheme="minorEastAsia"/>
          <w:b/>
          <w:bCs/>
        </w:rPr>
      </w:pPr>
      <w:r w:rsidRPr="007C705C">
        <w:rPr>
          <w:rFonts w:eastAsiaTheme="minorEastAsia"/>
          <w:b/>
          <w:bCs/>
        </w:rPr>
        <w:t>Nevyužitý potenciál a neefektivní výroba energií z OZE v zemědělství a lesnictví</w:t>
      </w:r>
    </w:p>
    <w:p w14:paraId="6B6A6DB4" w14:textId="4844E8D9" w:rsidR="003E0F58" w:rsidRPr="007C705C" w:rsidRDefault="003E0F58" w:rsidP="004C4072">
      <w:pPr>
        <w:pStyle w:val="UZEITaB"/>
        <w:rPr>
          <w:rFonts w:eastAsiaTheme="minorEastAsia"/>
        </w:rPr>
      </w:pPr>
      <w:bookmarkStart w:id="495" w:name="_Toc77245872"/>
      <w:bookmarkStart w:id="496" w:name="_Ref81338951"/>
      <w:bookmarkStart w:id="497" w:name="_Toc94181640"/>
      <w:r w:rsidRPr="007C705C">
        <w:rPr>
          <w:rFonts w:eastAsiaTheme="minorEastAsia"/>
        </w:rPr>
        <w:t>Přehled Operačních programů a oblastí podpory OZE</w:t>
      </w:r>
      <w:bookmarkEnd w:id="495"/>
      <w:bookmarkEnd w:id="496"/>
      <w:bookmarkEnd w:id="497"/>
    </w:p>
    <w:tbl>
      <w:tblPr>
        <w:tblStyle w:val="Mkatabulky"/>
        <w:tblW w:w="5000" w:type="pct"/>
        <w:tblLook w:val="04A0" w:firstRow="1" w:lastRow="0" w:firstColumn="1" w:lastColumn="0" w:noHBand="0" w:noVBand="1"/>
      </w:tblPr>
      <w:tblGrid>
        <w:gridCol w:w="3869"/>
        <w:gridCol w:w="5193"/>
      </w:tblGrid>
      <w:tr w:rsidR="003E0F58" w:rsidRPr="007C705C" w14:paraId="0F5EB29F" w14:textId="77777777" w:rsidTr="004D2249">
        <w:tc>
          <w:tcPr>
            <w:tcW w:w="2135" w:type="pct"/>
            <w:shd w:val="clear" w:color="auto" w:fill="DEEAF6" w:themeFill="accent5" w:themeFillTint="33"/>
            <w:vAlign w:val="center"/>
          </w:tcPr>
          <w:p w14:paraId="6CFF76DE" w14:textId="77777777" w:rsidR="003E0F58" w:rsidRPr="007C705C" w:rsidRDefault="003E0F58" w:rsidP="004D2249">
            <w:pPr>
              <w:spacing w:line="276" w:lineRule="auto"/>
              <w:jc w:val="center"/>
              <w:rPr>
                <w:rFonts w:eastAsiaTheme="minorEastAsia"/>
                <w:sz w:val="20"/>
              </w:rPr>
            </w:pPr>
            <w:r w:rsidRPr="007C705C">
              <w:rPr>
                <w:rFonts w:eastAsiaTheme="minorEastAsia"/>
                <w:sz w:val="20"/>
              </w:rPr>
              <w:t>Název operačního programu</w:t>
            </w:r>
          </w:p>
        </w:tc>
        <w:tc>
          <w:tcPr>
            <w:tcW w:w="2865" w:type="pct"/>
            <w:shd w:val="clear" w:color="auto" w:fill="DEEAF6" w:themeFill="accent5" w:themeFillTint="33"/>
            <w:vAlign w:val="center"/>
          </w:tcPr>
          <w:p w14:paraId="1F8012D2" w14:textId="77777777" w:rsidR="003E0F58" w:rsidRPr="007C705C" w:rsidRDefault="003E0F58" w:rsidP="004D2249">
            <w:pPr>
              <w:spacing w:line="276" w:lineRule="auto"/>
              <w:jc w:val="center"/>
              <w:rPr>
                <w:rFonts w:eastAsiaTheme="minorEastAsia"/>
                <w:sz w:val="20"/>
              </w:rPr>
            </w:pPr>
            <w:r w:rsidRPr="007C705C">
              <w:rPr>
                <w:rFonts w:eastAsiaTheme="minorEastAsia"/>
                <w:sz w:val="20"/>
              </w:rPr>
              <w:t>Název oblasti podpory</w:t>
            </w:r>
          </w:p>
        </w:tc>
      </w:tr>
      <w:tr w:rsidR="003E0F58" w:rsidRPr="007C705C" w14:paraId="170EBFEA" w14:textId="77777777" w:rsidTr="004D2249">
        <w:tc>
          <w:tcPr>
            <w:tcW w:w="2135" w:type="pct"/>
            <w:vMerge w:val="restart"/>
            <w:shd w:val="clear" w:color="auto" w:fill="FFF2CC" w:themeFill="accent4" w:themeFillTint="33"/>
            <w:vAlign w:val="center"/>
          </w:tcPr>
          <w:p w14:paraId="3EF7374F" w14:textId="77777777" w:rsidR="003E0F58" w:rsidRPr="007C705C" w:rsidRDefault="003E0F58" w:rsidP="004D2249">
            <w:pPr>
              <w:spacing w:line="276" w:lineRule="auto"/>
              <w:ind w:left="113"/>
              <w:jc w:val="center"/>
              <w:rPr>
                <w:rFonts w:eastAsiaTheme="minorEastAsia"/>
                <w:sz w:val="20"/>
              </w:rPr>
            </w:pPr>
            <w:r w:rsidRPr="007C705C">
              <w:rPr>
                <w:rFonts w:eastAsiaTheme="minorEastAsia"/>
              </w:rPr>
              <w:t>Operační program Podnikání a inovace pro konkurenceschopnost (OPPIK)</w:t>
            </w:r>
          </w:p>
        </w:tc>
        <w:tc>
          <w:tcPr>
            <w:tcW w:w="2865" w:type="pct"/>
            <w:vAlign w:val="center"/>
          </w:tcPr>
          <w:p w14:paraId="2D11985C" w14:textId="77777777" w:rsidR="003E0F58" w:rsidRPr="007C705C" w:rsidRDefault="003E0F58" w:rsidP="004D2249">
            <w:pPr>
              <w:jc w:val="center"/>
              <w:rPr>
                <w:rFonts w:eastAsiaTheme="minorEastAsia"/>
                <w:sz w:val="20"/>
              </w:rPr>
            </w:pPr>
            <w:r w:rsidRPr="007C705C">
              <w:rPr>
                <w:rFonts w:eastAsiaTheme="minorEastAsia"/>
                <w:sz w:val="20"/>
              </w:rPr>
              <w:t>1) Podpora výroby a distribuce energie pocházející z obnovitelných zdrojů</w:t>
            </w:r>
          </w:p>
        </w:tc>
      </w:tr>
      <w:tr w:rsidR="003E0F58" w:rsidRPr="007C705C" w14:paraId="0D2E81E7" w14:textId="77777777" w:rsidTr="004D2249">
        <w:tc>
          <w:tcPr>
            <w:tcW w:w="2135" w:type="pct"/>
            <w:vMerge/>
          </w:tcPr>
          <w:p w14:paraId="2BE53A38" w14:textId="77777777" w:rsidR="003E0F58" w:rsidRPr="007C705C" w:rsidRDefault="003E0F58" w:rsidP="004D2249">
            <w:pPr>
              <w:spacing w:line="276" w:lineRule="auto"/>
              <w:rPr>
                <w:sz w:val="20"/>
              </w:rPr>
            </w:pPr>
          </w:p>
        </w:tc>
        <w:tc>
          <w:tcPr>
            <w:tcW w:w="2865" w:type="pct"/>
            <w:vAlign w:val="center"/>
          </w:tcPr>
          <w:p w14:paraId="13F73164" w14:textId="77777777" w:rsidR="003E0F58" w:rsidRPr="007C705C" w:rsidRDefault="003E0F58" w:rsidP="004D2249">
            <w:pPr>
              <w:spacing w:line="276" w:lineRule="auto"/>
              <w:jc w:val="center"/>
              <w:rPr>
                <w:rFonts w:eastAsiaTheme="minorEastAsia"/>
                <w:sz w:val="20"/>
              </w:rPr>
            </w:pPr>
            <w:r w:rsidRPr="007C705C">
              <w:rPr>
                <w:rFonts w:eastAsiaTheme="minorEastAsia"/>
                <w:sz w:val="20"/>
              </w:rPr>
              <w:t>2) Podpora energetické účinnosti a využívání energie z obnovitelných zdrojů v podnicích</w:t>
            </w:r>
          </w:p>
        </w:tc>
      </w:tr>
      <w:tr w:rsidR="003E0F58" w:rsidRPr="007C705C" w14:paraId="4FA5E969" w14:textId="77777777" w:rsidTr="004D2249">
        <w:tc>
          <w:tcPr>
            <w:tcW w:w="2135" w:type="pct"/>
            <w:vMerge/>
          </w:tcPr>
          <w:p w14:paraId="4C3A33B7" w14:textId="77777777" w:rsidR="003E0F58" w:rsidRPr="007C705C" w:rsidRDefault="003E0F58" w:rsidP="004D2249">
            <w:pPr>
              <w:spacing w:line="276" w:lineRule="auto"/>
              <w:rPr>
                <w:sz w:val="20"/>
              </w:rPr>
            </w:pPr>
          </w:p>
        </w:tc>
        <w:tc>
          <w:tcPr>
            <w:tcW w:w="2865" w:type="pct"/>
            <w:vAlign w:val="center"/>
          </w:tcPr>
          <w:p w14:paraId="6FDEC12E" w14:textId="77777777" w:rsidR="003E0F58" w:rsidRPr="007C705C" w:rsidRDefault="003E0F58" w:rsidP="004D2249">
            <w:pPr>
              <w:spacing w:line="276" w:lineRule="auto"/>
              <w:jc w:val="center"/>
              <w:rPr>
                <w:rFonts w:eastAsiaTheme="minorEastAsia"/>
                <w:sz w:val="20"/>
              </w:rPr>
            </w:pPr>
            <w:r w:rsidRPr="007C705C">
              <w:rPr>
                <w:rFonts w:eastAsiaTheme="minorEastAsia"/>
                <w:sz w:val="20"/>
              </w:rPr>
              <w:t>3) Podpora výzkumu a inovací a zavádění nízkouhlíkových technologií</w:t>
            </w:r>
          </w:p>
        </w:tc>
      </w:tr>
      <w:tr w:rsidR="003E0F58" w:rsidRPr="007C705C" w14:paraId="6B4DA2DD" w14:textId="77777777" w:rsidTr="004D2249">
        <w:tc>
          <w:tcPr>
            <w:tcW w:w="2135" w:type="pct"/>
            <w:vMerge/>
          </w:tcPr>
          <w:p w14:paraId="2AF849F9" w14:textId="77777777" w:rsidR="003E0F58" w:rsidRPr="007C705C" w:rsidRDefault="003E0F58" w:rsidP="004D2249">
            <w:pPr>
              <w:spacing w:line="276" w:lineRule="auto"/>
              <w:rPr>
                <w:sz w:val="20"/>
              </w:rPr>
            </w:pPr>
          </w:p>
        </w:tc>
        <w:tc>
          <w:tcPr>
            <w:tcW w:w="2865" w:type="pct"/>
            <w:vAlign w:val="center"/>
          </w:tcPr>
          <w:p w14:paraId="123A8D5B" w14:textId="77777777" w:rsidR="003E0F58" w:rsidRPr="007C705C" w:rsidRDefault="003E0F58" w:rsidP="004D2249">
            <w:pPr>
              <w:spacing w:line="276" w:lineRule="auto"/>
              <w:jc w:val="center"/>
              <w:rPr>
                <w:rFonts w:eastAsiaTheme="minorEastAsia"/>
                <w:sz w:val="20"/>
              </w:rPr>
            </w:pPr>
            <w:r w:rsidRPr="007C705C">
              <w:rPr>
                <w:rFonts w:eastAsiaTheme="minorEastAsia"/>
                <w:sz w:val="20"/>
              </w:rPr>
              <w:t>4) Podpora využívání vysoce účinné kombinované výroby tepla a elektřiny na základě poptávky po užitečném teple</w:t>
            </w:r>
          </w:p>
        </w:tc>
      </w:tr>
      <w:tr w:rsidR="003E0F58" w:rsidRPr="007C705C" w14:paraId="13A7E598" w14:textId="77777777" w:rsidTr="004D2249">
        <w:tc>
          <w:tcPr>
            <w:tcW w:w="2135" w:type="pct"/>
            <w:vMerge/>
          </w:tcPr>
          <w:p w14:paraId="1C6DEB14" w14:textId="77777777" w:rsidR="003E0F58" w:rsidRPr="007C705C" w:rsidRDefault="003E0F58" w:rsidP="004D2249">
            <w:pPr>
              <w:spacing w:line="276" w:lineRule="auto"/>
              <w:rPr>
                <w:sz w:val="20"/>
              </w:rPr>
            </w:pPr>
          </w:p>
        </w:tc>
        <w:tc>
          <w:tcPr>
            <w:tcW w:w="2865" w:type="pct"/>
            <w:vAlign w:val="center"/>
          </w:tcPr>
          <w:p w14:paraId="3FE01C3B" w14:textId="77777777" w:rsidR="003E0F58" w:rsidRPr="007C705C" w:rsidRDefault="003E0F58" w:rsidP="004D2249">
            <w:pPr>
              <w:spacing w:line="276" w:lineRule="auto"/>
              <w:jc w:val="center"/>
              <w:rPr>
                <w:rFonts w:eastAsiaTheme="minorEastAsia"/>
                <w:sz w:val="20"/>
              </w:rPr>
            </w:pPr>
            <w:r w:rsidRPr="007C705C">
              <w:rPr>
                <w:rFonts w:eastAsiaTheme="minorEastAsia"/>
                <w:sz w:val="20"/>
              </w:rPr>
              <w:t>5) Zvyšování energetické účinnosti a zabezpečení dodávek prostřednictvím rozvoje inteligentních systémů pro distribuci, skladování a přenos energie prostřednictvím integrace distribuované výroby z obnovitelných zdrojů</w:t>
            </w:r>
          </w:p>
        </w:tc>
      </w:tr>
      <w:tr w:rsidR="003E0F58" w:rsidRPr="007C705C" w14:paraId="741C0479" w14:textId="77777777" w:rsidTr="004D2249">
        <w:tc>
          <w:tcPr>
            <w:tcW w:w="2135" w:type="pct"/>
            <w:vMerge w:val="restart"/>
            <w:shd w:val="clear" w:color="auto" w:fill="EDEDED" w:themeFill="accent3" w:themeFillTint="33"/>
            <w:vAlign w:val="center"/>
          </w:tcPr>
          <w:p w14:paraId="2B1FA9BF" w14:textId="77777777" w:rsidR="003E0F58" w:rsidRPr="007C705C" w:rsidRDefault="003E0F58" w:rsidP="004D2249">
            <w:pPr>
              <w:spacing w:line="276" w:lineRule="auto"/>
              <w:ind w:left="113"/>
              <w:jc w:val="center"/>
              <w:rPr>
                <w:rFonts w:eastAsiaTheme="minorEastAsia"/>
              </w:rPr>
            </w:pPr>
            <w:r w:rsidRPr="007C705C">
              <w:rPr>
                <w:rFonts w:eastAsiaTheme="minorEastAsia"/>
              </w:rPr>
              <w:t>Operační program Životní prostředí (OPŽP)</w:t>
            </w:r>
          </w:p>
        </w:tc>
        <w:tc>
          <w:tcPr>
            <w:tcW w:w="2865" w:type="pct"/>
            <w:vAlign w:val="center"/>
          </w:tcPr>
          <w:p w14:paraId="78BFE0B2" w14:textId="77777777" w:rsidR="003E0F58" w:rsidRPr="007C705C" w:rsidRDefault="003E0F58" w:rsidP="004D2249">
            <w:pPr>
              <w:spacing w:line="276" w:lineRule="auto"/>
              <w:jc w:val="center"/>
              <w:rPr>
                <w:rFonts w:eastAsiaTheme="minorEastAsia"/>
                <w:sz w:val="20"/>
              </w:rPr>
            </w:pPr>
            <w:r w:rsidRPr="007C705C">
              <w:rPr>
                <w:rFonts w:eastAsiaTheme="minorEastAsia"/>
                <w:sz w:val="20"/>
              </w:rPr>
              <w:t>1) Zlepšování kvality ovzduší v lidských sídlech</w:t>
            </w:r>
          </w:p>
        </w:tc>
      </w:tr>
      <w:tr w:rsidR="003E0F58" w:rsidRPr="007C705C" w14:paraId="04A71F11" w14:textId="77777777" w:rsidTr="004D2249">
        <w:tc>
          <w:tcPr>
            <w:tcW w:w="2135" w:type="pct"/>
            <w:vMerge/>
          </w:tcPr>
          <w:p w14:paraId="71E480E1" w14:textId="77777777" w:rsidR="003E0F58" w:rsidRPr="007C705C" w:rsidRDefault="003E0F58" w:rsidP="004D2249">
            <w:pPr>
              <w:spacing w:line="276" w:lineRule="auto"/>
            </w:pPr>
          </w:p>
        </w:tc>
        <w:tc>
          <w:tcPr>
            <w:tcW w:w="2865" w:type="pct"/>
            <w:vAlign w:val="center"/>
          </w:tcPr>
          <w:p w14:paraId="6631195E" w14:textId="77777777" w:rsidR="003E0F58" w:rsidRPr="007C705C" w:rsidRDefault="003E0F58" w:rsidP="004D2249">
            <w:pPr>
              <w:spacing w:line="276" w:lineRule="auto"/>
              <w:jc w:val="center"/>
              <w:rPr>
                <w:rFonts w:eastAsiaTheme="minorEastAsia"/>
                <w:sz w:val="20"/>
              </w:rPr>
            </w:pPr>
            <w:r w:rsidRPr="007C705C">
              <w:rPr>
                <w:rFonts w:eastAsiaTheme="minorEastAsia"/>
                <w:sz w:val="20"/>
              </w:rPr>
              <w:t>2) Odpady a materiálové toky, ekologické zátěže a rizika</w:t>
            </w:r>
          </w:p>
        </w:tc>
      </w:tr>
      <w:tr w:rsidR="003E0F58" w:rsidRPr="007C705C" w14:paraId="5D9A031A" w14:textId="77777777" w:rsidTr="004D2249">
        <w:tc>
          <w:tcPr>
            <w:tcW w:w="2135" w:type="pct"/>
            <w:vMerge/>
          </w:tcPr>
          <w:p w14:paraId="1A5F8294" w14:textId="77777777" w:rsidR="003E0F58" w:rsidRPr="007C705C" w:rsidRDefault="003E0F58" w:rsidP="004D2249">
            <w:pPr>
              <w:spacing w:line="276" w:lineRule="auto"/>
            </w:pPr>
          </w:p>
        </w:tc>
        <w:tc>
          <w:tcPr>
            <w:tcW w:w="2865" w:type="pct"/>
            <w:vAlign w:val="center"/>
          </w:tcPr>
          <w:p w14:paraId="5D213278" w14:textId="77777777" w:rsidR="003E0F58" w:rsidRPr="007C705C" w:rsidRDefault="003E0F58" w:rsidP="004D2249">
            <w:pPr>
              <w:spacing w:line="276" w:lineRule="auto"/>
              <w:jc w:val="center"/>
              <w:rPr>
                <w:rFonts w:eastAsiaTheme="minorEastAsia"/>
                <w:sz w:val="20"/>
              </w:rPr>
            </w:pPr>
            <w:r w:rsidRPr="007C705C">
              <w:rPr>
                <w:rFonts w:eastAsiaTheme="minorEastAsia"/>
                <w:sz w:val="20"/>
              </w:rPr>
              <w:t>3) Energetické úspory</w:t>
            </w:r>
          </w:p>
        </w:tc>
      </w:tr>
    </w:tbl>
    <w:p w14:paraId="5F9E52AB" w14:textId="6234D5A0" w:rsidR="003E0F58" w:rsidRPr="008F1B21" w:rsidRDefault="003E0F58" w:rsidP="008F1B21">
      <w:pPr>
        <w:pStyle w:val="UZEIZdroj"/>
      </w:pPr>
      <w:r w:rsidRPr="007C705C">
        <w:t>Zdroj: Analýza operačních programů (CZ Biom, 2014)</w:t>
      </w:r>
    </w:p>
    <w:p w14:paraId="57D64ADA" w14:textId="77777777" w:rsidR="003E0F58" w:rsidRPr="007C705C" w:rsidRDefault="003E0F58" w:rsidP="003E0F58">
      <w:pPr>
        <w:rPr>
          <w:rFonts w:cs="Times New Roman"/>
          <w:b/>
          <w:lang w:val="cs-CZ"/>
        </w:rPr>
      </w:pPr>
      <w:r w:rsidRPr="007C705C">
        <w:rPr>
          <w:rFonts w:cs="Times New Roman"/>
          <w:b/>
          <w:lang w:val="cs-CZ"/>
        </w:rPr>
        <w:t>LESY:</w:t>
      </w:r>
    </w:p>
    <w:p w14:paraId="53027A24" w14:textId="77777777" w:rsidR="003E0F58" w:rsidRPr="007C705C" w:rsidRDefault="003E0F58" w:rsidP="008A1AE3">
      <w:pPr>
        <w:pStyle w:val="Odstavecseseznamem"/>
        <w:numPr>
          <w:ilvl w:val="0"/>
          <w:numId w:val="38"/>
        </w:numPr>
        <w:spacing w:before="60" w:line="360" w:lineRule="atLeast"/>
        <w:rPr>
          <w:i/>
        </w:rPr>
      </w:pPr>
      <w:r w:rsidRPr="007C705C">
        <w:rPr>
          <w:rFonts w:eastAsiaTheme="minorEastAsia"/>
          <w:b/>
          <w:bCs/>
        </w:rPr>
        <w:t>Zdravotní stav lesů</w:t>
      </w:r>
    </w:p>
    <w:p w14:paraId="211494F7" w14:textId="77777777" w:rsidR="003E0F58" w:rsidRPr="007C705C" w:rsidRDefault="003E0F58" w:rsidP="008F1B21">
      <w:pPr>
        <w:pStyle w:val="UZEINormaln"/>
        <w:rPr>
          <w:rFonts w:eastAsia="Calibri"/>
        </w:rPr>
      </w:pPr>
      <w:r w:rsidRPr="007C705C">
        <w:rPr>
          <w:rFonts w:eastAsia="Calibri"/>
        </w:rPr>
        <w:t>Problematika zdravotního stavu lesů není explicitně řešena jinými politikami ČR vyjma části, která souvisí s vysazováním stanovištně vhodných druhů dřevin v rámci obnovy lesa a tím i se změnou druhového složení lesních porostů o čemž je pojednáno v následující podkapitole.</w:t>
      </w:r>
    </w:p>
    <w:p w14:paraId="2DA39210" w14:textId="77777777" w:rsidR="003E0F58" w:rsidRPr="007C705C" w:rsidRDefault="003E0F58" w:rsidP="008A1AE3">
      <w:pPr>
        <w:pStyle w:val="Odstavecseseznamem"/>
        <w:numPr>
          <w:ilvl w:val="0"/>
          <w:numId w:val="38"/>
        </w:numPr>
        <w:spacing w:before="60" w:line="360" w:lineRule="atLeast"/>
        <w:rPr>
          <w:rFonts w:eastAsiaTheme="minorEastAsia"/>
          <w:b/>
          <w:bCs/>
        </w:rPr>
      </w:pPr>
      <w:r w:rsidRPr="007C705C">
        <w:rPr>
          <w:rFonts w:eastAsiaTheme="minorEastAsia"/>
          <w:b/>
          <w:bCs/>
        </w:rPr>
        <w:t>Druhové, věkové a prostorové složení lesních porostů</w:t>
      </w:r>
    </w:p>
    <w:p w14:paraId="77272A7A" w14:textId="77777777" w:rsidR="003E0F58" w:rsidRPr="007C705C" w:rsidRDefault="003E0F58" w:rsidP="008F1B21">
      <w:pPr>
        <w:pStyle w:val="UZEINormaln"/>
      </w:pPr>
      <w:r w:rsidRPr="007C705C">
        <w:rPr>
          <w:rFonts w:eastAsia="Calibri"/>
        </w:rPr>
        <w:t xml:space="preserve">Podpora výsadeb a ochrany melioračních a zpevňujících dřevin je rovněž podporována z národních zdrojů prostřednictvím nařízení vlády č. 30/2014 Sb. o stanovení závazných pravidel poskytování finančních příspěvků na hospodaření v lesích a na vybrané myslivecké činnosti, v rámci, kterých je podporována výsadba stanovištně vhodných druhů dřevin stanovených vyhláškou č. 298/2018 Sb., a ve kterých je zvýšená podpora druhů melioračních a zpevňujících dřevin. Další forma podpory je poskytována prostřednictvím nároků na částečnou úhradu výsadby melioračních a zpevňujících dřevin dle </w:t>
      </w:r>
      <w:r w:rsidRPr="007C705C">
        <w:t>§ 24 lesního zákona.</w:t>
      </w:r>
    </w:p>
    <w:p w14:paraId="34959324" w14:textId="77777777" w:rsidR="003E0F58" w:rsidRPr="007C705C" w:rsidRDefault="003E0F58" w:rsidP="008A1AE3">
      <w:pPr>
        <w:pStyle w:val="Odstavecseseznamem"/>
        <w:numPr>
          <w:ilvl w:val="0"/>
          <w:numId w:val="38"/>
        </w:numPr>
        <w:spacing w:before="60" w:line="360" w:lineRule="atLeast"/>
        <w:rPr>
          <w:rFonts w:eastAsiaTheme="minorEastAsia"/>
          <w:b/>
          <w:bCs/>
        </w:rPr>
      </w:pPr>
      <w:r w:rsidRPr="007C705C">
        <w:rPr>
          <w:rFonts w:eastAsiaTheme="minorEastAsia"/>
          <w:b/>
          <w:bCs/>
        </w:rPr>
        <w:t>Protierozní, protipovodňová a retenční opatření v lesích</w:t>
      </w:r>
    </w:p>
    <w:p w14:paraId="693A99A0" w14:textId="77777777" w:rsidR="003E0F58" w:rsidRPr="007C705C" w:rsidRDefault="003E0F58" w:rsidP="008F1B21">
      <w:pPr>
        <w:pStyle w:val="UZEINormaln"/>
        <w:rPr>
          <w:rFonts w:eastAsiaTheme="minorEastAsia"/>
        </w:rPr>
      </w:pPr>
      <w:r w:rsidRPr="007C705C">
        <w:rPr>
          <w:rFonts w:eastAsia="Calibri"/>
        </w:rPr>
        <w:t>V případě deklarovaného veřejného zájmu je možné náklady na tato opatření uhradit na základě příslušných ustanovení lesního a vodního zákona. Pomocí tohoto mechanismu realizují uvedená opatření (zpravidla většího rozsahu) zejména státní podniky pověřené vodohospodářskou správou vodních toků a souvisejících vodních děl. Provádění drobných opatření v nestátních lesích v současnosti není podporováno žádným účinným ekonomickým nástrojem a navrhuje se proto k řešení prostřednictvím SZP.</w:t>
      </w:r>
    </w:p>
    <w:p w14:paraId="08248F42" w14:textId="77777777" w:rsidR="003E0F58" w:rsidRPr="007C705C" w:rsidRDefault="003E0F58" w:rsidP="008A1AE3">
      <w:pPr>
        <w:pStyle w:val="Odstavecseseznamem"/>
        <w:numPr>
          <w:ilvl w:val="0"/>
          <w:numId w:val="38"/>
        </w:numPr>
        <w:spacing w:before="60" w:line="360" w:lineRule="atLeast"/>
        <w:rPr>
          <w:rFonts w:eastAsiaTheme="minorEastAsia"/>
          <w:b/>
          <w:bCs/>
        </w:rPr>
      </w:pPr>
      <w:r w:rsidRPr="007C705C">
        <w:rPr>
          <w:rFonts w:eastAsiaTheme="minorEastAsia"/>
          <w:b/>
          <w:bCs/>
        </w:rPr>
        <w:t>Nedostatečné využití potenciálu lesních ekosystémů při možné minimalizaci dopadu očekávané globální klimatické změny a extrémních meteorologických jevů</w:t>
      </w:r>
    </w:p>
    <w:p w14:paraId="7D987B50" w14:textId="1FF456E9" w:rsidR="003E0F58" w:rsidRPr="007C705C" w:rsidRDefault="003E0F58" w:rsidP="008F1B21">
      <w:pPr>
        <w:pStyle w:val="UZEIOdrky"/>
        <w:rPr>
          <w:rFonts w:eastAsiaTheme="minorEastAsia"/>
        </w:rPr>
      </w:pPr>
      <w:r w:rsidRPr="007C705C">
        <w:rPr>
          <w:rFonts w:eastAsiaTheme="minorEastAsia"/>
        </w:rPr>
        <w:t>Zalesňování zemědělské půdy</w:t>
      </w:r>
    </w:p>
    <w:p w14:paraId="5DBFAFEF" w14:textId="7BB6DED0" w:rsidR="003E0F58" w:rsidRDefault="003E0F58" w:rsidP="008F1B21">
      <w:pPr>
        <w:pStyle w:val="UZEINormaln"/>
      </w:pPr>
      <w:r w:rsidRPr="007C705C">
        <w:t>Problematika zalesňování zemědělských půd není řešena jinými politikami ČR.</w:t>
      </w:r>
    </w:p>
    <w:p w14:paraId="1DCD580A" w14:textId="77777777" w:rsidR="003E0F58" w:rsidRPr="008F1B21" w:rsidRDefault="003E0F58" w:rsidP="008F1B21">
      <w:pPr>
        <w:pStyle w:val="Nadpis1"/>
      </w:pPr>
      <w:bookmarkStart w:id="498" w:name="_Toc521315966"/>
      <w:bookmarkStart w:id="499" w:name="_Toc522523043"/>
      <w:bookmarkStart w:id="500" w:name="_Toc523143780"/>
      <w:bookmarkStart w:id="501" w:name="_Toc523146697"/>
      <w:bookmarkStart w:id="502" w:name="_Toc7429651"/>
      <w:bookmarkStart w:id="503" w:name="_Toc7429853"/>
      <w:bookmarkStart w:id="504" w:name="_Toc7430784"/>
      <w:bookmarkStart w:id="505" w:name="_Toc7432036"/>
      <w:bookmarkStart w:id="506" w:name="_Toc9611305"/>
      <w:bookmarkStart w:id="507" w:name="_Toc23326659"/>
      <w:bookmarkStart w:id="508" w:name="_Toc23327266"/>
      <w:bookmarkStart w:id="509" w:name="_Toc77245899"/>
      <w:bookmarkStart w:id="510" w:name="_Toc81343105"/>
      <w:bookmarkStart w:id="511" w:name="_Toc81343168"/>
      <w:bookmarkStart w:id="512" w:name="_Toc81343237"/>
      <w:bookmarkStart w:id="513" w:name="_Toc94181686"/>
      <w:r w:rsidRPr="008F1B21">
        <w:lastRenderedPageBreak/>
        <w:t>Detailnější posouzení vlivu předpisů</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r w:rsidRPr="008F1B21">
        <w:tab/>
      </w:r>
    </w:p>
    <w:p w14:paraId="372812DD" w14:textId="0BF67626" w:rsidR="003E0F58" w:rsidRPr="007C705C" w:rsidRDefault="003E0F58" w:rsidP="008F1B21">
      <w:pPr>
        <w:pStyle w:val="UZEINormaln"/>
        <w:rPr>
          <w:rFonts w:eastAsiaTheme="minorEastAsia"/>
        </w:rPr>
      </w:pPr>
      <w:r w:rsidRPr="007C705C">
        <w:rPr>
          <w:rFonts w:eastAsiaTheme="minorEastAsia"/>
        </w:rPr>
        <w:t>Stručná analýza efektů na definovaná témata v zemědělství/lesnictví/potravinářství a analýzou vazeb na SZP s vysvětlením možných rozporů, synergií a komplementarit.</w:t>
      </w:r>
    </w:p>
    <w:p w14:paraId="1768874C" w14:textId="77777777" w:rsidR="003E0F58" w:rsidRPr="007C705C" w:rsidRDefault="003E0F58" w:rsidP="003E0F58">
      <w:pPr>
        <w:jc w:val="left"/>
        <w:rPr>
          <w:rFonts w:eastAsiaTheme="minorEastAsia" w:cs="Times New Roman"/>
          <w:lang w:val="cs-CZ"/>
        </w:rPr>
      </w:pPr>
      <w:r w:rsidRPr="007C705C">
        <w:rPr>
          <w:rFonts w:cs="Times New Roman"/>
          <w:b/>
          <w:lang w:val="cs-CZ"/>
        </w:rPr>
        <w:t>KLIMA:</w:t>
      </w:r>
    </w:p>
    <w:p w14:paraId="201B2E60" w14:textId="77777777" w:rsidR="003E0F58" w:rsidRPr="007C705C" w:rsidRDefault="003E0F58" w:rsidP="003E0F58">
      <w:pPr>
        <w:ind w:firstLine="360"/>
        <w:rPr>
          <w:rFonts w:eastAsiaTheme="minorEastAsia" w:cs="Times New Roman"/>
          <w:lang w:val="cs-CZ"/>
        </w:rPr>
      </w:pPr>
      <w:r w:rsidRPr="007C705C">
        <w:rPr>
          <w:rFonts w:eastAsiaTheme="minorEastAsia" w:cs="Times New Roman"/>
          <w:b/>
          <w:bCs/>
          <w:u w:val="single"/>
          <w:lang w:val="cs-CZ"/>
        </w:rPr>
        <w:t>za oblast GHG a NH</w:t>
      </w:r>
      <w:r w:rsidRPr="0006094E">
        <w:rPr>
          <w:rFonts w:eastAsiaTheme="minorEastAsia" w:cs="Times New Roman"/>
          <w:b/>
          <w:bCs/>
          <w:u w:val="single"/>
          <w:vertAlign w:val="subscript"/>
          <w:lang w:val="cs-CZ"/>
        </w:rPr>
        <w:t>3</w:t>
      </w:r>
    </w:p>
    <w:p w14:paraId="4DCEE274" w14:textId="77777777" w:rsidR="003E0F58" w:rsidRPr="007C705C" w:rsidRDefault="003E0F58" w:rsidP="008A1AE3">
      <w:pPr>
        <w:pStyle w:val="Odstavecseseznamem"/>
        <w:numPr>
          <w:ilvl w:val="0"/>
          <w:numId w:val="21"/>
        </w:numPr>
        <w:spacing w:before="60" w:line="360" w:lineRule="atLeast"/>
        <w:rPr>
          <w:rFonts w:eastAsiaTheme="minorEastAsia"/>
          <w:b/>
          <w:bCs/>
        </w:rPr>
      </w:pPr>
      <w:r w:rsidRPr="007C705C">
        <w:rPr>
          <w:rFonts w:eastAsiaTheme="minorEastAsia"/>
          <w:b/>
          <w:bCs/>
        </w:rPr>
        <w:t>Nízká odolnost zemědělských podniků vůči klimatickým změnám</w:t>
      </w:r>
    </w:p>
    <w:p w14:paraId="14D26438" w14:textId="77777777" w:rsidR="003E0F58" w:rsidRPr="007C705C" w:rsidRDefault="003E0F58" w:rsidP="008F1B21">
      <w:pPr>
        <w:pStyle w:val="UZEINormaln"/>
        <w:rPr>
          <w:rFonts w:eastAsiaTheme="minorEastAsia"/>
        </w:rPr>
      </w:pPr>
      <w:r w:rsidRPr="007C705C">
        <w:rPr>
          <w:rFonts w:eastAsiaTheme="minorEastAsia"/>
        </w:rPr>
        <w:t xml:space="preserve">Klíčovým právním předpisem, který se zabývá problematikou škodlivých organismů je Zákon č. 299/2017 Sb. o rostlinolékařské péči. </w:t>
      </w:r>
    </w:p>
    <w:p w14:paraId="665B7748" w14:textId="77777777" w:rsidR="003E0F58" w:rsidRPr="007C705C" w:rsidRDefault="003E0F58" w:rsidP="008F1B21">
      <w:pPr>
        <w:pStyle w:val="UZEINormaln"/>
        <w:rPr>
          <w:rFonts w:eastAsiaTheme="minorEastAsia"/>
        </w:rPr>
      </w:pPr>
      <w:r w:rsidRPr="007C705C">
        <w:rPr>
          <w:rFonts w:eastAsiaTheme="minorEastAsia"/>
        </w:rPr>
        <w:t>Zákon řeší problematiku šíření škodlivých organismů velmi podrobně a z pohledu nastavení právního rámce řešení problematiky je zcela dostačující. Nicméně bez návazného nastavení podpůrných opatření, zejména v oblasti rozšiřování modelů prognózy, rozhodovacích nástrojů pro integrovanou ochranu a podpory šlechtění a testování odrůd je z pohledu řešení problému šíření škodlivých organismů poměrně bezzubý.</w:t>
      </w:r>
    </w:p>
    <w:p w14:paraId="5DFBF52C" w14:textId="77777777" w:rsidR="003E0F58" w:rsidRPr="007C705C" w:rsidRDefault="003E0F58" w:rsidP="008F1B21">
      <w:pPr>
        <w:pStyle w:val="UZEINormaln"/>
        <w:rPr>
          <w:rFonts w:eastAsiaTheme="minorEastAsia"/>
        </w:rPr>
      </w:pPr>
      <w:r w:rsidRPr="007C705C">
        <w:rPr>
          <w:rFonts w:eastAsiaTheme="minorEastAsia"/>
        </w:rPr>
        <w:t>Zákon č. 254/2001 Sb., o vodách a o změně některých zákonů (vodní zákon), § 33</w:t>
      </w:r>
    </w:p>
    <w:p w14:paraId="25F98808" w14:textId="77777777" w:rsidR="003E0F58" w:rsidRPr="007C705C" w:rsidRDefault="003E0F58" w:rsidP="008F1B21">
      <w:pPr>
        <w:pStyle w:val="UZEINormaln"/>
        <w:rPr>
          <w:rFonts w:eastAsiaTheme="minorEastAsia"/>
        </w:rPr>
      </w:pPr>
      <w:r w:rsidRPr="007C705C">
        <w:rPr>
          <w:rFonts w:eastAsiaTheme="minorEastAsia"/>
        </w:rPr>
        <w:t>Citovaný paragraf Zákona o vodách definuje tzv. zranitelné oblasti, ve kterých Vláda nařízením upraví používání a skladování hnojiv a statkových hnojiv, střídání plodin a provádění protierozních opatření.</w:t>
      </w:r>
    </w:p>
    <w:p w14:paraId="70E455B9" w14:textId="77777777" w:rsidR="003E0F58" w:rsidRPr="007C705C" w:rsidRDefault="003E0F58" w:rsidP="008F1B21">
      <w:pPr>
        <w:pStyle w:val="UZEINormaln"/>
        <w:rPr>
          <w:rFonts w:eastAsiaTheme="minorEastAsia"/>
        </w:rPr>
      </w:pPr>
      <w:r w:rsidRPr="007C705C">
        <w:rPr>
          <w:rFonts w:eastAsiaTheme="minorEastAsia"/>
        </w:rPr>
        <w:t>Strategie přizpůsobení se změně klimatu v podmínkách České republiky (Usnesení vlády ČR č. 861 ze dne 26. října 2015)Strategie přizpůsobení se změně klimatu je základním koncepčním materiálem MŽP pro oblast změny klimatu v podmínkách České republiky.</w:t>
      </w:r>
    </w:p>
    <w:p w14:paraId="02B98A9B" w14:textId="77777777" w:rsidR="003E0F58" w:rsidRPr="007C705C" w:rsidRDefault="003E0F58" w:rsidP="008A1AE3">
      <w:pPr>
        <w:pStyle w:val="Odstavecseseznamem"/>
        <w:numPr>
          <w:ilvl w:val="0"/>
          <w:numId w:val="21"/>
        </w:numPr>
        <w:spacing w:before="60" w:line="360" w:lineRule="atLeast"/>
        <w:rPr>
          <w:rFonts w:eastAsiaTheme="minorEastAsia"/>
          <w:b/>
          <w:bCs/>
        </w:rPr>
      </w:pPr>
      <w:r w:rsidRPr="007C705C">
        <w:rPr>
          <w:rFonts w:eastAsiaTheme="minorEastAsia"/>
          <w:b/>
          <w:bCs/>
        </w:rPr>
        <w:t>Vysoké emise GHG a NH</w:t>
      </w:r>
      <w:r w:rsidRPr="0006094E">
        <w:rPr>
          <w:rFonts w:eastAsiaTheme="minorEastAsia"/>
          <w:b/>
          <w:bCs/>
          <w:vertAlign w:val="subscript"/>
        </w:rPr>
        <w:t>3</w:t>
      </w:r>
      <w:r w:rsidRPr="007C705C">
        <w:rPr>
          <w:rFonts w:eastAsiaTheme="minorEastAsia"/>
          <w:b/>
          <w:bCs/>
        </w:rPr>
        <w:t xml:space="preserve"> ze zemědělství</w:t>
      </w:r>
    </w:p>
    <w:p w14:paraId="2306FB1B" w14:textId="75AE1D3E" w:rsidR="003E0F58" w:rsidRPr="007C705C" w:rsidRDefault="003E0F58" w:rsidP="00861FAD">
      <w:pPr>
        <w:pStyle w:val="UZEINormaln"/>
        <w:rPr>
          <w:rFonts w:eastAsiaTheme="minorEastAsia"/>
        </w:rPr>
      </w:pPr>
      <w:r w:rsidRPr="007C705C">
        <w:rPr>
          <w:rFonts w:eastAsiaTheme="minorEastAsia"/>
        </w:rPr>
        <w:t xml:space="preserve">Produkce GHG ze zemědělství není v rámci platných předpisů v ČR zakotvena. </w:t>
      </w:r>
      <w:r w:rsidR="00C152C4">
        <w:rPr>
          <w:rFonts w:eastAsiaTheme="minorEastAsia"/>
        </w:rPr>
        <w:t xml:space="preserve">Na omezování produkce GHG ze zemědělství se vztahuje </w:t>
      </w:r>
      <w:r w:rsidR="00915818">
        <w:rPr>
          <w:rFonts w:eastAsiaTheme="minorEastAsia"/>
        </w:rPr>
        <w:t xml:space="preserve">Nařízení </w:t>
      </w:r>
      <w:r w:rsidR="00915818" w:rsidRPr="00915818">
        <w:rPr>
          <w:rFonts w:eastAsiaTheme="minorEastAsia"/>
        </w:rPr>
        <w:t>Rady a EP (EU) 2018/842</w:t>
      </w:r>
      <w:r w:rsidR="00861FAD">
        <w:rPr>
          <w:rFonts w:eastAsiaTheme="minorEastAsia"/>
        </w:rPr>
        <w:t xml:space="preserve"> </w:t>
      </w:r>
      <w:r w:rsidR="00861FAD" w:rsidRPr="00861FAD">
        <w:rPr>
          <w:rFonts w:eastAsiaTheme="minorEastAsia"/>
        </w:rPr>
        <w:t xml:space="preserve">o závazném každoročním </w:t>
      </w:r>
      <w:r w:rsidR="00861FAD" w:rsidRPr="00114D89">
        <w:rPr>
          <w:rFonts w:eastAsiaTheme="minorEastAsia"/>
          <w:b/>
          <w:bCs/>
        </w:rPr>
        <w:t>snižování emisí skleníkových plynů</w:t>
      </w:r>
      <w:r w:rsidR="00861FAD" w:rsidRPr="00861FAD">
        <w:rPr>
          <w:rFonts w:eastAsiaTheme="minorEastAsia"/>
        </w:rPr>
        <w:t xml:space="preserve"> členskými státy v období 2021–2030</w:t>
      </w:r>
      <w:r w:rsidR="00861FAD">
        <w:rPr>
          <w:rFonts w:eastAsiaTheme="minorEastAsia"/>
        </w:rPr>
        <w:t xml:space="preserve"> </w:t>
      </w:r>
      <w:r w:rsidR="00861FAD" w:rsidRPr="00861FAD">
        <w:rPr>
          <w:rFonts w:eastAsiaTheme="minorEastAsia"/>
        </w:rPr>
        <w:t>přispívajícím k opatřením v oblasti klimatu za účelem splnění závazků podle Pařížské dohody</w:t>
      </w:r>
      <w:r w:rsidR="00861FAD">
        <w:rPr>
          <w:rFonts w:eastAsiaTheme="minorEastAsia"/>
        </w:rPr>
        <w:t xml:space="preserve"> </w:t>
      </w:r>
      <w:r w:rsidR="00861FAD" w:rsidRPr="00861FAD">
        <w:rPr>
          <w:rFonts w:eastAsiaTheme="minorEastAsia"/>
        </w:rPr>
        <w:t>a o změně nařízení (EU) č. 525/2013</w:t>
      </w:r>
      <w:r w:rsidR="00AA2DA3">
        <w:rPr>
          <w:rFonts w:eastAsiaTheme="minorEastAsia"/>
        </w:rPr>
        <w:t xml:space="preserve"> a </w:t>
      </w:r>
      <w:r w:rsidR="00AA2DA3" w:rsidRPr="00AA2DA3">
        <w:rPr>
          <w:rFonts w:eastAsiaTheme="minorEastAsia"/>
        </w:rPr>
        <w:t>nařízení EP a Rady (EU) 2018/841 ze dne 30. května 2018 o zahrnutí emisí skleníkových plynů a jejich pohlcování v důsledku využívání půdy, změn ve využívání půdy a lesnictví do rámce politiky v oblasti klimatu a energetiky do roku 2030</w:t>
      </w:r>
      <w:r w:rsidR="00AA2DA3">
        <w:rPr>
          <w:rFonts w:eastAsiaTheme="minorEastAsia"/>
        </w:rPr>
        <w:t>.</w:t>
      </w:r>
    </w:p>
    <w:p w14:paraId="7B234FA7" w14:textId="77777777" w:rsidR="00E83544" w:rsidRDefault="00931039" w:rsidP="00974A6E">
      <w:pPr>
        <w:pStyle w:val="UZEINormaln"/>
        <w:rPr>
          <w:rFonts w:eastAsiaTheme="minorEastAsia"/>
        </w:rPr>
      </w:pPr>
      <w:r w:rsidRPr="00931039">
        <w:rPr>
          <w:rFonts w:eastAsiaTheme="minorEastAsia"/>
        </w:rPr>
        <w:t xml:space="preserve">V zájmu pokroku při dosahování takových úrovní kvality ovzduší, které nemají významné negativní dopady na lidské zdraví a životní prostředí ani nepředstavují riziko pro lidské zdraví a životní prostředí, stanoví </w:t>
      </w:r>
      <w:r w:rsidR="00114D89" w:rsidRPr="003E2FB9">
        <w:rPr>
          <w:rFonts w:eastAsiaTheme="minorEastAsia"/>
        </w:rPr>
        <w:t>Směrnice EP a Rady (EU) 2016/2284 ze dne 14. prosince 2016 o snížení národních emisí některých látek znečišťujících ovzduší</w:t>
      </w:r>
      <w:r w:rsidR="00114D89">
        <w:rPr>
          <w:rFonts w:eastAsiaTheme="minorEastAsia"/>
        </w:rPr>
        <w:t xml:space="preserve"> </w:t>
      </w:r>
      <w:r w:rsidRPr="00931039">
        <w:rPr>
          <w:rFonts w:eastAsiaTheme="minorEastAsia"/>
        </w:rPr>
        <w:t>pro členské státy závazky ke snížení antropogenních emisí oxidu siřičitého (SO</w:t>
      </w:r>
      <w:r w:rsidRPr="0006094E">
        <w:rPr>
          <w:rFonts w:eastAsiaTheme="minorEastAsia"/>
          <w:vertAlign w:val="subscript"/>
        </w:rPr>
        <w:t>2</w:t>
      </w:r>
      <w:r w:rsidRPr="00931039">
        <w:rPr>
          <w:rFonts w:eastAsiaTheme="minorEastAsia"/>
        </w:rPr>
        <w:t xml:space="preserve">), oxidů dusíku (NOx), nemethanových těkavých organických sloučenin (NMVOC), </w:t>
      </w:r>
      <w:r w:rsidRPr="00114D89">
        <w:rPr>
          <w:rFonts w:eastAsiaTheme="minorEastAsia"/>
          <w:b/>
          <w:bCs/>
        </w:rPr>
        <w:t>amoniaku (NH</w:t>
      </w:r>
      <w:r w:rsidRPr="0006094E">
        <w:rPr>
          <w:rFonts w:eastAsiaTheme="minorEastAsia"/>
          <w:b/>
          <w:bCs/>
          <w:vertAlign w:val="subscript"/>
        </w:rPr>
        <w:t>3</w:t>
      </w:r>
      <w:r w:rsidRPr="00114D89">
        <w:rPr>
          <w:rFonts w:eastAsiaTheme="minorEastAsia"/>
          <w:b/>
          <w:bCs/>
        </w:rPr>
        <w:t>)</w:t>
      </w:r>
      <w:r w:rsidRPr="00931039">
        <w:rPr>
          <w:rFonts w:eastAsiaTheme="minorEastAsia"/>
        </w:rPr>
        <w:t xml:space="preserve"> a jemných částic (PM</w:t>
      </w:r>
      <w:r w:rsidRPr="0006094E">
        <w:rPr>
          <w:rFonts w:eastAsiaTheme="minorEastAsia"/>
          <w:vertAlign w:val="subscript"/>
        </w:rPr>
        <w:t>2,5</w:t>
      </w:r>
      <w:r w:rsidRPr="00931039">
        <w:rPr>
          <w:rFonts w:eastAsiaTheme="minorEastAsia"/>
        </w:rPr>
        <w:t>) a požaduje vypracování, přijetí a provádění národních programů omezování znečištění ovzduší, jakož i monitorování emisí těchto znečišťujících látek a dalších znečišťujících látek uvedených v příloze I a jejich dopadů a podávání zpráv o nich.</w:t>
      </w:r>
      <w:r w:rsidR="007F736A">
        <w:rPr>
          <w:rFonts w:eastAsiaTheme="minorEastAsia"/>
        </w:rPr>
        <w:t xml:space="preserve"> Tato směrnice</w:t>
      </w:r>
      <w:r w:rsidR="003E2FB9" w:rsidRPr="003E2FB9">
        <w:rPr>
          <w:rFonts w:eastAsiaTheme="minorEastAsia"/>
        </w:rPr>
        <w:t xml:space="preserve"> je v ČR transponována zákonem č. 201/2012 Sb., o ochraně ovzduší a jeho prováděcími předpisy.</w:t>
      </w:r>
    </w:p>
    <w:p w14:paraId="14B3A2A5" w14:textId="77777777" w:rsidR="00E83544" w:rsidRPr="00B96B9F" w:rsidRDefault="00E83544" w:rsidP="00E83544">
      <w:pPr>
        <w:pStyle w:val="UZEINormaln"/>
      </w:pPr>
      <w:r w:rsidRPr="00B96B9F">
        <w:t>Zemědělci jsou povinni dodržovat nitrátovou směrnici (předpis Evropské unie 91/676/EHS – uplatněna v § 33 vodního zákona č. 254/2001 Sb.). Prováděcím předpisem je nařízení vlády č. 262/2012 Sb., o stanovení zranitelných oblastí a akčním programu, ve znění pozdějších předpisů a všechny navazující předpisy.</w:t>
      </w:r>
    </w:p>
    <w:p w14:paraId="5DDC0763" w14:textId="68AF56EC" w:rsidR="003E0F58" w:rsidRPr="007C705C" w:rsidRDefault="003E0F58" w:rsidP="00974A6E">
      <w:pPr>
        <w:pStyle w:val="UZEINormaln"/>
        <w:rPr>
          <w:rFonts w:eastAsiaTheme="minorEastAsia"/>
        </w:rPr>
      </w:pPr>
      <w:r w:rsidRPr="007C705C">
        <w:rPr>
          <w:rFonts w:eastAsiaTheme="minorEastAsia"/>
        </w:rPr>
        <w:t>Pro produkci NH</w:t>
      </w:r>
      <w:r w:rsidRPr="007C705C">
        <w:rPr>
          <w:rFonts w:eastAsiaTheme="minorEastAsia"/>
          <w:vertAlign w:val="subscript"/>
        </w:rPr>
        <w:t>3</w:t>
      </w:r>
      <w:r w:rsidRPr="007C705C">
        <w:rPr>
          <w:rFonts w:eastAsiaTheme="minorEastAsia"/>
        </w:rPr>
        <w:t xml:space="preserve"> z chovů prasat a drůbeže s roční produkcí větší než 5000 kg NH</w:t>
      </w:r>
      <w:r w:rsidRPr="007C705C">
        <w:rPr>
          <w:rFonts w:eastAsiaTheme="minorEastAsia"/>
          <w:vertAlign w:val="subscript"/>
        </w:rPr>
        <w:t>3</w:t>
      </w:r>
      <w:r w:rsidRPr="007C705C">
        <w:rPr>
          <w:rFonts w:eastAsiaTheme="minorEastAsia"/>
        </w:rPr>
        <w:t xml:space="preserve"> za rok budou od roku 2020 platné limity uvedené v „PROVÁDĚCÍM ROZHODNUTÍ KOMISE (EU) </w:t>
      </w:r>
      <w:r w:rsidRPr="007C705C">
        <w:rPr>
          <w:rFonts w:eastAsiaTheme="minorEastAsia"/>
        </w:rPr>
        <w:lastRenderedPageBreak/>
        <w:t>2017/302 ze dne 15. února 2017, kterým se stanoví závěry o nejlepších dostupných technikách (BAT) podle směrnice Evropského parlamentu a Rady 2010/75/EU pro intenzivní chov drůbeže nebo prasat (oznámeno pod číslem C(2017) 688)“.</w:t>
      </w:r>
    </w:p>
    <w:p w14:paraId="5D1443DE" w14:textId="77777777" w:rsidR="003E0F58" w:rsidRPr="007C705C" w:rsidRDefault="003E0F58" w:rsidP="008F1B21">
      <w:pPr>
        <w:pStyle w:val="UZEINormaln"/>
        <w:rPr>
          <w:rFonts w:eastAsiaTheme="minorEastAsia"/>
        </w:rPr>
      </w:pPr>
      <w:r w:rsidRPr="007C705C">
        <w:rPr>
          <w:rFonts w:eastAsiaTheme="minorEastAsia"/>
        </w:rPr>
        <w:t>Limity produkce NH</w:t>
      </w:r>
      <w:r w:rsidRPr="0006094E">
        <w:rPr>
          <w:rFonts w:eastAsiaTheme="minorEastAsia"/>
          <w:vertAlign w:val="subscript"/>
        </w:rPr>
        <w:t>3</w:t>
      </w:r>
      <w:r w:rsidRPr="007C705C">
        <w:rPr>
          <w:rFonts w:eastAsiaTheme="minorEastAsia"/>
        </w:rPr>
        <w:t xml:space="preserve"> ani GHG pro chov skotu nejsou zatím stanoveny.</w:t>
      </w:r>
    </w:p>
    <w:p w14:paraId="6D7C92DB" w14:textId="77777777" w:rsidR="003E0F58" w:rsidRPr="007C705C" w:rsidRDefault="003E0F58" w:rsidP="008F1B21">
      <w:pPr>
        <w:pStyle w:val="UZEINormaln"/>
        <w:rPr>
          <w:rFonts w:eastAsiaTheme="minorEastAsia"/>
        </w:rPr>
      </w:pPr>
      <w:r w:rsidRPr="007C705C">
        <w:rPr>
          <w:rFonts w:eastAsiaTheme="minorEastAsia"/>
        </w:rPr>
        <w:t>Pro výpočet ročních emisí NH</w:t>
      </w:r>
      <w:r w:rsidRPr="007C705C">
        <w:rPr>
          <w:rFonts w:eastAsiaTheme="minorEastAsia"/>
          <w:vertAlign w:val="subscript"/>
        </w:rPr>
        <w:t>3</w:t>
      </w:r>
      <w:r w:rsidRPr="007C705C">
        <w:rPr>
          <w:rFonts w:eastAsiaTheme="minorEastAsia"/>
        </w:rPr>
        <w:t xml:space="preserve"> ze zemědělské činnosti jsou využívány tzv. emisní faktory, které byly stanoveny téměř před 20 lety a díky využívání snižujících technologií, aplikaci výzkumu v krmivářství a vývoji v šlechtitelství již v současné době nejsou aktuální. Přehled emisních faktorů je uveden v Metodickém pokynu odboru ochrany ovzduší „k zařazování chovů hospodářských zvířat podle zákona č. 201/2012 Sb. o ochraně ovzduší, k výpočtu emisí znečišťujících látek z těchto stacionárních zdrojů a k seznamu technologií snižujících emise z těchto stacionárních zdrojů“, který je publikován ve Věstníku MŽP č. 2/2013.</w:t>
      </w:r>
    </w:p>
    <w:p w14:paraId="5F1ADB62" w14:textId="77777777" w:rsidR="003E0F58" w:rsidRPr="007C705C" w:rsidRDefault="003E0F58" w:rsidP="008F1B21">
      <w:pPr>
        <w:pStyle w:val="UZEINormaln"/>
        <w:rPr>
          <w:rFonts w:eastAsiaTheme="minorEastAsia"/>
        </w:rPr>
      </w:pPr>
      <w:r w:rsidRPr="007C705C">
        <w:rPr>
          <w:rFonts w:eastAsiaTheme="minorEastAsia"/>
        </w:rPr>
        <w:t>Lze očekávat tlak na snižování emisí GHG ze zemědělství v rámci plnění závazků z Pařížské konference (2015) a s tím spojenou potřebu kvantifikace emisí GHG ze zemědělské činnosti – stanovení emisních faktorů pro GHG, zejména N</w:t>
      </w:r>
      <w:r w:rsidRPr="007C705C">
        <w:rPr>
          <w:rFonts w:eastAsiaTheme="minorEastAsia"/>
          <w:vertAlign w:val="subscript"/>
        </w:rPr>
        <w:t>2</w:t>
      </w:r>
      <w:r w:rsidRPr="007C705C">
        <w:rPr>
          <w:rFonts w:eastAsiaTheme="minorEastAsia"/>
        </w:rPr>
        <w:t>O a CH</w:t>
      </w:r>
      <w:r w:rsidRPr="007C705C">
        <w:rPr>
          <w:rFonts w:eastAsiaTheme="minorEastAsia"/>
          <w:vertAlign w:val="subscript"/>
        </w:rPr>
        <w:t>4</w:t>
      </w:r>
      <w:r w:rsidRPr="007C705C">
        <w:rPr>
          <w:rFonts w:eastAsiaTheme="minorEastAsia"/>
        </w:rPr>
        <w:t>.</w:t>
      </w:r>
    </w:p>
    <w:p w14:paraId="744CBE44" w14:textId="145FB1C5" w:rsidR="003E0F58" w:rsidRDefault="003E0F58" w:rsidP="008F1B21">
      <w:pPr>
        <w:pStyle w:val="UZEINormaln"/>
        <w:rPr>
          <w:rFonts w:eastAsiaTheme="minorEastAsia"/>
        </w:rPr>
      </w:pPr>
      <w:r w:rsidRPr="007C705C">
        <w:rPr>
          <w:rFonts w:eastAsiaTheme="minorEastAsia"/>
        </w:rPr>
        <w:t>Zákon č. 156/1998 Sb., o hnojivech, pomocných půdních látkách, pomocných rostlinných přípravcích a substrátech a o agrochemickém zkoušení zemědělských půd (zákon o hnojivech) v paragrafu 9 odstavec 7 odkazuje na Vyhlášku č. 377/2013 Sb., o skladování a způsobu používání hnojiv, která byla novelizována Vyhláškou 229/2017 Sb. a ta v paragrafu 7 odst. 4 uvádí závazné termíny zapracování tekutých organických hnojiv do půdy nejpozději do 24 hodin a u tuhých organických hnojiv nejpozději do 48 hodin zejména z důvodu minimalizace emisí GHG a NH</w:t>
      </w:r>
      <w:r w:rsidRPr="0006094E">
        <w:rPr>
          <w:rFonts w:eastAsiaTheme="minorEastAsia"/>
          <w:vertAlign w:val="subscript"/>
        </w:rPr>
        <w:t>3</w:t>
      </w:r>
      <w:r w:rsidRPr="007C705C">
        <w:rPr>
          <w:rFonts w:eastAsiaTheme="minorEastAsia"/>
        </w:rPr>
        <w:t xml:space="preserve"> do ovzduší.</w:t>
      </w:r>
    </w:p>
    <w:p w14:paraId="0EF777B4" w14:textId="060DCD81" w:rsidR="00E83544" w:rsidRPr="0006094E" w:rsidRDefault="00E83544" w:rsidP="0006094E">
      <w:pPr>
        <w:pStyle w:val="UZEINormaln"/>
      </w:pPr>
      <w:r w:rsidRPr="00B96B9F">
        <w:t xml:space="preserve">Pro amoniak ovšem existuje národní emisní strop (národní závazek snížení emisí), což je percentuálně vyjádřené snížení celkových emisí znečišťující látky na území státu mezi cílovým kalendářním rokem a výchozím kalendářním rokem (2005). Výstupy ze scénáře NPSE-WaM k roku 2020 pro amoniak podle sektorů NFR jsou uvedeny v tabulce </w:t>
      </w:r>
      <w:r>
        <w:t>90</w:t>
      </w:r>
      <w:r w:rsidRPr="00B96B9F">
        <w:t>.</w:t>
      </w:r>
    </w:p>
    <w:p w14:paraId="46B7DB34" w14:textId="77777777" w:rsidR="00E83544" w:rsidRPr="00B96B9F" w:rsidRDefault="00E83544" w:rsidP="00E83544">
      <w:pPr>
        <w:pStyle w:val="UZEITaB"/>
      </w:pPr>
      <w:bookmarkStart w:id="514" w:name="_Toc81088071"/>
      <w:bookmarkStart w:id="515" w:name="_Toc81749913"/>
      <w:bookmarkStart w:id="516" w:name="_Toc94181641"/>
      <w:r w:rsidRPr="00B96B9F">
        <w:t>Emise NH</w:t>
      </w:r>
      <w:r w:rsidRPr="00B96B9F">
        <w:rPr>
          <w:vertAlign w:val="subscript"/>
        </w:rPr>
        <w:t xml:space="preserve">3 </w:t>
      </w:r>
      <w:r w:rsidRPr="00B96B9F">
        <w:t>dle scénáře NPSE-WaM k roku 2020</w:t>
      </w:r>
      <w:bookmarkEnd w:id="514"/>
      <w:bookmarkEnd w:id="515"/>
      <w:bookmarkEnd w:id="516"/>
    </w:p>
    <w:tbl>
      <w:tblPr>
        <w:tblStyle w:val="Mkatabulky"/>
        <w:tblW w:w="8990" w:type="dxa"/>
        <w:tblInd w:w="-5" w:type="dxa"/>
        <w:tblLook w:val="04A0" w:firstRow="1" w:lastRow="0" w:firstColumn="1" w:lastColumn="0" w:noHBand="0" w:noVBand="1"/>
      </w:tblPr>
      <w:tblGrid>
        <w:gridCol w:w="5702"/>
        <w:gridCol w:w="3288"/>
      </w:tblGrid>
      <w:tr w:rsidR="00E83544" w:rsidRPr="00B96B9F" w14:paraId="3B8340AB" w14:textId="77777777" w:rsidTr="007C4202">
        <w:trPr>
          <w:trHeight w:val="340"/>
        </w:trPr>
        <w:tc>
          <w:tcPr>
            <w:tcW w:w="5702" w:type="dxa"/>
            <w:tcBorders>
              <w:top w:val="single" w:sz="4" w:space="0" w:color="auto"/>
            </w:tcBorders>
            <w:shd w:val="clear" w:color="auto" w:fill="D9D9D9"/>
            <w:vAlign w:val="center"/>
          </w:tcPr>
          <w:p w14:paraId="1661372E" w14:textId="77777777" w:rsidR="00E83544" w:rsidRPr="00B80382" w:rsidRDefault="00E83544" w:rsidP="007C4202">
            <w:pPr>
              <w:pStyle w:val="UZEINormaln"/>
              <w:spacing w:before="0" w:after="0"/>
              <w:jc w:val="center"/>
              <w:rPr>
                <w:b/>
                <w:sz w:val="22"/>
                <w:szCs w:val="22"/>
              </w:rPr>
            </w:pPr>
            <w:r w:rsidRPr="00B80382">
              <w:rPr>
                <w:b/>
                <w:sz w:val="22"/>
                <w:szCs w:val="22"/>
              </w:rPr>
              <w:t>NFR</w:t>
            </w:r>
          </w:p>
        </w:tc>
        <w:tc>
          <w:tcPr>
            <w:tcW w:w="3288" w:type="dxa"/>
            <w:tcBorders>
              <w:top w:val="single" w:sz="4" w:space="0" w:color="auto"/>
            </w:tcBorders>
            <w:shd w:val="clear" w:color="auto" w:fill="D9D9D9"/>
            <w:vAlign w:val="center"/>
          </w:tcPr>
          <w:p w14:paraId="2A8E98A8" w14:textId="77777777" w:rsidR="00E83544" w:rsidRPr="00B80382" w:rsidRDefault="00E83544" w:rsidP="007C4202">
            <w:pPr>
              <w:pStyle w:val="UZEINormaln"/>
              <w:spacing w:before="0" w:after="0"/>
              <w:jc w:val="center"/>
              <w:rPr>
                <w:b/>
                <w:sz w:val="22"/>
                <w:szCs w:val="22"/>
              </w:rPr>
            </w:pPr>
            <w:r w:rsidRPr="00B80382">
              <w:rPr>
                <w:b/>
                <w:sz w:val="22"/>
                <w:szCs w:val="22"/>
              </w:rPr>
              <w:t>kt/rok</w:t>
            </w:r>
          </w:p>
        </w:tc>
      </w:tr>
      <w:tr w:rsidR="00E83544" w:rsidRPr="00B96B9F" w14:paraId="1DD032D3" w14:textId="77777777" w:rsidTr="0006094E">
        <w:trPr>
          <w:trHeight w:val="227"/>
        </w:trPr>
        <w:tc>
          <w:tcPr>
            <w:tcW w:w="5702" w:type="dxa"/>
            <w:vAlign w:val="center"/>
          </w:tcPr>
          <w:p w14:paraId="3554BF95" w14:textId="77777777" w:rsidR="00E83544" w:rsidRPr="00B80382" w:rsidRDefault="00E83544" w:rsidP="007C4202">
            <w:pPr>
              <w:pStyle w:val="UZEINormaln"/>
              <w:spacing w:before="0" w:after="0"/>
              <w:rPr>
                <w:sz w:val="22"/>
                <w:szCs w:val="22"/>
              </w:rPr>
            </w:pPr>
            <w:r w:rsidRPr="00B80382">
              <w:rPr>
                <w:sz w:val="22"/>
                <w:szCs w:val="22"/>
              </w:rPr>
              <w:t>Aplikace minerálních dusíkatých hnojiv</w:t>
            </w:r>
          </w:p>
        </w:tc>
        <w:tc>
          <w:tcPr>
            <w:tcW w:w="3288" w:type="dxa"/>
            <w:vAlign w:val="center"/>
          </w:tcPr>
          <w:p w14:paraId="0F467A58" w14:textId="77777777" w:rsidR="00E83544" w:rsidRPr="00B80382" w:rsidRDefault="00E83544" w:rsidP="007C4202">
            <w:pPr>
              <w:pStyle w:val="UZEINormaln"/>
              <w:spacing w:before="0" w:after="0"/>
              <w:rPr>
                <w:sz w:val="22"/>
                <w:szCs w:val="22"/>
              </w:rPr>
            </w:pPr>
            <w:r w:rsidRPr="00B80382">
              <w:rPr>
                <w:sz w:val="22"/>
                <w:szCs w:val="22"/>
              </w:rPr>
              <w:t>17,0</w:t>
            </w:r>
          </w:p>
        </w:tc>
      </w:tr>
      <w:tr w:rsidR="00E83544" w:rsidRPr="00B96B9F" w14:paraId="06865FBC" w14:textId="77777777" w:rsidTr="0006094E">
        <w:trPr>
          <w:trHeight w:val="227"/>
        </w:trPr>
        <w:tc>
          <w:tcPr>
            <w:tcW w:w="5702" w:type="dxa"/>
            <w:vAlign w:val="center"/>
          </w:tcPr>
          <w:p w14:paraId="573A8C9C" w14:textId="77777777" w:rsidR="00E83544" w:rsidRPr="00B80382" w:rsidRDefault="00E83544" w:rsidP="007C4202">
            <w:pPr>
              <w:pStyle w:val="UZEINormaln"/>
              <w:spacing w:before="0" w:after="0"/>
              <w:rPr>
                <w:sz w:val="22"/>
                <w:szCs w:val="22"/>
              </w:rPr>
            </w:pPr>
            <w:r w:rsidRPr="00B80382">
              <w:rPr>
                <w:sz w:val="22"/>
                <w:szCs w:val="22"/>
              </w:rPr>
              <w:t>Chov skotu – dojnice</w:t>
            </w:r>
          </w:p>
        </w:tc>
        <w:tc>
          <w:tcPr>
            <w:tcW w:w="3288" w:type="dxa"/>
            <w:vAlign w:val="center"/>
          </w:tcPr>
          <w:p w14:paraId="7C313335" w14:textId="77777777" w:rsidR="00E83544" w:rsidRPr="00B80382" w:rsidRDefault="00E83544" w:rsidP="007C4202">
            <w:pPr>
              <w:pStyle w:val="UZEINormaln"/>
              <w:spacing w:before="0" w:after="0"/>
              <w:rPr>
                <w:sz w:val="22"/>
                <w:szCs w:val="22"/>
              </w:rPr>
            </w:pPr>
            <w:r w:rsidRPr="00B80382">
              <w:rPr>
                <w:sz w:val="22"/>
                <w:szCs w:val="22"/>
              </w:rPr>
              <w:t>13,5</w:t>
            </w:r>
          </w:p>
        </w:tc>
      </w:tr>
      <w:tr w:rsidR="00E83544" w:rsidRPr="00B96B9F" w14:paraId="773F04DC" w14:textId="77777777" w:rsidTr="0006094E">
        <w:trPr>
          <w:trHeight w:val="227"/>
        </w:trPr>
        <w:tc>
          <w:tcPr>
            <w:tcW w:w="5702" w:type="dxa"/>
            <w:vAlign w:val="center"/>
          </w:tcPr>
          <w:p w14:paraId="6C135CED" w14:textId="77777777" w:rsidR="00E83544" w:rsidRPr="00B80382" w:rsidRDefault="00E83544" w:rsidP="007C4202">
            <w:pPr>
              <w:pStyle w:val="UZEINormaln"/>
              <w:spacing w:before="0" w:after="0"/>
              <w:rPr>
                <w:sz w:val="22"/>
                <w:szCs w:val="22"/>
              </w:rPr>
            </w:pPr>
            <w:r w:rsidRPr="00B80382">
              <w:rPr>
                <w:sz w:val="22"/>
                <w:szCs w:val="22"/>
              </w:rPr>
              <w:t>Chov prasat</w:t>
            </w:r>
          </w:p>
        </w:tc>
        <w:tc>
          <w:tcPr>
            <w:tcW w:w="3288" w:type="dxa"/>
            <w:vAlign w:val="center"/>
          </w:tcPr>
          <w:p w14:paraId="3DE0E1B0" w14:textId="77777777" w:rsidR="00E83544" w:rsidRPr="00B80382" w:rsidRDefault="00E83544" w:rsidP="007C4202">
            <w:pPr>
              <w:pStyle w:val="UZEINormaln"/>
              <w:spacing w:before="0" w:after="0"/>
              <w:rPr>
                <w:sz w:val="22"/>
                <w:szCs w:val="22"/>
              </w:rPr>
            </w:pPr>
            <w:r w:rsidRPr="00B80382">
              <w:rPr>
                <w:sz w:val="22"/>
                <w:szCs w:val="22"/>
              </w:rPr>
              <w:t>10,5</w:t>
            </w:r>
          </w:p>
        </w:tc>
      </w:tr>
      <w:tr w:rsidR="00E83544" w:rsidRPr="00B96B9F" w14:paraId="01492B5A" w14:textId="77777777" w:rsidTr="0006094E">
        <w:trPr>
          <w:trHeight w:val="227"/>
        </w:trPr>
        <w:tc>
          <w:tcPr>
            <w:tcW w:w="5702" w:type="dxa"/>
            <w:vAlign w:val="center"/>
          </w:tcPr>
          <w:p w14:paraId="47AA69A7" w14:textId="77777777" w:rsidR="00E83544" w:rsidRPr="00B80382" w:rsidRDefault="00E83544" w:rsidP="007C4202">
            <w:pPr>
              <w:pStyle w:val="UZEINormaln"/>
              <w:spacing w:before="0" w:after="0"/>
              <w:rPr>
                <w:sz w:val="22"/>
                <w:szCs w:val="22"/>
              </w:rPr>
            </w:pPr>
            <w:r w:rsidRPr="00B80382">
              <w:rPr>
                <w:sz w:val="22"/>
                <w:szCs w:val="22"/>
              </w:rPr>
              <w:t>Chov skotu – ostatní skot</w:t>
            </w:r>
          </w:p>
        </w:tc>
        <w:tc>
          <w:tcPr>
            <w:tcW w:w="3288" w:type="dxa"/>
            <w:vAlign w:val="center"/>
          </w:tcPr>
          <w:p w14:paraId="6FA3FDB6" w14:textId="77777777" w:rsidR="00E83544" w:rsidRPr="00B80382" w:rsidRDefault="00E83544" w:rsidP="007C4202">
            <w:pPr>
              <w:pStyle w:val="UZEINormaln"/>
              <w:spacing w:before="0" w:after="0"/>
              <w:rPr>
                <w:sz w:val="22"/>
                <w:szCs w:val="22"/>
              </w:rPr>
            </w:pPr>
            <w:r w:rsidRPr="00B80382">
              <w:rPr>
                <w:sz w:val="22"/>
                <w:szCs w:val="22"/>
              </w:rPr>
              <w:t>11,0</w:t>
            </w:r>
          </w:p>
        </w:tc>
      </w:tr>
      <w:tr w:rsidR="00E83544" w:rsidRPr="00B96B9F" w14:paraId="0FE97CC7" w14:textId="77777777" w:rsidTr="0006094E">
        <w:trPr>
          <w:trHeight w:val="227"/>
        </w:trPr>
        <w:tc>
          <w:tcPr>
            <w:tcW w:w="5702" w:type="dxa"/>
            <w:vAlign w:val="center"/>
          </w:tcPr>
          <w:p w14:paraId="6F10D576" w14:textId="77777777" w:rsidR="00E83544" w:rsidRPr="00B80382" w:rsidRDefault="00E83544" w:rsidP="007C4202">
            <w:pPr>
              <w:pStyle w:val="UZEINormaln"/>
              <w:spacing w:before="0" w:after="0"/>
              <w:rPr>
                <w:sz w:val="22"/>
                <w:szCs w:val="22"/>
              </w:rPr>
            </w:pPr>
            <w:r w:rsidRPr="00B80382">
              <w:rPr>
                <w:sz w:val="22"/>
                <w:szCs w:val="22"/>
              </w:rPr>
              <w:t>Ostatní (chov ovcí, koz, koní a králíků)</w:t>
            </w:r>
          </w:p>
        </w:tc>
        <w:tc>
          <w:tcPr>
            <w:tcW w:w="3288" w:type="dxa"/>
            <w:vAlign w:val="center"/>
          </w:tcPr>
          <w:p w14:paraId="73DA11CB" w14:textId="77777777" w:rsidR="00E83544" w:rsidRPr="00B80382" w:rsidRDefault="00E83544" w:rsidP="007C4202">
            <w:pPr>
              <w:pStyle w:val="UZEINormaln"/>
              <w:spacing w:before="0" w:after="0"/>
              <w:rPr>
                <w:sz w:val="22"/>
                <w:szCs w:val="22"/>
              </w:rPr>
            </w:pPr>
            <w:r w:rsidRPr="00B80382">
              <w:rPr>
                <w:sz w:val="22"/>
                <w:szCs w:val="22"/>
              </w:rPr>
              <w:t>5,8</w:t>
            </w:r>
          </w:p>
        </w:tc>
      </w:tr>
      <w:tr w:rsidR="00E83544" w:rsidRPr="00B96B9F" w14:paraId="2FB4ADFF" w14:textId="77777777" w:rsidTr="0006094E">
        <w:trPr>
          <w:trHeight w:val="227"/>
        </w:trPr>
        <w:tc>
          <w:tcPr>
            <w:tcW w:w="5702" w:type="dxa"/>
            <w:vAlign w:val="center"/>
          </w:tcPr>
          <w:p w14:paraId="0B64A4A7" w14:textId="77777777" w:rsidR="00E83544" w:rsidRPr="00B80382" w:rsidRDefault="00E83544" w:rsidP="007C4202">
            <w:pPr>
              <w:pStyle w:val="UZEINormaln"/>
              <w:spacing w:before="0" w:after="0"/>
              <w:rPr>
                <w:sz w:val="22"/>
                <w:szCs w:val="22"/>
              </w:rPr>
            </w:pPr>
            <w:r w:rsidRPr="00B80382">
              <w:rPr>
                <w:sz w:val="22"/>
                <w:szCs w:val="22"/>
              </w:rPr>
              <w:t>Chov drůbeže</w:t>
            </w:r>
          </w:p>
        </w:tc>
        <w:tc>
          <w:tcPr>
            <w:tcW w:w="3288" w:type="dxa"/>
            <w:vAlign w:val="center"/>
          </w:tcPr>
          <w:p w14:paraId="2F0D63A6" w14:textId="77777777" w:rsidR="00E83544" w:rsidRPr="00B80382" w:rsidRDefault="00E83544" w:rsidP="007C4202">
            <w:pPr>
              <w:pStyle w:val="UZEINormaln"/>
              <w:spacing w:before="0" w:after="0"/>
              <w:rPr>
                <w:sz w:val="22"/>
                <w:szCs w:val="22"/>
              </w:rPr>
            </w:pPr>
            <w:r w:rsidRPr="00B80382">
              <w:rPr>
                <w:sz w:val="22"/>
                <w:szCs w:val="22"/>
              </w:rPr>
              <w:t>3,9</w:t>
            </w:r>
          </w:p>
        </w:tc>
      </w:tr>
      <w:tr w:rsidR="00E83544" w:rsidRPr="00B96B9F" w14:paraId="221370CF" w14:textId="77777777" w:rsidTr="0006094E">
        <w:trPr>
          <w:trHeight w:val="227"/>
        </w:trPr>
        <w:tc>
          <w:tcPr>
            <w:tcW w:w="5702" w:type="dxa"/>
            <w:vAlign w:val="center"/>
          </w:tcPr>
          <w:p w14:paraId="4183EF8C" w14:textId="77777777" w:rsidR="00E83544" w:rsidRPr="00B80382" w:rsidRDefault="00E83544" w:rsidP="007C4202">
            <w:pPr>
              <w:pStyle w:val="UZEINormaln"/>
              <w:spacing w:before="0" w:after="0"/>
              <w:rPr>
                <w:sz w:val="22"/>
                <w:szCs w:val="22"/>
              </w:rPr>
            </w:pPr>
            <w:r w:rsidRPr="00B80382">
              <w:rPr>
                <w:sz w:val="22"/>
                <w:szCs w:val="22"/>
              </w:rPr>
              <w:t>Ostatní</w:t>
            </w:r>
          </w:p>
        </w:tc>
        <w:tc>
          <w:tcPr>
            <w:tcW w:w="3288" w:type="dxa"/>
            <w:vAlign w:val="center"/>
          </w:tcPr>
          <w:p w14:paraId="7D899483" w14:textId="77777777" w:rsidR="00E83544" w:rsidRPr="00B80382" w:rsidRDefault="00E83544" w:rsidP="007C4202">
            <w:pPr>
              <w:pStyle w:val="UZEINormaln"/>
              <w:spacing w:before="0" w:after="0"/>
              <w:rPr>
                <w:sz w:val="22"/>
                <w:szCs w:val="22"/>
              </w:rPr>
            </w:pPr>
            <w:r w:rsidRPr="00B80382">
              <w:rPr>
                <w:sz w:val="22"/>
                <w:szCs w:val="22"/>
              </w:rPr>
              <w:t>2,2</w:t>
            </w:r>
          </w:p>
        </w:tc>
      </w:tr>
      <w:tr w:rsidR="00E83544" w:rsidRPr="00B96B9F" w14:paraId="53C4B227" w14:textId="77777777" w:rsidTr="0006094E">
        <w:trPr>
          <w:trHeight w:val="227"/>
        </w:trPr>
        <w:tc>
          <w:tcPr>
            <w:tcW w:w="5702" w:type="dxa"/>
            <w:tcBorders>
              <w:bottom w:val="single" w:sz="4" w:space="0" w:color="auto"/>
            </w:tcBorders>
            <w:vAlign w:val="center"/>
          </w:tcPr>
          <w:p w14:paraId="5EDB7B8E" w14:textId="77777777" w:rsidR="00E83544" w:rsidRPr="00B80382" w:rsidRDefault="00E83544" w:rsidP="007C4202">
            <w:pPr>
              <w:pStyle w:val="UZEINormaln"/>
              <w:spacing w:before="0" w:after="0"/>
              <w:rPr>
                <w:sz w:val="22"/>
                <w:szCs w:val="22"/>
              </w:rPr>
            </w:pPr>
            <w:r w:rsidRPr="00B80382">
              <w:rPr>
                <w:sz w:val="22"/>
                <w:szCs w:val="22"/>
              </w:rPr>
              <w:t>Celkem</w:t>
            </w:r>
          </w:p>
        </w:tc>
        <w:tc>
          <w:tcPr>
            <w:tcW w:w="3288" w:type="dxa"/>
            <w:tcBorders>
              <w:bottom w:val="single" w:sz="4" w:space="0" w:color="auto"/>
            </w:tcBorders>
            <w:vAlign w:val="center"/>
          </w:tcPr>
          <w:p w14:paraId="251FE5EE" w14:textId="77777777" w:rsidR="00E83544" w:rsidRPr="00B80382" w:rsidRDefault="00E83544" w:rsidP="007C4202">
            <w:pPr>
              <w:pStyle w:val="UZEINormaln"/>
              <w:spacing w:before="0" w:after="0"/>
              <w:rPr>
                <w:sz w:val="22"/>
                <w:szCs w:val="22"/>
              </w:rPr>
            </w:pPr>
            <w:r w:rsidRPr="00B80382">
              <w:rPr>
                <w:sz w:val="22"/>
                <w:szCs w:val="22"/>
              </w:rPr>
              <w:t>64,0</w:t>
            </w:r>
          </w:p>
        </w:tc>
      </w:tr>
    </w:tbl>
    <w:p w14:paraId="3BF36214" w14:textId="77777777" w:rsidR="00E83544" w:rsidRPr="00B96B9F" w:rsidRDefault="00E83544" w:rsidP="00E83544">
      <w:pPr>
        <w:pStyle w:val="UZEIZdroj"/>
        <w:rPr>
          <w:i w:val="0"/>
          <w:sz w:val="22"/>
        </w:rPr>
      </w:pPr>
      <w:r w:rsidRPr="00B96B9F">
        <w:t xml:space="preserve">Zdroj: MŽP ČR – Národní program </w:t>
      </w:r>
      <w:r w:rsidRPr="00B96B9F">
        <w:rPr>
          <w:i w:val="0"/>
          <w:sz w:val="22"/>
        </w:rPr>
        <w:t>snižování emisí ČR</w:t>
      </w:r>
    </w:p>
    <w:p w14:paraId="03065FED" w14:textId="77777777" w:rsidR="00E83544" w:rsidRPr="00B96B9F" w:rsidRDefault="00E83544" w:rsidP="00E83544">
      <w:pPr>
        <w:pStyle w:val="UZEINormaln"/>
      </w:pPr>
      <w:r w:rsidRPr="00B96B9F">
        <w:t>Mezinárodně závazné emisní stropy pro Českou republiku k roku 2020 jsou definovány Göteborským protokolem. Dané limity, které se ČR zavázala plnit, jsou uvedeny pro jednotlivé prvky v následující tabulce. Při vyhodnocování plnění nepřekročitelných hodnot emisí jsou tyto hodnoty vyjádřeny jako procentuální snížení emisí ve vztahu k referenčnímu roku 2005, tedy postupem shodným s evropskou legislativou.</w:t>
      </w:r>
    </w:p>
    <w:p w14:paraId="269AC597" w14:textId="77777777" w:rsidR="00E83544" w:rsidRPr="00B96B9F" w:rsidRDefault="00E83544" w:rsidP="0006094E">
      <w:pPr>
        <w:pStyle w:val="UZEITaB"/>
        <w:keepNext/>
      </w:pPr>
      <w:bookmarkStart w:id="517" w:name="_Toc81088072"/>
      <w:bookmarkStart w:id="518" w:name="_Toc81749914"/>
      <w:bookmarkStart w:id="519" w:name="_Toc94181642"/>
      <w:r w:rsidRPr="00B96B9F">
        <w:t>Nepřekročitelné hodnoty národních emisí dle scénáře WaM přepočtené na relativní snížení vůči r. 2005 a vyhodnocení jejich plnění pro r. 2016</w:t>
      </w:r>
      <w:bookmarkEnd w:id="517"/>
      <w:bookmarkEnd w:id="518"/>
      <w:bookmarkEnd w:id="519"/>
    </w:p>
    <w:tbl>
      <w:tblPr>
        <w:tblW w:w="9145"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325"/>
        <w:gridCol w:w="964"/>
        <w:gridCol w:w="964"/>
        <w:gridCol w:w="964"/>
        <w:gridCol w:w="964"/>
        <w:gridCol w:w="964"/>
      </w:tblGrid>
      <w:tr w:rsidR="00E83544" w:rsidRPr="00B96B9F" w14:paraId="05576071" w14:textId="77777777" w:rsidTr="007C4202">
        <w:trPr>
          <w:trHeight w:val="57"/>
        </w:trPr>
        <w:tc>
          <w:tcPr>
            <w:tcW w:w="4325" w:type="dxa"/>
            <w:tcBorders>
              <w:top w:val="single" w:sz="4" w:space="0" w:color="auto"/>
            </w:tcBorders>
            <w:shd w:val="clear" w:color="auto" w:fill="D9D9D9"/>
            <w:noWrap/>
            <w:vAlign w:val="center"/>
            <w:hideMark/>
          </w:tcPr>
          <w:p w14:paraId="1A9AF811" w14:textId="77777777" w:rsidR="00E83544" w:rsidRPr="00A07288" w:rsidRDefault="00E83544" w:rsidP="0006094E">
            <w:pPr>
              <w:pStyle w:val="UZEINormaln"/>
              <w:keepNext/>
              <w:spacing w:before="0" w:after="0"/>
              <w:jc w:val="center"/>
              <w:rPr>
                <w:b/>
                <w:sz w:val="22"/>
                <w:szCs w:val="22"/>
              </w:rPr>
            </w:pPr>
          </w:p>
        </w:tc>
        <w:tc>
          <w:tcPr>
            <w:tcW w:w="964" w:type="dxa"/>
            <w:tcBorders>
              <w:top w:val="single" w:sz="4" w:space="0" w:color="auto"/>
            </w:tcBorders>
            <w:shd w:val="clear" w:color="auto" w:fill="D9D9D9"/>
            <w:noWrap/>
            <w:vAlign w:val="center"/>
            <w:hideMark/>
          </w:tcPr>
          <w:p w14:paraId="462B7639" w14:textId="77777777" w:rsidR="00E83544" w:rsidRPr="00B96B9F" w:rsidRDefault="00E83544" w:rsidP="0006094E">
            <w:pPr>
              <w:pStyle w:val="UZEINormaln"/>
              <w:keepNext/>
              <w:spacing w:before="0" w:after="0"/>
              <w:jc w:val="center"/>
              <w:rPr>
                <w:b/>
                <w:color w:val="000000"/>
                <w:sz w:val="22"/>
              </w:rPr>
            </w:pPr>
            <w:r w:rsidRPr="00A07288">
              <w:rPr>
                <w:b/>
                <w:color w:val="000000"/>
                <w:sz w:val="22"/>
                <w:szCs w:val="22"/>
              </w:rPr>
              <w:t>SO</w:t>
            </w:r>
            <w:r w:rsidRPr="00B96B9F">
              <w:rPr>
                <w:b/>
                <w:color w:val="000000"/>
                <w:sz w:val="22"/>
                <w:vertAlign w:val="subscript"/>
              </w:rPr>
              <w:t>2</w:t>
            </w:r>
          </w:p>
        </w:tc>
        <w:tc>
          <w:tcPr>
            <w:tcW w:w="964" w:type="dxa"/>
            <w:tcBorders>
              <w:top w:val="single" w:sz="4" w:space="0" w:color="auto"/>
            </w:tcBorders>
            <w:shd w:val="clear" w:color="auto" w:fill="D9D9D9"/>
            <w:noWrap/>
            <w:vAlign w:val="center"/>
            <w:hideMark/>
          </w:tcPr>
          <w:p w14:paraId="0C633E94" w14:textId="77777777" w:rsidR="00E83544" w:rsidRPr="00B96B9F" w:rsidRDefault="00E83544" w:rsidP="0006094E">
            <w:pPr>
              <w:pStyle w:val="UZEINormaln"/>
              <w:keepNext/>
              <w:spacing w:before="0" w:after="0"/>
              <w:jc w:val="center"/>
              <w:rPr>
                <w:b/>
                <w:color w:val="000000"/>
                <w:sz w:val="22"/>
              </w:rPr>
            </w:pPr>
            <w:r w:rsidRPr="00A07288">
              <w:rPr>
                <w:b/>
                <w:color w:val="000000"/>
                <w:sz w:val="22"/>
                <w:szCs w:val="22"/>
              </w:rPr>
              <w:t>NO</w:t>
            </w:r>
            <w:r w:rsidRPr="00B96B9F">
              <w:rPr>
                <w:b/>
                <w:color w:val="000000"/>
                <w:sz w:val="22"/>
                <w:vertAlign w:val="subscript"/>
              </w:rPr>
              <w:t>X</w:t>
            </w:r>
          </w:p>
        </w:tc>
        <w:tc>
          <w:tcPr>
            <w:tcW w:w="964" w:type="dxa"/>
            <w:tcBorders>
              <w:top w:val="single" w:sz="4" w:space="0" w:color="auto"/>
            </w:tcBorders>
            <w:shd w:val="clear" w:color="auto" w:fill="D9D9D9"/>
            <w:noWrap/>
            <w:vAlign w:val="center"/>
            <w:hideMark/>
          </w:tcPr>
          <w:p w14:paraId="56646D62" w14:textId="77777777" w:rsidR="00E83544" w:rsidRPr="00B96B9F" w:rsidRDefault="00E83544" w:rsidP="0006094E">
            <w:pPr>
              <w:pStyle w:val="UZEINormaln"/>
              <w:keepNext/>
              <w:spacing w:before="0" w:after="0"/>
              <w:jc w:val="center"/>
              <w:rPr>
                <w:b/>
                <w:color w:val="000000"/>
                <w:sz w:val="22"/>
              </w:rPr>
            </w:pPr>
            <w:r w:rsidRPr="00A07288">
              <w:rPr>
                <w:b/>
                <w:color w:val="000000"/>
                <w:sz w:val="22"/>
                <w:szCs w:val="22"/>
              </w:rPr>
              <w:t>NM-VOC</w:t>
            </w:r>
          </w:p>
        </w:tc>
        <w:tc>
          <w:tcPr>
            <w:tcW w:w="964" w:type="dxa"/>
            <w:tcBorders>
              <w:top w:val="single" w:sz="4" w:space="0" w:color="auto"/>
            </w:tcBorders>
            <w:shd w:val="clear" w:color="auto" w:fill="D9D9D9"/>
            <w:noWrap/>
            <w:vAlign w:val="center"/>
            <w:hideMark/>
          </w:tcPr>
          <w:p w14:paraId="65C53C97" w14:textId="77777777" w:rsidR="00E83544" w:rsidRPr="00B96B9F" w:rsidRDefault="00E83544" w:rsidP="0006094E">
            <w:pPr>
              <w:pStyle w:val="UZEINormaln"/>
              <w:keepNext/>
              <w:spacing w:before="0" w:after="0"/>
              <w:jc w:val="center"/>
              <w:rPr>
                <w:b/>
                <w:color w:val="000000"/>
                <w:sz w:val="22"/>
              </w:rPr>
            </w:pPr>
            <w:r w:rsidRPr="00A07288">
              <w:rPr>
                <w:b/>
                <w:color w:val="000000"/>
                <w:sz w:val="22"/>
                <w:szCs w:val="22"/>
              </w:rPr>
              <w:t>NH</w:t>
            </w:r>
            <w:r w:rsidRPr="00B96B9F">
              <w:rPr>
                <w:b/>
                <w:color w:val="000000"/>
                <w:sz w:val="22"/>
                <w:vertAlign w:val="subscript"/>
              </w:rPr>
              <w:t>3</w:t>
            </w:r>
          </w:p>
        </w:tc>
        <w:tc>
          <w:tcPr>
            <w:tcW w:w="964" w:type="dxa"/>
            <w:tcBorders>
              <w:top w:val="single" w:sz="4" w:space="0" w:color="auto"/>
            </w:tcBorders>
            <w:shd w:val="clear" w:color="auto" w:fill="D9D9D9"/>
            <w:noWrap/>
            <w:vAlign w:val="center"/>
            <w:hideMark/>
          </w:tcPr>
          <w:p w14:paraId="5AB24D96" w14:textId="77777777" w:rsidR="00E83544" w:rsidRPr="00B96B9F" w:rsidRDefault="00E83544" w:rsidP="0006094E">
            <w:pPr>
              <w:pStyle w:val="UZEINormaln"/>
              <w:keepNext/>
              <w:spacing w:before="0" w:after="0"/>
              <w:jc w:val="center"/>
              <w:rPr>
                <w:b/>
                <w:color w:val="000000"/>
                <w:sz w:val="22"/>
              </w:rPr>
            </w:pPr>
            <w:r w:rsidRPr="00A07288">
              <w:rPr>
                <w:b/>
                <w:color w:val="000000"/>
                <w:sz w:val="22"/>
                <w:szCs w:val="22"/>
              </w:rPr>
              <w:t>PM</w:t>
            </w:r>
            <w:r w:rsidRPr="00B96B9F">
              <w:rPr>
                <w:b/>
                <w:color w:val="000000"/>
                <w:sz w:val="22"/>
                <w:vertAlign w:val="subscript"/>
              </w:rPr>
              <w:t>2,5</w:t>
            </w:r>
          </w:p>
        </w:tc>
      </w:tr>
      <w:tr w:rsidR="00E83544" w:rsidRPr="00B96B9F" w14:paraId="4713FFC5" w14:textId="77777777" w:rsidTr="007C4202">
        <w:trPr>
          <w:trHeight w:val="57"/>
        </w:trPr>
        <w:tc>
          <w:tcPr>
            <w:tcW w:w="4325" w:type="dxa"/>
            <w:shd w:val="clear" w:color="auto" w:fill="auto"/>
            <w:noWrap/>
            <w:vAlign w:val="center"/>
            <w:hideMark/>
          </w:tcPr>
          <w:p w14:paraId="041B8694" w14:textId="77777777" w:rsidR="00E83544" w:rsidRPr="00B96B9F" w:rsidRDefault="00E83544" w:rsidP="007C4202">
            <w:pPr>
              <w:pStyle w:val="UZEINormaln"/>
              <w:spacing w:before="0" w:after="0"/>
              <w:rPr>
                <w:color w:val="000000"/>
                <w:sz w:val="22"/>
              </w:rPr>
            </w:pPr>
            <w:r w:rsidRPr="00A07288">
              <w:rPr>
                <w:color w:val="000000"/>
                <w:sz w:val="22"/>
                <w:szCs w:val="22"/>
              </w:rPr>
              <w:t>Emise 2005 (kt) - stav 2015</w:t>
            </w:r>
          </w:p>
        </w:tc>
        <w:tc>
          <w:tcPr>
            <w:tcW w:w="964" w:type="dxa"/>
            <w:shd w:val="clear" w:color="auto" w:fill="auto"/>
            <w:noWrap/>
            <w:vAlign w:val="center"/>
            <w:hideMark/>
          </w:tcPr>
          <w:p w14:paraId="2F067FBC" w14:textId="77777777" w:rsidR="00E83544" w:rsidRPr="00B96B9F" w:rsidRDefault="00E83544" w:rsidP="007C4202">
            <w:pPr>
              <w:pStyle w:val="UZEINormaln"/>
              <w:spacing w:before="0" w:after="0"/>
              <w:rPr>
                <w:color w:val="000000"/>
                <w:sz w:val="22"/>
              </w:rPr>
            </w:pPr>
            <w:r w:rsidRPr="00A07288">
              <w:rPr>
                <w:color w:val="000000"/>
                <w:sz w:val="22"/>
                <w:szCs w:val="22"/>
              </w:rPr>
              <w:t>211,2</w:t>
            </w:r>
          </w:p>
        </w:tc>
        <w:tc>
          <w:tcPr>
            <w:tcW w:w="964" w:type="dxa"/>
            <w:shd w:val="clear" w:color="auto" w:fill="auto"/>
            <w:noWrap/>
            <w:vAlign w:val="center"/>
            <w:hideMark/>
          </w:tcPr>
          <w:p w14:paraId="275F09F8" w14:textId="77777777" w:rsidR="00E83544" w:rsidRPr="00B96B9F" w:rsidRDefault="00E83544" w:rsidP="007C4202">
            <w:pPr>
              <w:pStyle w:val="UZEINormaln"/>
              <w:spacing w:before="0" w:after="0"/>
              <w:rPr>
                <w:color w:val="000000"/>
                <w:sz w:val="22"/>
              </w:rPr>
            </w:pPr>
            <w:r w:rsidRPr="00A07288">
              <w:rPr>
                <w:color w:val="000000"/>
                <w:sz w:val="22"/>
                <w:szCs w:val="22"/>
              </w:rPr>
              <w:t>280,8</w:t>
            </w:r>
          </w:p>
        </w:tc>
        <w:tc>
          <w:tcPr>
            <w:tcW w:w="964" w:type="dxa"/>
            <w:shd w:val="clear" w:color="auto" w:fill="auto"/>
            <w:noWrap/>
            <w:vAlign w:val="center"/>
            <w:hideMark/>
          </w:tcPr>
          <w:p w14:paraId="040E2B31" w14:textId="77777777" w:rsidR="00E83544" w:rsidRPr="00B96B9F" w:rsidRDefault="00E83544" w:rsidP="007C4202">
            <w:pPr>
              <w:pStyle w:val="UZEINormaln"/>
              <w:spacing w:before="0" w:after="0"/>
              <w:rPr>
                <w:color w:val="000000"/>
                <w:sz w:val="22"/>
              </w:rPr>
            </w:pPr>
            <w:r w:rsidRPr="00A07288">
              <w:rPr>
                <w:color w:val="000000"/>
                <w:sz w:val="22"/>
                <w:szCs w:val="22"/>
              </w:rPr>
              <w:t>203,4</w:t>
            </w:r>
          </w:p>
        </w:tc>
        <w:tc>
          <w:tcPr>
            <w:tcW w:w="964" w:type="dxa"/>
            <w:shd w:val="clear" w:color="auto" w:fill="auto"/>
            <w:noWrap/>
            <w:vAlign w:val="center"/>
            <w:hideMark/>
          </w:tcPr>
          <w:p w14:paraId="2E9B9DD7" w14:textId="77777777" w:rsidR="00E83544" w:rsidRPr="00B96B9F" w:rsidRDefault="00E83544" w:rsidP="007C4202">
            <w:pPr>
              <w:pStyle w:val="UZEINormaln"/>
              <w:spacing w:before="0" w:after="0"/>
              <w:rPr>
                <w:color w:val="000000"/>
                <w:sz w:val="22"/>
              </w:rPr>
            </w:pPr>
            <w:r w:rsidRPr="00A07288">
              <w:rPr>
                <w:color w:val="000000"/>
                <w:sz w:val="22"/>
                <w:szCs w:val="22"/>
              </w:rPr>
              <w:t>81,8</w:t>
            </w:r>
          </w:p>
        </w:tc>
        <w:tc>
          <w:tcPr>
            <w:tcW w:w="964" w:type="dxa"/>
            <w:shd w:val="clear" w:color="auto" w:fill="auto"/>
            <w:noWrap/>
            <w:vAlign w:val="center"/>
            <w:hideMark/>
          </w:tcPr>
          <w:p w14:paraId="23030CEF" w14:textId="77777777" w:rsidR="00E83544" w:rsidRPr="00B96B9F" w:rsidRDefault="00E83544" w:rsidP="007C4202">
            <w:pPr>
              <w:pStyle w:val="UZEINormaln"/>
              <w:spacing w:before="0" w:after="0"/>
              <w:rPr>
                <w:color w:val="000000"/>
                <w:sz w:val="22"/>
              </w:rPr>
            </w:pPr>
            <w:r w:rsidRPr="00A07288">
              <w:rPr>
                <w:color w:val="000000"/>
                <w:sz w:val="22"/>
                <w:szCs w:val="22"/>
              </w:rPr>
              <w:t>31,5</w:t>
            </w:r>
          </w:p>
        </w:tc>
      </w:tr>
      <w:tr w:rsidR="00E83544" w:rsidRPr="00B96B9F" w14:paraId="7206CA2A" w14:textId="77777777" w:rsidTr="007C4202">
        <w:trPr>
          <w:trHeight w:val="57"/>
        </w:trPr>
        <w:tc>
          <w:tcPr>
            <w:tcW w:w="4325" w:type="dxa"/>
            <w:shd w:val="clear" w:color="auto" w:fill="auto"/>
            <w:noWrap/>
            <w:vAlign w:val="center"/>
            <w:hideMark/>
          </w:tcPr>
          <w:p w14:paraId="65480553" w14:textId="77777777" w:rsidR="00E83544" w:rsidRPr="00B96B9F" w:rsidRDefault="00E83544" w:rsidP="007C4202">
            <w:pPr>
              <w:pStyle w:val="UZEINormaln"/>
              <w:spacing w:before="0" w:after="0"/>
              <w:rPr>
                <w:color w:val="000000"/>
                <w:sz w:val="22"/>
              </w:rPr>
            </w:pPr>
            <w:r w:rsidRPr="00A07288">
              <w:rPr>
                <w:color w:val="000000"/>
                <w:sz w:val="22"/>
                <w:szCs w:val="22"/>
              </w:rPr>
              <w:t>Emise 2005 (kt) - stav 2018</w:t>
            </w:r>
          </w:p>
        </w:tc>
        <w:tc>
          <w:tcPr>
            <w:tcW w:w="964" w:type="dxa"/>
            <w:shd w:val="clear" w:color="auto" w:fill="auto"/>
            <w:noWrap/>
            <w:vAlign w:val="center"/>
            <w:hideMark/>
          </w:tcPr>
          <w:p w14:paraId="17013C6A" w14:textId="77777777" w:rsidR="00E83544" w:rsidRPr="00B96B9F" w:rsidRDefault="00E83544" w:rsidP="007C4202">
            <w:pPr>
              <w:pStyle w:val="UZEINormaln"/>
              <w:spacing w:before="0" w:after="0"/>
              <w:rPr>
                <w:color w:val="000000"/>
                <w:sz w:val="22"/>
              </w:rPr>
            </w:pPr>
            <w:r w:rsidRPr="00A07288">
              <w:rPr>
                <w:color w:val="000000"/>
                <w:sz w:val="22"/>
                <w:szCs w:val="22"/>
              </w:rPr>
              <w:t>208,4</w:t>
            </w:r>
          </w:p>
        </w:tc>
        <w:tc>
          <w:tcPr>
            <w:tcW w:w="964" w:type="dxa"/>
            <w:shd w:val="clear" w:color="auto" w:fill="auto"/>
            <w:noWrap/>
            <w:vAlign w:val="center"/>
            <w:hideMark/>
          </w:tcPr>
          <w:p w14:paraId="25775A45" w14:textId="77777777" w:rsidR="00E83544" w:rsidRPr="00B96B9F" w:rsidRDefault="00E83544" w:rsidP="007C4202">
            <w:pPr>
              <w:pStyle w:val="UZEINormaln"/>
              <w:spacing w:before="0" w:after="0"/>
              <w:rPr>
                <w:color w:val="000000"/>
                <w:sz w:val="22"/>
              </w:rPr>
            </w:pPr>
            <w:r w:rsidRPr="00A07288">
              <w:rPr>
                <w:color w:val="000000"/>
                <w:sz w:val="22"/>
                <w:szCs w:val="22"/>
              </w:rPr>
              <w:t>274,2</w:t>
            </w:r>
          </w:p>
        </w:tc>
        <w:tc>
          <w:tcPr>
            <w:tcW w:w="964" w:type="dxa"/>
            <w:shd w:val="clear" w:color="auto" w:fill="auto"/>
            <w:noWrap/>
            <w:vAlign w:val="center"/>
            <w:hideMark/>
          </w:tcPr>
          <w:p w14:paraId="6ECEBF89" w14:textId="77777777" w:rsidR="00E83544" w:rsidRPr="00B96B9F" w:rsidRDefault="00E83544" w:rsidP="007C4202">
            <w:pPr>
              <w:pStyle w:val="UZEINormaln"/>
              <w:spacing w:before="0" w:after="0"/>
              <w:rPr>
                <w:color w:val="000000"/>
                <w:sz w:val="22"/>
              </w:rPr>
            </w:pPr>
            <w:r w:rsidRPr="00A07288">
              <w:rPr>
                <w:color w:val="000000"/>
                <w:sz w:val="22"/>
                <w:szCs w:val="22"/>
              </w:rPr>
              <w:t>252,3</w:t>
            </w:r>
          </w:p>
        </w:tc>
        <w:tc>
          <w:tcPr>
            <w:tcW w:w="964" w:type="dxa"/>
            <w:shd w:val="clear" w:color="auto" w:fill="auto"/>
            <w:noWrap/>
            <w:vAlign w:val="center"/>
            <w:hideMark/>
          </w:tcPr>
          <w:p w14:paraId="0C96ED00" w14:textId="77777777" w:rsidR="00E83544" w:rsidRPr="00B96B9F" w:rsidRDefault="00E83544" w:rsidP="007C4202">
            <w:pPr>
              <w:pStyle w:val="UZEINormaln"/>
              <w:spacing w:before="0" w:after="0"/>
              <w:rPr>
                <w:color w:val="000000"/>
                <w:sz w:val="22"/>
              </w:rPr>
            </w:pPr>
            <w:r w:rsidRPr="00A07288">
              <w:rPr>
                <w:color w:val="000000"/>
                <w:sz w:val="22"/>
                <w:szCs w:val="22"/>
              </w:rPr>
              <w:t>77,1</w:t>
            </w:r>
          </w:p>
        </w:tc>
        <w:tc>
          <w:tcPr>
            <w:tcW w:w="964" w:type="dxa"/>
            <w:shd w:val="clear" w:color="auto" w:fill="auto"/>
            <w:noWrap/>
            <w:vAlign w:val="center"/>
            <w:hideMark/>
          </w:tcPr>
          <w:p w14:paraId="150EC0CA" w14:textId="77777777" w:rsidR="00E83544" w:rsidRPr="00B96B9F" w:rsidRDefault="00E83544" w:rsidP="007C4202">
            <w:pPr>
              <w:pStyle w:val="UZEINormaln"/>
              <w:spacing w:before="0" w:after="0"/>
              <w:rPr>
                <w:color w:val="000000"/>
                <w:sz w:val="22"/>
              </w:rPr>
            </w:pPr>
            <w:r w:rsidRPr="00A07288">
              <w:rPr>
                <w:color w:val="000000"/>
                <w:sz w:val="22"/>
                <w:szCs w:val="22"/>
              </w:rPr>
              <w:t>42,8</w:t>
            </w:r>
          </w:p>
        </w:tc>
      </w:tr>
      <w:tr w:rsidR="00E83544" w:rsidRPr="00B96B9F" w14:paraId="635DD15B" w14:textId="77777777" w:rsidTr="007C4202">
        <w:trPr>
          <w:trHeight w:val="57"/>
        </w:trPr>
        <w:tc>
          <w:tcPr>
            <w:tcW w:w="4325" w:type="dxa"/>
            <w:shd w:val="clear" w:color="auto" w:fill="auto"/>
            <w:noWrap/>
            <w:vAlign w:val="center"/>
            <w:hideMark/>
          </w:tcPr>
          <w:p w14:paraId="0986A3B9" w14:textId="77777777" w:rsidR="00E83544" w:rsidRPr="00B96B9F" w:rsidRDefault="00E83544" w:rsidP="007C4202">
            <w:pPr>
              <w:pStyle w:val="UZEINormaln"/>
              <w:spacing w:before="0" w:after="0"/>
              <w:rPr>
                <w:color w:val="000000"/>
                <w:sz w:val="22"/>
              </w:rPr>
            </w:pPr>
            <w:r w:rsidRPr="00A07288">
              <w:rPr>
                <w:color w:val="000000"/>
                <w:sz w:val="22"/>
                <w:szCs w:val="22"/>
              </w:rPr>
              <w:lastRenderedPageBreak/>
              <w:t xml:space="preserve">Nepřekročitelné hodnoty národních emisí k roku 2020 dle </w:t>
            </w:r>
            <w:r w:rsidRPr="00B96B9F">
              <w:rPr>
                <w:color w:val="000000"/>
                <w:sz w:val="22"/>
              </w:rPr>
              <w:t>scénáře NPSE-WaM (kt)</w:t>
            </w:r>
          </w:p>
        </w:tc>
        <w:tc>
          <w:tcPr>
            <w:tcW w:w="964" w:type="dxa"/>
            <w:shd w:val="clear" w:color="auto" w:fill="auto"/>
            <w:noWrap/>
            <w:vAlign w:val="center"/>
            <w:hideMark/>
          </w:tcPr>
          <w:p w14:paraId="0D43AA6E" w14:textId="77777777" w:rsidR="00E83544" w:rsidRPr="00B96B9F" w:rsidRDefault="00E83544" w:rsidP="007C4202">
            <w:pPr>
              <w:pStyle w:val="UZEINormaln"/>
              <w:spacing w:before="0" w:after="0"/>
              <w:rPr>
                <w:color w:val="000000"/>
                <w:sz w:val="22"/>
              </w:rPr>
            </w:pPr>
            <w:r w:rsidRPr="00A07288">
              <w:rPr>
                <w:color w:val="000000"/>
                <w:sz w:val="22"/>
                <w:szCs w:val="22"/>
              </w:rPr>
              <w:t>92</w:t>
            </w:r>
          </w:p>
        </w:tc>
        <w:tc>
          <w:tcPr>
            <w:tcW w:w="964" w:type="dxa"/>
            <w:shd w:val="clear" w:color="auto" w:fill="auto"/>
            <w:noWrap/>
            <w:vAlign w:val="center"/>
            <w:hideMark/>
          </w:tcPr>
          <w:p w14:paraId="77EDF69B" w14:textId="77777777" w:rsidR="00E83544" w:rsidRPr="00B96B9F" w:rsidRDefault="00E83544" w:rsidP="007C4202">
            <w:pPr>
              <w:pStyle w:val="UZEINormaln"/>
              <w:spacing w:before="0" w:after="0"/>
              <w:rPr>
                <w:color w:val="000000"/>
                <w:sz w:val="22"/>
              </w:rPr>
            </w:pPr>
            <w:r w:rsidRPr="00A07288">
              <w:rPr>
                <w:color w:val="000000"/>
                <w:sz w:val="22"/>
                <w:szCs w:val="22"/>
              </w:rPr>
              <w:t>143</w:t>
            </w:r>
          </w:p>
        </w:tc>
        <w:tc>
          <w:tcPr>
            <w:tcW w:w="964" w:type="dxa"/>
            <w:shd w:val="clear" w:color="auto" w:fill="auto"/>
            <w:noWrap/>
            <w:vAlign w:val="center"/>
            <w:hideMark/>
          </w:tcPr>
          <w:p w14:paraId="7F1A7E6F" w14:textId="77777777" w:rsidR="00E83544" w:rsidRPr="00B96B9F" w:rsidRDefault="00E83544" w:rsidP="007C4202">
            <w:pPr>
              <w:pStyle w:val="UZEINormaln"/>
              <w:spacing w:before="0" w:after="0"/>
              <w:rPr>
                <w:color w:val="000000"/>
                <w:sz w:val="22"/>
              </w:rPr>
            </w:pPr>
            <w:r w:rsidRPr="00A07288">
              <w:rPr>
                <w:color w:val="000000"/>
                <w:sz w:val="22"/>
                <w:szCs w:val="22"/>
              </w:rPr>
              <w:t>129</w:t>
            </w:r>
          </w:p>
        </w:tc>
        <w:tc>
          <w:tcPr>
            <w:tcW w:w="964" w:type="dxa"/>
            <w:shd w:val="clear" w:color="auto" w:fill="auto"/>
            <w:noWrap/>
            <w:vAlign w:val="center"/>
            <w:hideMark/>
          </w:tcPr>
          <w:p w14:paraId="36715858" w14:textId="77777777" w:rsidR="00E83544" w:rsidRPr="00B96B9F" w:rsidRDefault="00E83544" w:rsidP="007C4202">
            <w:pPr>
              <w:pStyle w:val="UZEINormaln"/>
              <w:spacing w:before="0" w:after="0"/>
              <w:rPr>
                <w:color w:val="000000"/>
                <w:sz w:val="22"/>
              </w:rPr>
            </w:pPr>
            <w:r w:rsidRPr="00A07288">
              <w:rPr>
                <w:color w:val="000000"/>
                <w:sz w:val="22"/>
                <w:szCs w:val="22"/>
              </w:rPr>
              <w:t>64</w:t>
            </w:r>
          </w:p>
        </w:tc>
        <w:tc>
          <w:tcPr>
            <w:tcW w:w="964" w:type="dxa"/>
            <w:shd w:val="clear" w:color="auto" w:fill="auto"/>
            <w:noWrap/>
            <w:vAlign w:val="center"/>
            <w:hideMark/>
          </w:tcPr>
          <w:p w14:paraId="3556F0BA" w14:textId="77777777" w:rsidR="00E83544" w:rsidRPr="00B96B9F" w:rsidRDefault="00E83544" w:rsidP="007C4202">
            <w:pPr>
              <w:pStyle w:val="UZEINormaln"/>
              <w:spacing w:before="0" w:after="0"/>
              <w:rPr>
                <w:color w:val="000000"/>
                <w:sz w:val="22"/>
              </w:rPr>
            </w:pPr>
            <w:r w:rsidRPr="00A07288">
              <w:rPr>
                <w:color w:val="000000"/>
                <w:sz w:val="22"/>
                <w:szCs w:val="22"/>
              </w:rPr>
              <w:t>19</w:t>
            </w:r>
          </w:p>
        </w:tc>
      </w:tr>
      <w:tr w:rsidR="00E83544" w:rsidRPr="00B96B9F" w14:paraId="6286C592" w14:textId="77777777" w:rsidTr="007C4202">
        <w:trPr>
          <w:trHeight w:val="57"/>
        </w:trPr>
        <w:tc>
          <w:tcPr>
            <w:tcW w:w="4325" w:type="dxa"/>
            <w:shd w:val="clear" w:color="auto" w:fill="auto"/>
            <w:noWrap/>
            <w:vAlign w:val="center"/>
            <w:hideMark/>
          </w:tcPr>
          <w:p w14:paraId="21357C55" w14:textId="77777777" w:rsidR="00E83544" w:rsidRPr="00B96B9F" w:rsidRDefault="00E83544" w:rsidP="007C4202">
            <w:pPr>
              <w:pStyle w:val="UZEINormaln"/>
              <w:spacing w:before="0" w:after="0"/>
              <w:rPr>
                <w:color w:val="000000"/>
                <w:sz w:val="22"/>
              </w:rPr>
            </w:pPr>
            <w:r w:rsidRPr="00A07288">
              <w:rPr>
                <w:color w:val="000000"/>
                <w:sz w:val="22"/>
                <w:szCs w:val="22"/>
              </w:rPr>
              <w:t>Emise 2013 (kt), stav dle emisní inventury k r. 2015</w:t>
            </w:r>
          </w:p>
        </w:tc>
        <w:tc>
          <w:tcPr>
            <w:tcW w:w="964" w:type="dxa"/>
            <w:shd w:val="clear" w:color="auto" w:fill="auto"/>
            <w:noWrap/>
            <w:vAlign w:val="center"/>
            <w:hideMark/>
          </w:tcPr>
          <w:p w14:paraId="1BEF8E6A" w14:textId="77777777" w:rsidR="00E83544" w:rsidRPr="00B96B9F" w:rsidRDefault="00E83544" w:rsidP="007C4202">
            <w:pPr>
              <w:pStyle w:val="UZEINormaln"/>
              <w:spacing w:before="0" w:after="0"/>
              <w:rPr>
                <w:color w:val="000000"/>
                <w:sz w:val="22"/>
              </w:rPr>
            </w:pPr>
            <w:r w:rsidRPr="00A07288">
              <w:rPr>
                <w:color w:val="000000"/>
                <w:sz w:val="22"/>
                <w:szCs w:val="22"/>
              </w:rPr>
              <w:t>138,5</w:t>
            </w:r>
          </w:p>
        </w:tc>
        <w:tc>
          <w:tcPr>
            <w:tcW w:w="964" w:type="dxa"/>
            <w:shd w:val="clear" w:color="auto" w:fill="auto"/>
            <w:noWrap/>
            <w:vAlign w:val="center"/>
            <w:hideMark/>
          </w:tcPr>
          <w:p w14:paraId="50374190" w14:textId="77777777" w:rsidR="00E83544" w:rsidRPr="00B96B9F" w:rsidRDefault="00E83544" w:rsidP="007C4202">
            <w:pPr>
              <w:pStyle w:val="UZEINormaln"/>
              <w:spacing w:before="0" w:after="0"/>
              <w:rPr>
                <w:color w:val="000000"/>
                <w:sz w:val="22"/>
              </w:rPr>
            </w:pPr>
            <w:r w:rsidRPr="00A07288">
              <w:rPr>
                <w:color w:val="000000"/>
                <w:sz w:val="22"/>
                <w:szCs w:val="22"/>
              </w:rPr>
              <w:t>177,8</w:t>
            </w:r>
          </w:p>
        </w:tc>
        <w:tc>
          <w:tcPr>
            <w:tcW w:w="964" w:type="dxa"/>
            <w:shd w:val="clear" w:color="auto" w:fill="auto"/>
            <w:noWrap/>
            <w:vAlign w:val="center"/>
            <w:hideMark/>
          </w:tcPr>
          <w:p w14:paraId="72DB0EF8" w14:textId="77777777" w:rsidR="00E83544" w:rsidRPr="00B96B9F" w:rsidRDefault="00E83544" w:rsidP="007C4202">
            <w:pPr>
              <w:pStyle w:val="UZEINormaln"/>
              <w:spacing w:before="0" w:after="0"/>
              <w:rPr>
                <w:color w:val="000000"/>
                <w:sz w:val="22"/>
              </w:rPr>
            </w:pPr>
            <w:r w:rsidRPr="00A07288">
              <w:rPr>
                <w:color w:val="000000"/>
                <w:sz w:val="22"/>
                <w:szCs w:val="22"/>
              </w:rPr>
              <w:t>128,8</w:t>
            </w:r>
          </w:p>
        </w:tc>
        <w:tc>
          <w:tcPr>
            <w:tcW w:w="964" w:type="dxa"/>
            <w:shd w:val="clear" w:color="auto" w:fill="auto"/>
            <w:noWrap/>
            <w:vAlign w:val="center"/>
            <w:hideMark/>
          </w:tcPr>
          <w:p w14:paraId="58DA423E" w14:textId="77777777" w:rsidR="00E83544" w:rsidRPr="00B96B9F" w:rsidRDefault="00E83544" w:rsidP="007C4202">
            <w:pPr>
              <w:pStyle w:val="UZEINormaln"/>
              <w:spacing w:before="0" w:after="0"/>
              <w:rPr>
                <w:color w:val="000000"/>
                <w:sz w:val="22"/>
              </w:rPr>
            </w:pPr>
            <w:r w:rsidRPr="00A07288">
              <w:rPr>
                <w:color w:val="000000"/>
                <w:sz w:val="22"/>
                <w:szCs w:val="22"/>
              </w:rPr>
              <w:t>63,3</w:t>
            </w:r>
          </w:p>
        </w:tc>
        <w:tc>
          <w:tcPr>
            <w:tcW w:w="964" w:type="dxa"/>
            <w:shd w:val="clear" w:color="auto" w:fill="auto"/>
            <w:noWrap/>
            <w:vAlign w:val="center"/>
            <w:hideMark/>
          </w:tcPr>
          <w:p w14:paraId="482C31FE" w14:textId="77777777" w:rsidR="00E83544" w:rsidRPr="00B96B9F" w:rsidRDefault="00E83544" w:rsidP="007C4202">
            <w:pPr>
              <w:pStyle w:val="UZEINormaln"/>
              <w:spacing w:before="0" w:after="0"/>
              <w:rPr>
                <w:color w:val="000000"/>
                <w:sz w:val="22"/>
              </w:rPr>
            </w:pPr>
            <w:r w:rsidRPr="00A07288">
              <w:rPr>
                <w:color w:val="000000"/>
                <w:sz w:val="22"/>
                <w:szCs w:val="22"/>
              </w:rPr>
              <w:t>23,85</w:t>
            </w:r>
          </w:p>
        </w:tc>
      </w:tr>
      <w:tr w:rsidR="00E83544" w:rsidRPr="00B96B9F" w14:paraId="4F1CD425" w14:textId="77777777" w:rsidTr="007C4202">
        <w:trPr>
          <w:trHeight w:val="57"/>
        </w:trPr>
        <w:tc>
          <w:tcPr>
            <w:tcW w:w="4325" w:type="dxa"/>
            <w:shd w:val="clear" w:color="auto" w:fill="auto"/>
            <w:noWrap/>
            <w:vAlign w:val="center"/>
            <w:hideMark/>
          </w:tcPr>
          <w:p w14:paraId="67566C3F" w14:textId="77777777" w:rsidR="00E83544" w:rsidRPr="00B96B9F" w:rsidRDefault="00E83544" w:rsidP="007C4202">
            <w:pPr>
              <w:pStyle w:val="UZEINormaln"/>
              <w:spacing w:before="0" w:after="0"/>
              <w:rPr>
                <w:color w:val="000000"/>
                <w:sz w:val="22"/>
              </w:rPr>
            </w:pPr>
            <w:r w:rsidRPr="00A07288">
              <w:rPr>
                <w:color w:val="000000"/>
                <w:sz w:val="22"/>
                <w:szCs w:val="22"/>
              </w:rPr>
              <w:t>Emise 2013 (kt), stav dle emisní inventury k r. 2018</w:t>
            </w:r>
          </w:p>
        </w:tc>
        <w:tc>
          <w:tcPr>
            <w:tcW w:w="964" w:type="dxa"/>
            <w:shd w:val="clear" w:color="auto" w:fill="auto"/>
            <w:noWrap/>
            <w:vAlign w:val="center"/>
            <w:hideMark/>
          </w:tcPr>
          <w:p w14:paraId="7983908A" w14:textId="77777777" w:rsidR="00E83544" w:rsidRPr="00B96B9F" w:rsidRDefault="00E83544" w:rsidP="007C4202">
            <w:pPr>
              <w:pStyle w:val="UZEINormaln"/>
              <w:spacing w:before="0" w:after="0"/>
              <w:rPr>
                <w:color w:val="000000"/>
                <w:sz w:val="22"/>
              </w:rPr>
            </w:pPr>
            <w:r w:rsidRPr="00A07288">
              <w:rPr>
                <w:color w:val="000000"/>
                <w:sz w:val="22"/>
                <w:szCs w:val="22"/>
              </w:rPr>
              <w:t>145,2</w:t>
            </w:r>
          </w:p>
        </w:tc>
        <w:tc>
          <w:tcPr>
            <w:tcW w:w="964" w:type="dxa"/>
            <w:shd w:val="clear" w:color="auto" w:fill="auto"/>
            <w:noWrap/>
            <w:vAlign w:val="center"/>
            <w:hideMark/>
          </w:tcPr>
          <w:p w14:paraId="474CEE4D" w14:textId="77777777" w:rsidR="00E83544" w:rsidRPr="00B96B9F" w:rsidRDefault="00E83544" w:rsidP="007C4202">
            <w:pPr>
              <w:pStyle w:val="UZEINormaln"/>
              <w:spacing w:before="0" w:after="0"/>
              <w:rPr>
                <w:color w:val="000000"/>
                <w:sz w:val="22"/>
              </w:rPr>
            </w:pPr>
            <w:r w:rsidRPr="00A07288">
              <w:rPr>
                <w:color w:val="000000"/>
                <w:sz w:val="22"/>
                <w:szCs w:val="22"/>
              </w:rPr>
              <w:t>191</w:t>
            </w:r>
          </w:p>
        </w:tc>
        <w:tc>
          <w:tcPr>
            <w:tcW w:w="964" w:type="dxa"/>
            <w:shd w:val="clear" w:color="auto" w:fill="auto"/>
            <w:noWrap/>
            <w:vAlign w:val="center"/>
            <w:hideMark/>
          </w:tcPr>
          <w:p w14:paraId="6D5ED6AA" w14:textId="77777777" w:rsidR="00E83544" w:rsidRPr="00B96B9F" w:rsidRDefault="00E83544" w:rsidP="007C4202">
            <w:pPr>
              <w:pStyle w:val="UZEINormaln"/>
              <w:spacing w:before="0" w:after="0"/>
              <w:rPr>
                <w:color w:val="000000"/>
                <w:sz w:val="22"/>
              </w:rPr>
            </w:pPr>
            <w:r w:rsidRPr="00A07288">
              <w:rPr>
                <w:color w:val="000000"/>
                <w:sz w:val="22"/>
                <w:szCs w:val="22"/>
              </w:rPr>
              <w:t>220,6</w:t>
            </w:r>
          </w:p>
        </w:tc>
        <w:tc>
          <w:tcPr>
            <w:tcW w:w="964" w:type="dxa"/>
            <w:shd w:val="clear" w:color="auto" w:fill="auto"/>
            <w:noWrap/>
            <w:vAlign w:val="center"/>
            <w:hideMark/>
          </w:tcPr>
          <w:p w14:paraId="6A5E17AA" w14:textId="77777777" w:rsidR="00E83544" w:rsidRPr="00B96B9F" w:rsidRDefault="00E83544" w:rsidP="007C4202">
            <w:pPr>
              <w:pStyle w:val="UZEINormaln"/>
              <w:spacing w:before="0" w:after="0"/>
              <w:rPr>
                <w:color w:val="000000"/>
                <w:sz w:val="22"/>
              </w:rPr>
            </w:pPr>
            <w:r w:rsidRPr="00A07288">
              <w:rPr>
                <w:color w:val="000000"/>
                <w:sz w:val="22"/>
                <w:szCs w:val="22"/>
              </w:rPr>
              <w:t>70,7</w:t>
            </w:r>
          </w:p>
        </w:tc>
        <w:tc>
          <w:tcPr>
            <w:tcW w:w="964" w:type="dxa"/>
            <w:shd w:val="clear" w:color="auto" w:fill="auto"/>
            <w:noWrap/>
            <w:vAlign w:val="center"/>
            <w:hideMark/>
          </w:tcPr>
          <w:p w14:paraId="36BEC1C8" w14:textId="77777777" w:rsidR="00E83544" w:rsidRPr="00B96B9F" w:rsidRDefault="00E83544" w:rsidP="007C4202">
            <w:pPr>
              <w:pStyle w:val="UZEINormaln"/>
              <w:spacing w:before="0" w:after="0"/>
              <w:rPr>
                <w:color w:val="000000"/>
                <w:sz w:val="22"/>
              </w:rPr>
            </w:pPr>
            <w:r w:rsidRPr="00A07288">
              <w:rPr>
                <w:color w:val="000000"/>
                <w:sz w:val="22"/>
                <w:szCs w:val="22"/>
              </w:rPr>
              <w:t>43,3</w:t>
            </w:r>
          </w:p>
        </w:tc>
      </w:tr>
      <w:tr w:rsidR="00E83544" w:rsidRPr="00B96B9F" w14:paraId="566156C3" w14:textId="77777777" w:rsidTr="007C4202">
        <w:trPr>
          <w:trHeight w:val="57"/>
        </w:trPr>
        <w:tc>
          <w:tcPr>
            <w:tcW w:w="4325" w:type="dxa"/>
            <w:shd w:val="clear" w:color="auto" w:fill="auto"/>
            <w:noWrap/>
            <w:vAlign w:val="center"/>
            <w:hideMark/>
          </w:tcPr>
          <w:p w14:paraId="20037C04" w14:textId="77777777" w:rsidR="00E83544" w:rsidRPr="00B96B9F" w:rsidRDefault="00E83544" w:rsidP="007C4202">
            <w:pPr>
              <w:pStyle w:val="UZEINormaln"/>
              <w:spacing w:before="0" w:after="0"/>
              <w:rPr>
                <w:color w:val="000000"/>
                <w:sz w:val="22"/>
              </w:rPr>
            </w:pPr>
            <w:r w:rsidRPr="00A07288">
              <w:rPr>
                <w:color w:val="000000"/>
                <w:sz w:val="22"/>
                <w:szCs w:val="22"/>
              </w:rPr>
              <w:t xml:space="preserve">Nepřekročitelné hodnoty národních emisí k roku </w:t>
            </w:r>
            <w:r w:rsidRPr="00B96B9F">
              <w:rPr>
                <w:color w:val="000000"/>
                <w:sz w:val="22"/>
              </w:rPr>
              <w:t>2020 vyjádřené jako snížení emisí vůči roku 2005</w:t>
            </w:r>
          </w:p>
        </w:tc>
        <w:tc>
          <w:tcPr>
            <w:tcW w:w="964" w:type="dxa"/>
            <w:shd w:val="clear" w:color="auto" w:fill="auto"/>
            <w:noWrap/>
            <w:vAlign w:val="center"/>
            <w:hideMark/>
          </w:tcPr>
          <w:p w14:paraId="40B9607F" w14:textId="77777777" w:rsidR="00E83544" w:rsidRPr="00B96B9F" w:rsidRDefault="00E83544" w:rsidP="007C4202">
            <w:pPr>
              <w:pStyle w:val="UZEINormaln"/>
              <w:spacing w:before="0" w:after="0"/>
              <w:rPr>
                <w:color w:val="000000"/>
                <w:sz w:val="22"/>
              </w:rPr>
            </w:pPr>
            <w:r w:rsidRPr="00A07288">
              <w:rPr>
                <w:color w:val="000000"/>
                <w:sz w:val="22"/>
                <w:szCs w:val="22"/>
              </w:rPr>
              <w:t>54 %</w:t>
            </w:r>
          </w:p>
        </w:tc>
        <w:tc>
          <w:tcPr>
            <w:tcW w:w="964" w:type="dxa"/>
            <w:shd w:val="clear" w:color="auto" w:fill="auto"/>
            <w:noWrap/>
            <w:vAlign w:val="center"/>
            <w:hideMark/>
          </w:tcPr>
          <w:p w14:paraId="22B7C713" w14:textId="77777777" w:rsidR="00E83544" w:rsidRPr="00B96B9F" w:rsidRDefault="00E83544" w:rsidP="007C4202">
            <w:pPr>
              <w:pStyle w:val="UZEINormaln"/>
              <w:spacing w:before="0" w:after="0"/>
              <w:rPr>
                <w:color w:val="000000"/>
                <w:sz w:val="22"/>
              </w:rPr>
            </w:pPr>
            <w:r w:rsidRPr="00A07288">
              <w:rPr>
                <w:color w:val="000000"/>
                <w:sz w:val="22"/>
                <w:szCs w:val="22"/>
              </w:rPr>
              <w:t>44 %</w:t>
            </w:r>
          </w:p>
        </w:tc>
        <w:tc>
          <w:tcPr>
            <w:tcW w:w="964" w:type="dxa"/>
            <w:shd w:val="clear" w:color="auto" w:fill="auto"/>
            <w:noWrap/>
            <w:vAlign w:val="center"/>
            <w:hideMark/>
          </w:tcPr>
          <w:p w14:paraId="7F5CDCB2" w14:textId="77777777" w:rsidR="00E83544" w:rsidRPr="00B96B9F" w:rsidRDefault="00E83544" w:rsidP="007C4202">
            <w:pPr>
              <w:pStyle w:val="UZEINormaln"/>
              <w:spacing w:before="0" w:after="0"/>
              <w:rPr>
                <w:color w:val="000000"/>
                <w:sz w:val="22"/>
              </w:rPr>
            </w:pPr>
            <w:r w:rsidRPr="00A07288">
              <w:rPr>
                <w:color w:val="000000"/>
                <w:sz w:val="22"/>
                <w:szCs w:val="22"/>
              </w:rPr>
              <w:t>13 %</w:t>
            </w:r>
          </w:p>
        </w:tc>
        <w:tc>
          <w:tcPr>
            <w:tcW w:w="964" w:type="dxa"/>
            <w:shd w:val="clear" w:color="auto" w:fill="auto"/>
            <w:noWrap/>
            <w:vAlign w:val="center"/>
            <w:hideMark/>
          </w:tcPr>
          <w:p w14:paraId="288B8CBB" w14:textId="77777777" w:rsidR="00E83544" w:rsidRPr="00B96B9F" w:rsidRDefault="00E83544" w:rsidP="007C4202">
            <w:pPr>
              <w:pStyle w:val="UZEINormaln"/>
              <w:spacing w:before="0" w:after="0"/>
              <w:rPr>
                <w:color w:val="000000"/>
                <w:sz w:val="22"/>
              </w:rPr>
            </w:pPr>
            <w:r w:rsidRPr="00A07288">
              <w:rPr>
                <w:color w:val="000000"/>
                <w:sz w:val="22"/>
                <w:szCs w:val="22"/>
              </w:rPr>
              <w:t>8 %</w:t>
            </w:r>
          </w:p>
        </w:tc>
        <w:tc>
          <w:tcPr>
            <w:tcW w:w="964" w:type="dxa"/>
            <w:shd w:val="clear" w:color="auto" w:fill="auto"/>
            <w:noWrap/>
            <w:vAlign w:val="center"/>
            <w:hideMark/>
          </w:tcPr>
          <w:p w14:paraId="0CA2A359" w14:textId="77777777" w:rsidR="00E83544" w:rsidRPr="00B96B9F" w:rsidRDefault="00E83544" w:rsidP="007C4202">
            <w:pPr>
              <w:pStyle w:val="UZEINormaln"/>
              <w:spacing w:before="0" w:after="0"/>
              <w:rPr>
                <w:color w:val="000000"/>
                <w:sz w:val="22"/>
              </w:rPr>
            </w:pPr>
            <w:r w:rsidRPr="00A07288">
              <w:rPr>
                <w:color w:val="000000"/>
                <w:sz w:val="22"/>
                <w:szCs w:val="22"/>
              </w:rPr>
              <w:t>18 %</w:t>
            </w:r>
          </w:p>
        </w:tc>
      </w:tr>
      <w:tr w:rsidR="00E83544" w:rsidRPr="00B96B9F" w14:paraId="779CF897" w14:textId="77777777" w:rsidTr="007C4202">
        <w:trPr>
          <w:trHeight w:val="57"/>
        </w:trPr>
        <w:tc>
          <w:tcPr>
            <w:tcW w:w="4325" w:type="dxa"/>
            <w:shd w:val="clear" w:color="auto" w:fill="auto"/>
            <w:noWrap/>
            <w:vAlign w:val="center"/>
          </w:tcPr>
          <w:p w14:paraId="6F4A50FA" w14:textId="77777777" w:rsidR="00E83544" w:rsidRPr="00B96B9F" w:rsidRDefault="00E83544" w:rsidP="007C4202">
            <w:pPr>
              <w:pStyle w:val="UZEINormaln"/>
              <w:spacing w:before="0" w:after="0"/>
              <w:rPr>
                <w:color w:val="000000"/>
                <w:sz w:val="22"/>
              </w:rPr>
            </w:pPr>
            <w:r w:rsidRPr="00A07288">
              <w:rPr>
                <w:color w:val="000000"/>
                <w:sz w:val="22"/>
                <w:szCs w:val="22"/>
              </w:rPr>
              <w:t>Dosažené snížení emisí v roce 2013 vyjádřené vůči emisím v roce 2005</w:t>
            </w:r>
          </w:p>
        </w:tc>
        <w:tc>
          <w:tcPr>
            <w:tcW w:w="964" w:type="dxa"/>
            <w:shd w:val="clear" w:color="auto" w:fill="auto"/>
            <w:noWrap/>
            <w:vAlign w:val="center"/>
          </w:tcPr>
          <w:p w14:paraId="1111745E" w14:textId="77777777" w:rsidR="00E83544" w:rsidRPr="00B96B9F" w:rsidRDefault="00E83544" w:rsidP="007C4202">
            <w:pPr>
              <w:pStyle w:val="UZEINormaln"/>
              <w:spacing w:before="0" w:after="0"/>
              <w:rPr>
                <w:color w:val="000000"/>
                <w:sz w:val="22"/>
              </w:rPr>
            </w:pPr>
            <w:r w:rsidRPr="00A07288">
              <w:rPr>
                <w:color w:val="000000"/>
                <w:sz w:val="22"/>
                <w:szCs w:val="22"/>
              </w:rPr>
              <w:t>30 %</w:t>
            </w:r>
          </w:p>
        </w:tc>
        <w:tc>
          <w:tcPr>
            <w:tcW w:w="964" w:type="dxa"/>
            <w:shd w:val="clear" w:color="auto" w:fill="auto"/>
            <w:noWrap/>
            <w:vAlign w:val="center"/>
          </w:tcPr>
          <w:p w14:paraId="65AA0334" w14:textId="77777777" w:rsidR="00E83544" w:rsidRPr="00B96B9F" w:rsidRDefault="00E83544" w:rsidP="007C4202">
            <w:pPr>
              <w:pStyle w:val="UZEINormaln"/>
              <w:spacing w:before="0" w:after="0"/>
              <w:rPr>
                <w:color w:val="000000"/>
                <w:sz w:val="22"/>
              </w:rPr>
            </w:pPr>
            <w:r w:rsidRPr="00A07288">
              <w:rPr>
                <w:color w:val="000000"/>
                <w:sz w:val="22"/>
                <w:szCs w:val="22"/>
              </w:rPr>
              <w:t>30 %</w:t>
            </w:r>
          </w:p>
        </w:tc>
        <w:tc>
          <w:tcPr>
            <w:tcW w:w="964" w:type="dxa"/>
            <w:shd w:val="clear" w:color="auto" w:fill="auto"/>
            <w:noWrap/>
            <w:vAlign w:val="center"/>
          </w:tcPr>
          <w:p w14:paraId="4649BF8D" w14:textId="77777777" w:rsidR="00E83544" w:rsidRPr="00B96B9F" w:rsidRDefault="00E83544" w:rsidP="007C4202">
            <w:pPr>
              <w:pStyle w:val="UZEINormaln"/>
              <w:spacing w:before="0" w:after="0"/>
              <w:rPr>
                <w:color w:val="000000"/>
                <w:sz w:val="22"/>
              </w:rPr>
            </w:pPr>
            <w:r w:rsidRPr="00A07288">
              <w:rPr>
                <w:color w:val="000000"/>
                <w:sz w:val="22"/>
                <w:szCs w:val="22"/>
              </w:rPr>
              <w:t>13 %</w:t>
            </w:r>
          </w:p>
        </w:tc>
        <w:tc>
          <w:tcPr>
            <w:tcW w:w="964" w:type="dxa"/>
            <w:shd w:val="clear" w:color="auto" w:fill="auto"/>
            <w:noWrap/>
            <w:vAlign w:val="center"/>
          </w:tcPr>
          <w:p w14:paraId="16466003" w14:textId="77777777" w:rsidR="00E83544" w:rsidRPr="00B96B9F" w:rsidRDefault="00E83544" w:rsidP="007C4202">
            <w:pPr>
              <w:pStyle w:val="UZEINormaln"/>
              <w:spacing w:before="0" w:after="0"/>
              <w:rPr>
                <w:color w:val="000000"/>
                <w:sz w:val="22"/>
              </w:rPr>
            </w:pPr>
            <w:r w:rsidRPr="00A07288">
              <w:rPr>
                <w:color w:val="000000"/>
                <w:sz w:val="22"/>
                <w:szCs w:val="22"/>
              </w:rPr>
              <w:t>8 %</w:t>
            </w:r>
          </w:p>
        </w:tc>
        <w:tc>
          <w:tcPr>
            <w:tcW w:w="964" w:type="dxa"/>
            <w:shd w:val="clear" w:color="auto" w:fill="auto"/>
            <w:noWrap/>
            <w:vAlign w:val="center"/>
          </w:tcPr>
          <w:p w14:paraId="24DE1A20" w14:textId="77777777" w:rsidR="00E83544" w:rsidRPr="00B96B9F" w:rsidRDefault="00E83544" w:rsidP="007C4202">
            <w:pPr>
              <w:pStyle w:val="UZEINormaln"/>
              <w:spacing w:before="0" w:after="0"/>
              <w:rPr>
                <w:color w:val="000000"/>
                <w:sz w:val="22"/>
              </w:rPr>
            </w:pPr>
            <w:r w:rsidRPr="00A07288">
              <w:rPr>
                <w:color w:val="000000"/>
                <w:sz w:val="22"/>
                <w:szCs w:val="22"/>
              </w:rPr>
              <w:t>-1 %</w:t>
            </w:r>
          </w:p>
        </w:tc>
      </w:tr>
      <w:tr w:rsidR="00E83544" w:rsidRPr="00B96B9F" w14:paraId="35954DA0" w14:textId="77777777" w:rsidTr="007C4202">
        <w:trPr>
          <w:trHeight w:val="57"/>
        </w:trPr>
        <w:tc>
          <w:tcPr>
            <w:tcW w:w="4325" w:type="dxa"/>
            <w:shd w:val="clear" w:color="auto" w:fill="auto"/>
            <w:noWrap/>
            <w:vAlign w:val="center"/>
            <w:hideMark/>
          </w:tcPr>
          <w:p w14:paraId="5BF9B72F" w14:textId="77777777" w:rsidR="00E83544" w:rsidRPr="00B96B9F" w:rsidRDefault="00E83544" w:rsidP="007C4202">
            <w:pPr>
              <w:pStyle w:val="UZEINormaln"/>
              <w:spacing w:before="0" w:after="0"/>
              <w:rPr>
                <w:color w:val="000000"/>
                <w:sz w:val="22"/>
              </w:rPr>
            </w:pPr>
            <w:r w:rsidRPr="00A07288">
              <w:rPr>
                <w:color w:val="000000"/>
                <w:sz w:val="22"/>
                <w:szCs w:val="22"/>
              </w:rPr>
              <w:t>Dosažené snížení emisí v roce 2016 vyjádřené vůči emisím v roce 2005</w:t>
            </w:r>
          </w:p>
        </w:tc>
        <w:tc>
          <w:tcPr>
            <w:tcW w:w="964" w:type="dxa"/>
            <w:shd w:val="clear" w:color="auto" w:fill="auto"/>
            <w:noWrap/>
            <w:vAlign w:val="center"/>
            <w:hideMark/>
          </w:tcPr>
          <w:p w14:paraId="15F56982" w14:textId="77777777" w:rsidR="00E83544" w:rsidRPr="00B96B9F" w:rsidRDefault="00E83544" w:rsidP="007C4202">
            <w:pPr>
              <w:pStyle w:val="UZEINormaln"/>
              <w:spacing w:before="0" w:after="0"/>
              <w:rPr>
                <w:color w:val="000000"/>
                <w:sz w:val="22"/>
              </w:rPr>
            </w:pPr>
            <w:r w:rsidRPr="00A07288">
              <w:rPr>
                <w:color w:val="000000"/>
                <w:sz w:val="22"/>
                <w:szCs w:val="22"/>
              </w:rPr>
              <w:t>45 %</w:t>
            </w:r>
          </w:p>
        </w:tc>
        <w:tc>
          <w:tcPr>
            <w:tcW w:w="964" w:type="dxa"/>
            <w:shd w:val="clear" w:color="auto" w:fill="auto"/>
            <w:noWrap/>
            <w:vAlign w:val="center"/>
            <w:hideMark/>
          </w:tcPr>
          <w:p w14:paraId="02DD5521" w14:textId="77777777" w:rsidR="00E83544" w:rsidRPr="00B96B9F" w:rsidRDefault="00E83544" w:rsidP="007C4202">
            <w:pPr>
              <w:pStyle w:val="UZEINormaln"/>
              <w:spacing w:before="0" w:after="0"/>
              <w:rPr>
                <w:color w:val="000000"/>
                <w:sz w:val="22"/>
              </w:rPr>
            </w:pPr>
            <w:r w:rsidRPr="00A07288">
              <w:rPr>
                <w:color w:val="000000"/>
                <w:sz w:val="22"/>
                <w:szCs w:val="22"/>
              </w:rPr>
              <w:t>39 %</w:t>
            </w:r>
          </w:p>
        </w:tc>
        <w:tc>
          <w:tcPr>
            <w:tcW w:w="964" w:type="dxa"/>
            <w:shd w:val="clear" w:color="auto" w:fill="auto"/>
            <w:noWrap/>
            <w:vAlign w:val="center"/>
            <w:hideMark/>
          </w:tcPr>
          <w:p w14:paraId="00178F9C" w14:textId="77777777" w:rsidR="00E83544" w:rsidRPr="00B96B9F" w:rsidRDefault="00E83544" w:rsidP="007C4202">
            <w:pPr>
              <w:pStyle w:val="UZEINormaln"/>
              <w:spacing w:before="0" w:after="0"/>
              <w:rPr>
                <w:color w:val="000000"/>
                <w:sz w:val="22"/>
              </w:rPr>
            </w:pPr>
            <w:r w:rsidRPr="00A07288">
              <w:rPr>
                <w:color w:val="000000"/>
                <w:sz w:val="22"/>
                <w:szCs w:val="22"/>
              </w:rPr>
              <w:t>18 %</w:t>
            </w:r>
          </w:p>
        </w:tc>
        <w:tc>
          <w:tcPr>
            <w:tcW w:w="964" w:type="dxa"/>
            <w:shd w:val="clear" w:color="auto" w:fill="auto"/>
            <w:noWrap/>
            <w:vAlign w:val="center"/>
            <w:hideMark/>
          </w:tcPr>
          <w:p w14:paraId="22ED0521" w14:textId="77777777" w:rsidR="00E83544" w:rsidRPr="00B96B9F" w:rsidRDefault="00E83544" w:rsidP="007C4202">
            <w:pPr>
              <w:pStyle w:val="UZEINormaln"/>
              <w:spacing w:before="0" w:after="0"/>
              <w:rPr>
                <w:color w:val="000000"/>
                <w:sz w:val="22"/>
              </w:rPr>
            </w:pPr>
            <w:r w:rsidRPr="00A07288">
              <w:rPr>
                <w:color w:val="000000"/>
                <w:sz w:val="22"/>
                <w:szCs w:val="22"/>
              </w:rPr>
              <w:t>7 %</w:t>
            </w:r>
          </w:p>
        </w:tc>
        <w:tc>
          <w:tcPr>
            <w:tcW w:w="964" w:type="dxa"/>
            <w:shd w:val="clear" w:color="auto" w:fill="auto"/>
            <w:noWrap/>
            <w:vAlign w:val="center"/>
            <w:hideMark/>
          </w:tcPr>
          <w:p w14:paraId="79EA88F6" w14:textId="77777777" w:rsidR="00E83544" w:rsidRPr="00B96B9F" w:rsidRDefault="00E83544" w:rsidP="007C4202">
            <w:pPr>
              <w:pStyle w:val="UZEINormaln"/>
              <w:spacing w:before="0" w:after="0"/>
              <w:rPr>
                <w:color w:val="000000"/>
                <w:sz w:val="22"/>
              </w:rPr>
            </w:pPr>
            <w:r w:rsidRPr="00A07288">
              <w:rPr>
                <w:color w:val="000000"/>
                <w:sz w:val="22"/>
                <w:szCs w:val="22"/>
              </w:rPr>
              <w:t>9 %</w:t>
            </w:r>
          </w:p>
        </w:tc>
      </w:tr>
      <w:tr w:rsidR="00E83544" w:rsidRPr="00B96B9F" w14:paraId="54E801A1" w14:textId="77777777" w:rsidTr="007C4202">
        <w:trPr>
          <w:trHeight w:val="57"/>
        </w:trPr>
        <w:tc>
          <w:tcPr>
            <w:tcW w:w="4325" w:type="dxa"/>
            <w:tcBorders>
              <w:bottom w:val="single" w:sz="4" w:space="0" w:color="auto"/>
            </w:tcBorders>
            <w:shd w:val="clear" w:color="auto" w:fill="auto"/>
            <w:noWrap/>
            <w:vAlign w:val="center"/>
            <w:hideMark/>
          </w:tcPr>
          <w:p w14:paraId="3BCFC5EC" w14:textId="77777777" w:rsidR="00E83544" w:rsidRPr="00B96B9F" w:rsidRDefault="00E83544" w:rsidP="007C4202">
            <w:pPr>
              <w:pStyle w:val="UZEINormaln"/>
              <w:spacing w:before="0" w:after="0"/>
              <w:rPr>
                <w:color w:val="000000"/>
                <w:sz w:val="22"/>
              </w:rPr>
            </w:pPr>
            <w:r w:rsidRPr="00A07288">
              <w:rPr>
                <w:color w:val="000000"/>
                <w:sz w:val="22"/>
                <w:szCs w:val="22"/>
              </w:rPr>
              <w:t>Dosažené snížení emisí v roce 2020 vyjádřené vůči emisím v roce 2005</w:t>
            </w:r>
          </w:p>
        </w:tc>
        <w:tc>
          <w:tcPr>
            <w:tcW w:w="964" w:type="dxa"/>
            <w:tcBorders>
              <w:bottom w:val="single" w:sz="4" w:space="0" w:color="auto"/>
            </w:tcBorders>
            <w:shd w:val="clear" w:color="auto" w:fill="auto"/>
            <w:noWrap/>
            <w:vAlign w:val="center"/>
            <w:hideMark/>
          </w:tcPr>
          <w:p w14:paraId="2CE8BD8F" w14:textId="77777777" w:rsidR="00E83544" w:rsidRPr="00B96B9F" w:rsidRDefault="00E83544" w:rsidP="007C4202">
            <w:pPr>
              <w:pStyle w:val="UZEINormaln"/>
              <w:spacing w:before="0" w:after="0"/>
              <w:rPr>
                <w:color w:val="000000"/>
                <w:sz w:val="22"/>
              </w:rPr>
            </w:pPr>
            <w:r w:rsidRPr="00A07288">
              <w:rPr>
                <w:color w:val="000000"/>
                <w:sz w:val="22"/>
                <w:szCs w:val="22"/>
              </w:rPr>
              <w:t>15 %</w:t>
            </w:r>
          </w:p>
        </w:tc>
        <w:tc>
          <w:tcPr>
            <w:tcW w:w="964" w:type="dxa"/>
            <w:tcBorders>
              <w:bottom w:val="single" w:sz="4" w:space="0" w:color="auto"/>
            </w:tcBorders>
            <w:shd w:val="clear" w:color="auto" w:fill="auto"/>
            <w:noWrap/>
            <w:vAlign w:val="center"/>
            <w:hideMark/>
          </w:tcPr>
          <w:p w14:paraId="77BCF415" w14:textId="77777777" w:rsidR="00E83544" w:rsidRPr="00B96B9F" w:rsidRDefault="00E83544" w:rsidP="007C4202">
            <w:pPr>
              <w:pStyle w:val="UZEINormaln"/>
              <w:spacing w:before="0" w:after="0"/>
              <w:rPr>
                <w:color w:val="000000"/>
                <w:sz w:val="22"/>
              </w:rPr>
            </w:pPr>
            <w:r w:rsidRPr="00A07288">
              <w:rPr>
                <w:color w:val="000000"/>
                <w:sz w:val="22"/>
                <w:szCs w:val="22"/>
              </w:rPr>
              <w:t>9 %</w:t>
            </w:r>
          </w:p>
        </w:tc>
        <w:tc>
          <w:tcPr>
            <w:tcW w:w="964" w:type="dxa"/>
            <w:tcBorders>
              <w:bottom w:val="single" w:sz="4" w:space="0" w:color="auto"/>
            </w:tcBorders>
            <w:shd w:val="clear" w:color="auto" w:fill="auto"/>
            <w:noWrap/>
            <w:vAlign w:val="center"/>
            <w:hideMark/>
          </w:tcPr>
          <w:p w14:paraId="26ECC15E" w14:textId="77777777" w:rsidR="00E83544" w:rsidRPr="00B96B9F" w:rsidRDefault="00E83544" w:rsidP="007C4202">
            <w:pPr>
              <w:pStyle w:val="UZEINormaln"/>
              <w:spacing w:before="0" w:after="0"/>
              <w:rPr>
                <w:color w:val="000000"/>
                <w:sz w:val="22"/>
              </w:rPr>
            </w:pPr>
            <w:r w:rsidRPr="00A07288">
              <w:rPr>
                <w:color w:val="000000"/>
                <w:sz w:val="22"/>
                <w:szCs w:val="22"/>
              </w:rPr>
              <w:t>5 %</w:t>
            </w:r>
          </w:p>
        </w:tc>
        <w:tc>
          <w:tcPr>
            <w:tcW w:w="964" w:type="dxa"/>
            <w:tcBorders>
              <w:bottom w:val="single" w:sz="4" w:space="0" w:color="auto"/>
            </w:tcBorders>
            <w:shd w:val="clear" w:color="auto" w:fill="auto"/>
            <w:noWrap/>
            <w:vAlign w:val="center"/>
            <w:hideMark/>
          </w:tcPr>
          <w:p w14:paraId="63C2F0D0" w14:textId="77777777" w:rsidR="00E83544" w:rsidRPr="00B96B9F" w:rsidRDefault="00E83544" w:rsidP="007C4202">
            <w:pPr>
              <w:pStyle w:val="UZEINormaln"/>
              <w:spacing w:before="0" w:after="0"/>
              <w:rPr>
                <w:color w:val="000000"/>
                <w:sz w:val="22"/>
              </w:rPr>
            </w:pPr>
            <w:r w:rsidRPr="00A07288">
              <w:rPr>
                <w:color w:val="000000"/>
                <w:sz w:val="22"/>
                <w:szCs w:val="22"/>
              </w:rPr>
              <w:t>-1 %</w:t>
            </w:r>
          </w:p>
        </w:tc>
        <w:tc>
          <w:tcPr>
            <w:tcW w:w="964" w:type="dxa"/>
            <w:tcBorders>
              <w:bottom w:val="single" w:sz="4" w:space="0" w:color="auto"/>
            </w:tcBorders>
            <w:shd w:val="clear" w:color="auto" w:fill="auto"/>
            <w:noWrap/>
            <w:vAlign w:val="center"/>
            <w:hideMark/>
          </w:tcPr>
          <w:p w14:paraId="489D4835" w14:textId="77777777" w:rsidR="00E83544" w:rsidRPr="00B96B9F" w:rsidRDefault="00E83544" w:rsidP="007C4202">
            <w:pPr>
              <w:pStyle w:val="UZEINormaln"/>
              <w:spacing w:before="0" w:after="0"/>
              <w:rPr>
                <w:color w:val="000000"/>
                <w:sz w:val="22"/>
              </w:rPr>
            </w:pPr>
            <w:r w:rsidRPr="00A07288">
              <w:rPr>
                <w:color w:val="000000"/>
                <w:sz w:val="22"/>
                <w:szCs w:val="22"/>
              </w:rPr>
              <w:t>10 %</w:t>
            </w:r>
          </w:p>
        </w:tc>
      </w:tr>
    </w:tbl>
    <w:p w14:paraId="6393584D" w14:textId="77777777" w:rsidR="00E83544" w:rsidRPr="00B96B9F" w:rsidRDefault="00E83544" w:rsidP="00E83544">
      <w:pPr>
        <w:pStyle w:val="UZEIZdroj"/>
        <w:rPr>
          <w:i w:val="0"/>
          <w:sz w:val="22"/>
        </w:rPr>
      </w:pPr>
      <w:r w:rsidRPr="005D76FE">
        <w:t>Zdroj: MŽP ČR – Aktualizace národního programu snižování emisí ČR 2019 (analytická část – návrh)</w:t>
      </w:r>
    </w:p>
    <w:p w14:paraId="26AF6182" w14:textId="3B308E25" w:rsidR="00E83544" w:rsidRPr="00B96B9F" w:rsidRDefault="00E83544" w:rsidP="00E83544">
      <w:pPr>
        <w:pStyle w:val="UZEINormaln"/>
      </w:pPr>
      <w:r w:rsidRPr="00B96B9F">
        <w:t xml:space="preserve">Z tabulky </w:t>
      </w:r>
      <w:r>
        <w:t>91</w:t>
      </w:r>
      <w:r w:rsidRPr="00B96B9F">
        <w:t xml:space="preserve"> vyplývá, že u většiny znečišťujících látek je dosaženo adekvátního pokroku a zbývající část snížení je u SO</w:t>
      </w:r>
      <w:r w:rsidRPr="00B96B9F">
        <w:rPr>
          <w:vertAlign w:val="subscript"/>
        </w:rPr>
        <w:t>2</w:t>
      </w:r>
      <w:r w:rsidRPr="00B96B9F">
        <w:t>, NO</w:t>
      </w:r>
      <w:r w:rsidRPr="00B96B9F">
        <w:rPr>
          <w:vertAlign w:val="subscript"/>
        </w:rPr>
        <w:t>X</w:t>
      </w:r>
      <w:r w:rsidRPr="00B96B9F">
        <w:t>, NMVOC a PM</w:t>
      </w:r>
      <w:r w:rsidRPr="00B96B9F">
        <w:rPr>
          <w:vertAlign w:val="subscript"/>
        </w:rPr>
        <w:t>2,5</w:t>
      </w:r>
      <w:r w:rsidRPr="00B96B9F">
        <w:t xml:space="preserve"> menší než snížení, kterého již bylo v letech 2013–2016 dosaženo. U NH</w:t>
      </w:r>
      <w:r w:rsidRPr="00B96B9F">
        <w:rPr>
          <w:vertAlign w:val="subscript"/>
        </w:rPr>
        <w:t>3</w:t>
      </w:r>
      <w:r w:rsidRPr="00B96B9F">
        <w:t xml:space="preserve"> je situace odlišná, neboť mezi rokem 2013 a 2016 došlo k nepatrnému navýšení emisí.</w:t>
      </w:r>
    </w:p>
    <w:p w14:paraId="313C8268" w14:textId="77777777" w:rsidR="00E83544" w:rsidRPr="00B96B9F" w:rsidRDefault="00E83544" w:rsidP="00E83544">
      <w:pPr>
        <w:pStyle w:val="UZEINormaln"/>
      </w:pPr>
      <w:r w:rsidRPr="00B96B9F">
        <w:t>Lze očekávat také tlak na snižování emisí GHG ze zemědělství v rámci plnění závazků z Pařížské konference (2015) a s tím spojenou potřebu kvantifikace emisí GHG ze zemědělské činnosti – stanovení emisních faktorů pro GHG, zejména pak pro N</w:t>
      </w:r>
      <w:r w:rsidRPr="00B96B9F">
        <w:rPr>
          <w:vertAlign w:val="subscript"/>
        </w:rPr>
        <w:t>2</w:t>
      </w:r>
      <w:r w:rsidRPr="00B96B9F">
        <w:t>O a CH</w:t>
      </w:r>
      <w:r w:rsidRPr="00B96B9F">
        <w:rPr>
          <w:vertAlign w:val="subscript"/>
        </w:rPr>
        <w:t>4</w:t>
      </w:r>
      <w:r w:rsidRPr="00B96B9F">
        <w:t>.</w:t>
      </w:r>
    </w:p>
    <w:p w14:paraId="3F2C212D" w14:textId="77777777" w:rsidR="003E0F58" w:rsidRPr="007C705C" w:rsidRDefault="003E0F58" w:rsidP="008A1AE3">
      <w:pPr>
        <w:pStyle w:val="Odstavecseseznamem"/>
        <w:numPr>
          <w:ilvl w:val="0"/>
          <w:numId w:val="21"/>
        </w:numPr>
        <w:spacing w:before="60" w:line="360" w:lineRule="atLeast"/>
        <w:jc w:val="left"/>
        <w:rPr>
          <w:rFonts w:eastAsiaTheme="minorEastAsia"/>
          <w:b/>
          <w:bCs/>
        </w:rPr>
      </w:pPr>
      <w:r w:rsidRPr="007C705C">
        <w:rPr>
          <w:rFonts w:eastAsiaTheme="minorEastAsia"/>
          <w:b/>
          <w:bCs/>
        </w:rPr>
        <w:t xml:space="preserve">Nízký obsah organického uhlíku v půdě </w:t>
      </w:r>
    </w:p>
    <w:p w14:paraId="1B019989" w14:textId="77777777" w:rsidR="003E0F58" w:rsidRPr="007C705C" w:rsidRDefault="003E0F58" w:rsidP="008F1B21">
      <w:pPr>
        <w:pStyle w:val="UZEINormaln"/>
        <w:rPr>
          <w:rFonts w:eastAsiaTheme="minorEastAsia"/>
        </w:rPr>
      </w:pPr>
      <w:r w:rsidRPr="007C705C">
        <w:rPr>
          <w:rFonts w:eastAsiaTheme="minorEastAsia"/>
        </w:rPr>
        <w:t>V současnosti neřeší žádný právní předpis přímo problematiku sekvestrace uhlíku a emisí CO</w:t>
      </w:r>
      <w:r w:rsidRPr="007C705C">
        <w:rPr>
          <w:rFonts w:eastAsiaTheme="minorEastAsia"/>
          <w:vertAlign w:val="subscript"/>
        </w:rPr>
        <w:t xml:space="preserve">2 </w:t>
      </w:r>
      <w:r w:rsidRPr="007C705C">
        <w:rPr>
          <w:rFonts w:eastAsiaTheme="minorEastAsia"/>
        </w:rPr>
        <w:t xml:space="preserve">ze zemědělské půdy. </w:t>
      </w:r>
    </w:p>
    <w:p w14:paraId="276BDC9C" w14:textId="77777777" w:rsidR="003E0F58" w:rsidRPr="007C705C" w:rsidRDefault="003E0F58" w:rsidP="008F1B21">
      <w:pPr>
        <w:pStyle w:val="UZEINormaln"/>
        <w:rPr>
          <w:rFonts w:eastAsiaTheme="minorEastAsia"/>
        </w:rPr>
      </w:pPr>
      <w:r w:rsidRPr="007C705C">
        <w:rPr>
          <w:rFonts w:eastAsiaTheme="minorEastAsia"/>
        </w:rPr>
        <w:t xml:space="preserve">V rámci SZP problematiku sekvestrace uhlíku částečně řeší dotace na tzv. ozelenění – greening a to jak plochy v ekologickém zájmu (EFA), tak i pěstování meziplodin. Obecně lze shrnout, že tato opatření jdou správným směrem, ale neřeší problematiku komplexně a v řadě případů jsou pravidla nastavena tak, že opatření nesplňují svůj účel. Typickým příkladem je pěstování meziplodin u ozimé varianty výsevu, která v důsledku znamená jen velmi malou tvorbu biomasy, krátkou dobu ochrany před erozí (a to relativně slabou vzhledem k nízké pokryvnosti). Navíc následné zapravení do půdy vede k velmi rychlému rozkladu. </w:t>
      </w:r>
    </w:p>
    <w:p w14:paraId="6FFB1D38" w14:textId="77777777" w:rsidR="003E0F58" w:rsidRPr="007C705C" w:rsidRDefault="003E0F58" w:rsidP="008F1B21">
      <w:pPr>
        <w:pStyle w:val="UZEINormaln"/>
        <w:rPr>
          <w:rFonts w:eastAsiaTheme="minorEastAsia"/>
        </w:rPr>
      </w:pPr>
      <w:r w:rsidRPr="007C705C">
        <w:rPr>
          <w:rFonts w:eastAsiaTheme="minorEastAsia"/>
        </w:rPr>
        <w:t>V rámci EU je tato problematika asi nejlépe řešena ve Francii programem 4 per 1000, jehož cílem je zvýšení obsahu organického uhlíku v půdě 0.4 % za rok, což je množství, které by umožňovalo kompenzovat globální emise skleníkových plynů.</w:t>
      </w:r>
    </w:p>
    <w:p w14:paraId="0F9CD14D" w14:textId="4999E049" w:rsidR="003E0F58" w:rsidRPr="007C705C" w:rsidRDefault="003E0F58" w:rsidP="008F1B21">
      <w:pPr>
        <w:pStyle w:val="UZEINormaln"/>
        <w:rPr>
          <w:rFonts w:eastAsiaTheme="minorEastAsia"/>
        </w:rPr>
      </w:pPr>
      <w:r w:rsidRPr="007C705C">
        <w:rPr>
          <w:rFonts w:eastAsiaTheme="minorEastAsia"/>
        </w:rPr>
        <w:t>DZES 4, 5 ,6 a 7 (půda a zásoby C), viz. nařízení vlády č.</w:t>
      </w:r>
      <w:r w:rsidR="00315A11">
        <w:rPr>
          <w:rFonts w:eastAsiaTheme="minorEastAsia"/>
        </w:rPr>
        <w:t xml:space="preserve"> 48/</w:t>
      </w:r>
      <w:r w:rsidRPr="007C705C">
        <w:rPr>
          <w:rFonts w:eastAsiaTheme="minorEastAsia"/>
        </w:rPr>
        <w:t>2017 Sb</w:t>
      </w:r>
      <w:r w:rsidR="00315A11">
        <w:rPr>
          <w:rFonts w:eastAsiaTheme="minorEastAsia"/>
        </w:rPr>
        <w:t>.</w:t>
      </w:r>
    </w:p>
    <w:p w14:paraId="0E163671" w14:textId="77777777" w:rsidR="003E0F58" w:rsidRPr="007C705C" w:rsidRDefault="003E0F58" w:rsidP="003E0F58">
      <w:pPr>
        <w:ind w:firstLine="360"/>
        <w:rPr>
          <w:rFonts w:eastAsiaTheme="minorEastAsia" w:cs="Times New Roman"/>
          <w:b/>
          <w:bCs/>
          <w:lang w:val="cs-CZ"/>
        </w:rPr>
      </w:pPr>
      <w:r w:rsidRPr="007C705C">
        <w:rPr>
          <w:rFonts w:eastAsiaTheme="minorEastAsia" w:cs="Times New Roman"/>
          <w:b/>
          <w:bCs/>
          <w:u w:val="single"/>
          <w:lang w:val="cs-CZ"/>
        </w:rPr>
        <w:t>za oblast OZE</w:t>
      </w:r>
    </w:p>
    <w:p w14:paraId="05333AC3" w14:textId="77777777" w:rsidR="003E0F58" w:rsidRPr="007C705C" w:rsidRDefault="003E0F58" w:rsidP="008A1AE3">
      <w:pPr>
        <w:pStyle w:val="Odstavecseseznamem"/>
        <w:numPr>
          <w:ilvl w:val="0"/>
          <w:numId w:val="21"/>
        </w:numPr>
        <w:spacing w:before="60" w:line="360" w:lineRule="atLeast"/>
        <w:rPr>
          <w:rFonts w:eastAsiaTheme="minorEastAsia"/>
          <w:b/>
          <w:bCs/>
        </w:rPr>
      </w:pPr>
      <w:r w:rsidRPr="007C705C">
        <w:rPr>
          <w:rFonts w:eastAsiaTheme="minorEastAsia"/>
          <w:b/>
          <w:bCs/>
        </w:rPr>
        <w:t>Nevyužitý potenciál a neefektivní výroba energií z OZE v zemědělství a lesnictví</w:t>
      </w:r>
    </w:p>
    <w:p w14:paraId="1961F6AD" w14:textId="77777777" w:rsidR="003E0F58" w:rsidRPr="007C705C" w:rsidRDefault="003E0F58" w:rsidP="008F1B21">
      <w:pPr>
        <w:pStyle w:val="UZEINormaln"/>
        <w:rPr>
          <w:rFonts w:eastAsiaTheme="minorEastAsia"/>
        </w:rPr>
      </w:pPr>
      <w:r w:rsidRPr="007C705C">
        <w:rPr>
          <w:rFonts w:eastAsiaTheme="minorEastAsia"/>
        </w:rPr>
        <w:t>Zákon č. 180/2005 Sb., o podpoře výroby elektřiny z obnovitelných zdrojů a Zákon č. 165/2012 Sb., o podporovaných zdrojích energie. Účelem těchto zákonů je v zájmu ochrany klimatu a ochrany životního prostředí podpořit využití obnovitelných zdrojů energie, zajistit trvalé zvyšování podílu obnovitelných zdrojů na spotřebě primárních energetických zdrojů, přispět k šetrnému využívání přírodních zdrojů a k trvale udržitelnému rozvoji společnosti, vytvořit podmínky pro naplnění indikativního cíle podílu energie z obnovitelných zdrojů na hrubé spotřebě energie v České republice a vytvořit podmínky pro další zvyšování tohoto podílu.</w:t>
      </w:r>
    </w:p>
    <w:p w14:paraId="5E41084A" w14:textId="77777777" w:rsidR="003E0F58" w:rsidRPr="007C705C" w:rsidRDefault="003E0F58" w:rsidP="008F1B21">
      <w:pPr>
        <w:pStyle w:val="UZEINormaln"/>
        <w:rPr>
          <w:rFonts w:eastAsiaTheme="minorEastAsia"/>
        </w:rPr>
      </w:pPr>
      <w:r w:rsidRPr="007C705C">
        <w:rPr>
          <w:rFonts w:eastAsiaTheme="minorEastAsia"/>
        </w:rPr>
        <w:lastRenderedPageBreak/>
        <w:t>Zákon č. 406/2000 Sb., o hospodaření energií, ve znění pozdějších předpisů. Zákon stanoví práva a povinnosti fyzických a právnických osob při nakládání s energií, zejména elektrickou a tepelnou, a dále s plynem a dalšími palivy. Tím zajišťuje šetrné využívání zdrojů energií a zamezuje plýtvání těmito zdroji.</w:t>
      </w:r>
    </w:p>
    <w:p w14:paraId="7FE7D69F" w14:textId="77777777" w:rsidR="003E0F58" w:rsidRPr="007C705C" w:rsidRDefault="003E0F58" w:rsidP="008F1B21">
      <w:pPr>
        <w:pStyle w:val="UZEINormaln"/>
        <w:rPr>
          <w:rFonts w:eastAsiaTheme="minorEastAsia"/>
        </w:rPr>
      </w:pPr>
      <w:r w:rsidRPr="007C705C">
        <w:rPr>
          <w:rFonts w:eastAsiaTheme="minorEastAsia"/>
        </w:rPr>
        <w:t>Zákon č. 458/2000 Sb. o podmínkách podnikání a o výkonu státní správy v energetických odvětvích a o změně některých zákonů, ve znění pozdějších předpisů (energetický zákon). Zákon upravuje podmínky podnikání, výkon státní správy a regulaci v energetických odvětvích, kterými jsou elektroenergetika, plynárenství a teplárenství.</w:t>
      </w:r>
    </w:p>
    <w:p w14:paraId="3D4640F1" w14:textId="066936D9" w:rsidR="003E0F58" w:rsidRPr="008F1B21" w:rsidRDefault="003E0F58" w:rsidP="008F1B21">
      <w:pPr>
        <w:spacing w:after="160" w:line="259" w:lineRule="auto"/>
        <w:jc w:val="left"/>
        <w:rPr>
          <w:rFonts w:eastAsiaTheme="minorEastAsia" w:cs="Times New Roman"/>
          <w:b/>
          <w:bCs/>
          <w:szCs w:val="20"/>
          <w:lang w:val="cs-CZ"/>
        </w:rPr>
      </w:pPr>
    </w:p>
    <w:p w14:paraId="672CF95A" w14:textId="09DD8FAA" w:rsidR="003E0F58" w:rsidRPr="005D3D0A" w:rsidRDefault="003E0F58" w:rsidP="005D3D0A">
      <w:pPr>
        <w:pStyle w:val="Nadpis1"/>
      </w:pPr>
      <w:bookmarkStart w:id="520" w:name="_Toc23326660"/>
      <w:bookmarkStart w:id="521" w:name="_Toc23327267"/>
      <w:bookmarkStart w:id="522" w:name="_Toc77245900"/>
      <w:bookmarkStart w:id="523" w:name="_Toc81343106"/>
      <w:bookmarkStart w:id="524" w:name="_Toc81343169"/>
      <w:bookmarkStart w:id="525" w:name="_Toc81343238"/>
      <w:bookmarkStart w:id="526" w:name="_Toc94181687"/>
      <w:r w:rsidRPr="008F1B21">
        <w:t>Předpokládaný vývoj situace bez zavedení příslušných intervencí</w:t>
      </w:r>
      <w:bookmarkEnd w:id="520"/>
      <w:bookmarkEnd w:id="521"/>
      <w:bookmarkEnd w:id="522"/>
      <w:bookmarkEnd w:id="523"/>
      <w:bookmarkEnd w:id="524"/>
      <w:bookmarkEnd w:id="525"/>
      <w:bookmarkEnd w:id="526"/>
      <w:r w:rsidRPr="008F1B21">
        <w:tab/>
      </w:r>
    </w:p>
    <w:p w14:paraId="4366D20E" w14:textId="77777777" w:rsidR="003E0F58" w:rsidRPr="007C705C" w:rsidRDefault="003E0F58" w:rsidP="003E0F58">
      <w:pPr>
        <w:jc w:val="left"/>
        <w:rPr>
          <w:rFonts w:cs="Times New Roman"/>
          <w:lang w:val="cs-CZ"/>
        </w:rPr>
      </w:pPr>
      <w:r w:rsidRPr="007C705C">
        <w:rPr>
          <w:rFonts w:cs="Times New Roman"/>
          <w:b/>
          <w:lang w:val="cs-CZ"/>
        </w:rPr>
        <w:t>KLIMA:</w:t>
      </w:r>
    </w:p>
    <w:p w14:paraId="5A952D30" w14:textId="77777777" w:rsidR="003E0F58" w:rsidRPr="007C705C" w:rsidRDefault="003E0F58" w:rsidP="008A1AE3">
      <w:pPr>
        <w:pStyle w:val="Odstavecseseznamem"/>
        <w:numPr>
          <w:ilvl w:val="0"/>
          <w:numId w:val="23"/>
        </w:numPr>
        <w:spacing w:before="60" w:line="360" w:lineRule="atLeast"/>
        <w:rPr>
          <w:b/>
          <w:bCs/>
          <w:lang w:eastAsia="x-none"/>
        </w:rPr>
      </w:pPr>
      <w:r w:rsidRPr="007C705C">
        <w:rPr>
          <w:b/>
          <w:bCs/>
          <w:lang w:eastAsia="x-none"/>
        </w:rPr>
        <w:t>Nízká odolnost zemědělských podniků vůči klimatickým změnám</w:t>
      </w:r>
    </w:p>
    <w:p w14:paraId="27F37CEE" w14:textId="13DD166C" w:rsidR="003E0F58" w:rsidRPr="007C705C" w:rsidRDefault="003E0F58" w:rsidP="005D3D0A">
      <w:pPr>
        <w:pStyle w:val="UZEIOdrky"/>
        <w:rPr>
          <w:lang w:eastAsia="x-none"/>
        </w:rPr>
      </w:pPr>
      <w:r w:rsidRPr="007C705C">
        <w:rPr>
          <w:rFonts w:eastAsiaTheme="minorEastAsia"/>
        </w:rPr>
        <w:t>Narůstající teploty a klesající výnosy zemědělských plodin</w:t>
      </w:r>
    </w:p>
    <w:p w14:paraId="430C7EEB" w14:textId="77777777" w:rsidR="003E0F58" w:rsidRPr="007C705C" w:rsidRDefault="003E0F58" w:rsidP="005D3D0A">
      <w:pPr>
        <w:pStyle w:val="UZEINormaln"/>
        <w:rPr>
          <w:rFonts w:eastAsiaTheme="minorEastAsia"/>
        </w:rPr>
      </w:pPr>
      <w:r w:rsidRPr="007C705C">
        <w:rPr>
          <w:rFonts w:eastAsiaTheme="minorEastAsia"/>
        </w:rPr>
        <w:t>Pokračovala by situace pěstování odrůd pouze na základě hospodářských výsledků, která ovšem v nepříznivých letech znamená dramatický pokles výnosů. Pokud nebudou k dispozici odrůdy s odolností vůči suchu a vysokým teplotám a nebudou ani k dispozici podklady pro výběr odrůd na základě jejich odolnosti ke stresovým podmínkám, může to pro řadu podniků znamenat obrovské propady produkce, které mohou být likvidační. V závislosti na délce a intenzitě stresu sucha a vysokých teplot může pokles produkce přesáhnout i 80 % (Hlaváčová et al. 2017). Použití vhodných odrůd ovšem může tento negativní dopad snížit až o polovinu.</w:t>
      </w:r>
    </w:p>
    <w:p w14:paraId="516DC9A6" w14:textId="18016A48" w:rsidR="003E0F58" w:rsidRPr="005D3D0A" w:rsidRDefault="003E0F58" w:rsidP="005D3D0A">
      <w:pPr>
        <w:pStyle w:val="UZEIOdrky"/>
        <w:rPr>
          <w:rFonts w:eastAsiaTheme="minorEastAsia"/>
        </w:rPr>
      </w:pPr>
      <w:r w:rsidRPr="005D3D0A">
        <w:rPr>
          <w:rFonts w:eastAsiaTheme="minorEastAsia"/>
        </w:rPr>
        <w:t>Šíření nových chorob, škůdců a plevelů</w:t>
      </w:r>
    </w:p>
    <w:p w14:paraId="7BDDBBB2" w14:textId="77777777" w:rsidR="003E0F58" w:rsidRPr="005D3D0A" w:rsidRDefault="003E0F58" w:rsidP="005D3D0A">
      <w:pPr>
        <w:pStyle w:val="UZEINormaln"/>
        <w:rPr>
          <w:rFonts w:eastAsiaTheme="minorEastAsia"/>
        </w:rPr>
      </w:pPr>
      <w:r w:rsidRPr="005D3D0A">
        <w:rPr>
          <w:rFonts w:eastAsiaTheme="minorEastAsia"/>
        </w:rPr>
        <w:t xml:space="preserve">V důsledku pomalého vývoje expertního systému a jeho mizivého využití praxí by docházelo ke stále rychlejšímu šíření škůdců. </w:t>
      </w:r>
    </w:p>
    <w:p w14:paraId="04768611" w14:textId="77777777" w:rsidR="003E0F58" w:rsidRPr="005D3D0A" w:rsidRDefault="003E0F58" w:rsidP="005D3D0A">
      <w:pPr>
        <w:pStyle w:val="UZEINormaln"/>
        <w:rPr>
          <w:rFonts w:eastAsiaTheme="minorEastAsia"/>
        </w:rPr>
      </w:pPr>
      <w:r w:rsidRPr="005D3D0A">
        <w:rPr>
          <w:rFonts w:eastAsiaTheme="minorEastAsia"/>
        </w:rPr>
        <w:t>Šlechtění a zavádění nových zahraničních odrůd se specifickou odolností na nově se rozšiřující škodlivé organismy by probíhalo se zpožděním až v reakci na závažné ztráty způsobené v praxi. To by mohlo znamenat v některých případech celorepublikové ztráty na výnosech až na úrovni několika desítek procent.</w:t>
      </w:r>
    </w:p>
    <w:p w14:paraId="5201EAF4" w14:textId="09570302" w:rsidR="003E0F58" w:rsidRPr="007C705C" w:rsidRDefault="003E0F58" w:rsidP="005D3D0A">
      <w:pPr>
        <w:pStyle w:val="UZEIOdrky"/>
        <w:rPr>
          <w:u w:val="single"/>
          <w:lang w:eastAsia="x-none"/>
        </w:rPr>
      </w:pPr>
      <w:bookmarkStart w:id="527" w:name="_Hlk525815803"/>
      <w:r w:rsidRPr="007C705C">
        <w:rPr>
          <w:rFonts w:eastAsiaTheme="minorEastAsia"/>
        </w:rPr>
        <w:t>Nepříznivé trendy změny klimatu a vodní bilance půd + negativní dopady zemědělského sucha</w:t>
      </w:r>
      <w:bookmarkEnd w:id="527"/>
    </w:p>
    <w:p w14:paraId="2E9F75FF" w14:textId="77777777" w:rsidR="003E0F58" w:rsidRPr="007C705C" w:rsidRDefault="003E0F58" w:rsidP="005D3D0A">
      <w:pPr>
        <w:pStyle w:val="UZEINormaln"/>
        <w:rPr>
          <w:rFonts w:eastAsiaTheme="minorEastAsia"/>
        </w:rPr>
      </w:pPr>
      <w:r w:rsidRPr="007C705C">
        <w:rPr>
          <w:rFonts w:eastAsiaTheme="minorEastAsia"/>
        </w:rPr>
        <w:t>Na základě simulací modelem HERMES je pravděpodobné, že současné způsoby hospodaření na orné půdě ve spojení se změnou klimatu povedou k poklesu obsahu kvalitní organické hmoty v půdě (Hlavinka et al., 2017). Zastavení těchto trendů je však velmi komplikované. Jednou z cest by mohlo být zvýšení podílu víceletých pícnin, zde se však naráží na otázky jejich využití v souvislosti se stavem ŽV. Alternativou by mohlo být energetické využití takto vypěstované biomasy. Další možností je dodávat do půdy jiný zdroj organické hmoty, nejlépe ve stabilizované formě. Např. v oblasti aplikace biouhlu ještě nejsou dle probíhajících výzkumů zmapovány veškeré aspekty takových postupů. To si společně s dobudováním výrobních kapacit vyžádá ještě čas v řádu let.</w:t>
      </w:r>
    </w:p>
    <w:p w14:paraId="367E8BEF" w14:textId="32D31C3A" w:rsidR="003E0F58" w:rsidRPr="007C705C" w:rsidRDefault="003E0F58" w:rsidP="005D3D0A">
      <w:pPr>
        <w:pStyle w:val="UZEIOdrky"/>
        <w:rPr>
          <w:lang w:eastAsia="x-none"/>
        </w:rPr>
      </w:pPr>
      <w:r w:rsidRPr="007C705C">
        <w:rPr>
          <w:rFonts w:eastAsiaTheme="minorEastAsia"/>
        </w:rPr>
        <w:t>Riziko vodní eroze a dalších degradačních faktorů</w:t>
      </w:r>
    </w:p>
    <w:p w14:paraId="2FCB1090" w14:textId="77777777" w:rsidR="003E0F58" w:rsidRPr="007C705C" w:rsidRDefault="003E0F58" w:rsidP="005D3D0A">
      <w:pPr>
        <w:pStyle w:val="UZEINormaln"/>
        <w:rPr>
          <w:rFonts w:eastAsiaTheme="minorEastAsia"/>
        </w:rPr>
      </w:pPr>
      <w:r w:rsidRPr="007C705C">
        <w:rPr>
          <w:rFonts w:eastAsiaTheme="minorEastAsia"/>
        </w:rPr>
        <w:t xml:space="preserve">V současné době je maximální ztráta půdy v ČR vyčíslena na přibližně 21 mil. tun ornice za rok, což lze vyjádřit jako ztrátu minimálně 4,2 mld. Kč ročně. Je potřeba zdůraznit, že se nejedná o vyčíslení škod způsobených na majetku, ale pouze o finanční vyjádření ztráty půdy na základě ceny zeminy. (V případě započítání i těchto nákladů jsou škody odhadovány až na úrovni 10 mld. Kč ročně.) Škody způsobené větrnou erozí se odhadují při započtení nákladů na </w:t>
      </w:r>
      <w:r w:rsidRPr="007C705C">
        <w:rPr>
          <w:rFonts w:eastAsiaTheme="minorEastAsia"/>
        </w:rPr>
        <w:lastRenderedPageBreak/>
        <w:t>majetku cca 1 mld. Kč. Další významné degradační projevy (dehumifikace, acidifikace, utužení) nebyly přesně vyčísleny. V kritickém klimatickém scénáři je možné predikovat, že současné náklady na sanaci škod způsobených vodní a větrnou erozí se bez užití adaptačních opatření se mohou do roku 2030 až zdvojnásobit. Celkový objem škod tak může dosahovat až 22 mld. Kč/ rok (</w:t>
      </w:r>
      <w:hyperlink r:id="rId46" w:history="1">
        <w:r w:rsidRPr="007C705C">
          <w:rPr>
            <w:rStyle w:val="Hypertextovodkaz"/>
            <w:rFonts w:eastAsiaTheme="minorEastAsia" w:cs="Times New Roman"/>
          </w:rPr>
          <w:t>http://eagri.cz/public/web/mze/puda/ochrana-pudy-a-krajiny/degradace-pud/vodni-eroze-pudy/</w:t>
        </w:r>
      </w:hyperlink>
      <w:r w:rsidRPr="007C705C">
        <w:rPr>
          <w:rFonts w:eastAsiaTheme="minorEastAsia"/>
        </w:rPr>
        <w:t>).</w:t>
      </w:r>
    </w:p>
    <w:p w14:paraId="1C473BC2" w14:textId="67EEA620" w:rsidR="003E0F58" w:rsidRPr="007C705C" w:rsidRDefault="003E0F58" w:rsidP="005D3D0A">
      <w:pPr>
        <w:pStyle w:val="UZEIOdrky"/>
      </w:pPr>
      <w:r w:rsidRPr="007C705C">
        <w:t>Nevhodné nakládání se srážkovou vodu v krajině (přes 1 mil ha odvodněno</w:t>
      </w:r>
      <w:r w:rsidRPr="007C705C">
        <w:rPr>
          <w:rStyle w:val="Znakapoznpodarou"/>
          <w:lang w:eastAsia="x-none"/>
        </w:rPr>
        <w:footnoteReference w:id="13"/>
      </w:r>
      <w:r w:rsidRPr="007C705C">
        <w:t>, utužená půda, zrušeny krajinné prvky)</w:t>
      </w:r>
    </w:p>
    <w:p w14:paraId="73CC33FA" w14:textId="77777777" w:rsidR="003E0F58" w:rsidRPr="007C705C" w:rsidRDefault="003E0F58" w:rsidP="005D3D0A">
      <w:pPr>
        <w:pStyle w:val="UZEINormaln"/>
        <w:rPr>
          <w:rFonts w:eastAsiaTheme="minorEastAsia"/>
        </w:rPr>
      </w:pPr>
      <w:r w:rsidRPr="007C705C">
        <w:rPr>
          <w:rFonts w:eastAsiaTheme="minorEastAsia"/>
        </w:rPr>
        <w:t xml:space="preserve">Vodní režim české krajiny prošel v průběhu 20. století zcela zásadní proměnou. Tato proměna úzce souvisí se změnami uspořádání krajiny, výstavbou dopravní infrastruktury, rozšiřováním zástavby (20 ha orné půdy denně je zastaveno (SPU)), devastací rozsáhlých ploch v těžebních oblastech, intenzifikací zemědělského hospodaření, odvodňováním (25 % ZPF, VUMOP, v.v.i.), scelováním a rozoráváním pozemků, zhoršením struktury zemědělské půdy, změnou skladby lesa a regulaci vodotečí. V důsledku těchto a dalších necitlivých zásahů do vodního režimu krajiny a v kombinaci s možnými účinky klimatické změny stále dochází k negativním projevům povodní a hydrologického sucha s následujícími dopady: zabahňování vodotečí a vodních nádrží (196 236 m3 k roku 2005, Povodí, a.s.), splachy ornice do intravilánu obcí, škody na majetku občanů, institucí a společností, snižování úrodnosti a výnosovosti zemědělského půdního fondu, těžebně dopravní eroze na lesní půdě, zhoršení pedohydrologické bilance, snižování hladiny podzemní vody a rozšiřování aridních oblastí na našem území. </w:t>
      </w:r>
    </w:p>
    <w:p w14:paraId="7BF2E7FE" w14:textId="77777777" w:rsidR="003E0F58" w:rsidRPr="007C705C" w:rsidRDefault="003E0F58" w:rsidP="005D3D0A">
      <w:pPr>
        <w:pStyle w:val="UZEINormaln"/>
        <w:rPr>
          <w:lang w:eastAsia="x-none"/>
        </w:rPr>
      </w:pPr>
      <w:r w:rsidRPr="007C705C">
        <w:rPr>
          <w:rFonts w:eastAsiaTheme="minorEastAsia"/>
        </w:rPr>
        <w:t>Je zřejmé, že adaptace na změnu klimatu představuje pro naše území výzvu 21. století stejně jako pro území Evropy. Česká krajina zatím není připravena na stávající a budoucí výkyvy srážkové činnosti a delší periody sucha.</w:t>
      </w:r>
    </w:p>
    <w:p w14:paraId="30BAE3F3" w14:textId="4967F749" w:rsidR="003E0F58" w:rsidRPr="007C705C" w:rsidRDefault="003E0F58" w:rsidP="005D3D0A">
      <w:pPr>
        <w:pStyle w:val="UZEIOdrky"/>
      </w:pPr>
      <w:r w:rsidRPr="007C705C">
        <w:t>Zvyšování teplot</w:t>
      </w:r>
    </w:p>
    <w:p w14:paraId="0CC7B1AE" w14:textId="77777777" w:rsidR="003E0F58" w:rsidRPr="007C705C" w:rsidRDefault="003E0F58" w:rsidP="005D3D0A">
      <w:pPr>
        <w:pStyle w:val="UZEINormaln"/>
      </w:pPr>
      <w:r w:rsidRPr="007C705C">
        <w:rPr>
          <w:rFonts w:eastAsiaTheme="minorEastAsia"/>
        </w:rPr>
        <w:t>Vegetační stupně, agroklimatické podmínky vymezující výrobní oblasti a areály druhů se budou posouvat na sever a/nebo do vyšších nadmořských výšek. Očekávaný nárůst teploty povede k výraznému prodloužení vegetačního období, a to o 10 až 21 dní do roku 2020 a o více než jeden měsíc v horizontu roku 2050 ve srovnání s obdobím 1961-1990 (Pretel, 2011). Efektivní délka vegetačního období se však na řadě míst bude snižovat v důsledku kombinace vyšší teploty, sucha a snížení množství dešťových srážek. Druhová skladba společenstev se bude měnit ve prospěch teplomilných druhů. Malé průtoky, snížení rychlosti proudění vody a zvýšená teplota vody způsobí, že voda bude mít v řekách a vodních nádržích delší dobu zdržení a bude se více prohřívat, což jsou obecně hlavní důvody snížení kvality povrchových vod a její dostupnosti pro technologické účely (závlahy, chlazení průmyslových procesů). Mezi další negativní dopady související se zvyšováním teploty patří šíření škodlivých organismů rostlin, přenašečů infekcí, hub a dalších patogenů, a to ve směru severním a do vyšších nadmořských výšek. Zvyšování teplot povede také k množení choroboplodných zárodků v prostředí. Výrazným problémem do budoucna pro živočišnou výrobu a životní podmínky obyvatelstva je také zvyšování četnosti výskytu období s velmi vysokými denními teplotami vzduchu (tzv. horké vlny).</w:t>
      </w:r>
    </w:p>
    <w:p w14:paraId="63F80FDD" w14:textId="2801A8BC" w:rsidR="003E0F58" w:rsidRPr="007C705C" w:rsidRDefault="003E0F58" w:rsidP="005D3D0A">
      <w:pPr>
        <w:pStyle w:val="UZEIOdrky"/>
        <w:rPr>
          <w:rFonts w:eastAsiaTheme="minorEastAsia"/>
        </w:rPr>
      </w:pPr>
      <w:r w:rsidRPr="007C705C">
        <w:rPr>
          <w:rFonts w:eastAsiaTheme="minorEastAsia"/>
        </w:rPr>
        <w:t>Výskyt extrémních srážek</w:t>
      </w:r>
    </w:p>
    <w:p w14:paraId="3E857F35" w14:textId="77777777" w:rsidR="003E0F58" w:rsidRPr="007C705C" w:rsidRDefault="003E0F58" w:rsidP="005D3D0A">
      <w:pPr>
        <w:pStyle w:val="UZEINormaln"/>
        <w:rPr>
          <w:rFonts w:eastAsiaTheme="minorEastAsia"/>
        </w:rPr>
      </w:pPr>
      <w:r w:rsidRPr="007C705C">
        <w:rPr>
          <w:rFonts w:eastAsiaTheme="minorEastAsia"/>
        </w:rPr>
        <w:t>Vyplývá z ostatních bodů.</w:t>
      </w:r>
    </w:p>
    <w:p w14:paraId="226DD9A4" w14:textId="62B2EF43" w:rsidR="003E0F58" w:rsidRPr="007C705C" w:rsidRDefault="003E0F58" w:rsidP="005D3D0A">
      <w:pPr>
        <w:pStyle w:val="UZEIOdrky"/>
        <w:rPr>
          <w:rFonts w:eastAsiaTheme="minorEastAsia"/>
        </w:rPr>
      </w:pPr>
      <w:r w:rsidRPr="007C705C">
        <w:rPr>
          <w:rFonts w:eastAsiaTheme="minorEastAsia"/>
        </w:rPr>
        <w:t>Výskyt extrémních rychlostí větru</w:t>
      </w:r>
    </w:p>
    <w:p w14:paraId="6B4323B2" w14:textId="77777777" w:rsidR="003E0F58" w:rsidRPr="007C705C" w:rsidRDefault="003E0F58" w:rsidP="005D3D0A">
      <w:pPr>
        <w:pStyle w:val="UZEINormaln"/>
        <w:rPr>
          <w:rFonts w:eastAsiaTheme="minorEastAsia"/>
        </w:rPr>
      </w:pPr>
      <w:r w:rsidRPr="007C705C">
        <w:rPr>
          <w:rFonts w:eastAsiaTheme="minorEastAsia"/>
        </w:rPr>
        <w:lastRenderedPageBreak/>
        <w:t>Vyplývá z ostatních bodů.</w:t>
      </w:r>
    </w:p>
    <w:p w14:paraId="09BD4992" w14:textId="0591DBAC" w:rsidR="003E0F58" w:rsidRPr="007C705C" w:rsidRDefault="003E0F58" w:rsidP="005D3D0A">
      <w:pPr>
        <w:pStyle w:val="UZEIOdrky"/>
        <w:rPr>
          <w:rFonts w:eastAsiaTheme="minorEastAsia"/>
        </w:rPr>
      </w:pPr>
      <w:r w:rsidRPr="007C705C">
        <w:rPr>
          <w:rFonts w:eastAsiaTheme="minorEastAsia"/>
        </w:rPr>
        <w:t>Snižování zásob vody v půdě</w:t>
      </w:r>
    </w:p>
    <w:p w14:paraId="7459AC8E" w14:textId="3238523F" w:rsidR="003E0F58" w:rsidRPr="005D3D0A" w:rsidRDefault="003E0F58" w:rsidP="005D3D0A">
      <w:pPr>
        <w:pStyle w:val="UZEINormaln"/>
        <w:rPr>
          <w:rFonts w:eastAsiaTheme="minorEastAsia"/>
        </w:rPr>
      </w:pPr>
      <w:r w:rsidRPr="007C705C">
        <w:rPr>
          <w:rFonts w:eastAsiaTheme="minorEastAsia"/>
        </w:rPr>
        <w:t>Mezi hlavní projevy změny klimatu, které budou pro lesní hospodářství představovat riziko, patří výraznější pokles srážek v letním období, zvýšení teploty, zvýšená frekvence období sucha a prodlužování jeho délky a zvýšená evapotranspirace. Tím tyto projevy představují pro lesní hospodářství řadu kombinovaných rizik, která mohou lesní porosty v dlouhodobém horizontu negativně ovlivnit. Lesní porosty se v některých oblastech v důsledku těchto projevů dostanou mimo své klimatické optimum. Za nejvíce náchylnou dřevinu je na území ČR považován smrk zejména v případě monokulturních porostů na nevhodných stanovištích. Uvedené projevy změny klimatu v kombinaci s dalšími abiotickými a biotickými faktory způsobují chřadnutí lesních porostů. Především oblasti s nižší nadmořskou výškou budou stále častěji ohrožené epizodami zemědělského sucha s výraznými dopady na velikost a kvalitu výnosů. V případě, že budou teplejší zimy, nedojde k akumulaci vody ve sněhu, ale k jejímu odtoku, v teplejších zimách se více vody vypaří a následkem toho může dojít k neúplnému jarnímu nasycení půdního profilu, což povede k předčasnému vyčerpání vody vegetací a znásobení sucha zapříčiněného vyšší teplotou v jarních měsících. Dalším prekurzorem vyššího výskytu sucha bude i očekávaná změna ve variabilitě srážek, kdy ubývá především v jarním a letním období počet srážkových dnů, zatímco se zvyšuje intenzita jednotlivých srážek. Pěstování plodin v nižších nadmořských výškách bude výrazně ohroženo především na vysýchavých a lehkých půdách. Těžiště primární zemědělské produkce se bude posunovat do vyšších nadmořských výšek, neboť v nejnižších polohách bude přibývat suchých půdně vlhkostních (hydrických) režimů. Poklesne produkční potenciál kukuřičné i řepařské výrobní oblasti a vzroste v oblastech obilnářské a bramborářské, kde kromě sněhové pokrývky zabraňující vyzimování ozimů bude i relativní dostatek srážek v jarním období. V důsledku déle trvajícího sucha v kombinaci s nevhodným obhospodařováním bude část zemědělské půdy vystavena zvýšené degradaci a projevům eroze, což ve výsledku povede k dalšímu snížení produkčního potenciálu. V období sucha lze také očekávat výšený výskyt požárů při žňových pracích.</w:t>
      </w:r>
    </w:p>
    <w:p w14:paraId="2F3DA7C4" w14:textId="77777777" w:rsidR="003E0F58" w:rsidRPr="007C705C" w:rsidRDefault="003E0F58" w:rsidP="008A1AE3">
      <w:pPr>
        <w:pStyle w:val="Odstavecseseznamem"/>
        <w:numPr>
          <w:ilvl w:val="0"/>
          <w:numId w:val="23"/>
        </w:numPr>
        <w:spacing w:before="60" w:line="360" w:lineRule="atLeast"/>
        <w:rPr>
          <w:rFonts w:eastAsiaTheme="minorEastAsia"/>
          <w:b/>
          <w:bCs/>
        </w:rPr>
      </w:pPr>
      <w:r w:rsidRPr="007C705C">
        <w:rPr>
          <w:rFonts w:eastAsiaTheme="minorEastAsia"/>
          <w:b/>
          <w:bCs/>
        </w:rPr>
        <w:t>Vysoké emise GHG a NH</w:t>
      </w:r>
      <w:r w:rsidRPr="0006094E">
        <w:rPr>
          <w:rFonts w:eastAsiaTheme="minorEastAsia"/>
          <w:b/>
          <w:bCs/>
          <w:vertAlign w:val="subscript"/>
        </w:rPr>
        <w:t>3</w:t>
      </w:r>
      <w:r w:rsidRPr="007C705C">
        <w:rPr>
          <w:rFonts w:eastAsiaTheme="minorEastAsia"/>
          <w:b/>
          <w:bCs/>
        </w:rPr>
        <w:t xml:space="preserve"> ze zemědělství</w:t>
      </w:r>
    </w:p>
    <w:p w14:paraId="6B59DE7F" w14:textId="35B811F4" w:rsidR="003E0F58" w:rsidRPr="007C705C" w:rsidRDefault="003E0F58" w:rsidP="005D3D0A">
      <w:pPr>
        <w:pStyle w:val="UZEIOdrky"/>
        <w:rPr>
          <w:rFonts w:eastAsiaTheme="minorEastAsia"/>
          <w:u w:val="single"/>
        </w:rPr>
      </w:pPr>
      <w:r w:rsidRPr="007C705C">
        <w:rPr>
          <w:rFonts w:eastAsiaTheme="minorEastAsia"/>
        </w:rPr>
        <w:t>Vysoké emise CO</w:t>
      </w:r>
      <w:r w:rsidRPr="007C705C">
        <w:rPr>
          <w:rFonts w:eastAsiaTheme="minorEastAsia"/>
          <w:vertAlign w:val="subscript"/>
        </w:rPr>
        <w:t>2</w:t>
      </w:r>
      <w:r w:rsidRPr="007C705C">
        <w:rPr>
          <w:rFonts w:eastAsiaTheme="minorEastAsia"/>
        </w:rPr>
        <w:t>, NO</w:t>
      </w:r>
      <w:r w:rsidRPr="007C705C">
        <w:rPr>
          <w:rFonts w:eastAsiaTheme="minorEastAsia"/>
          <w:vertAlign w:val="subscript"/>
        </w:rPr>
        <w:t>x</w:t>
      </w:r>
      <w:r w:rsidRPr="007C705C">
        <w:rPr>
          <w:rFonts w:eastAsiaTheme="minorEastAsia"/>
        </w:rPr>
        <w:t>, CH</w:t>
      </w:r>
      <w:r w:rsidRPr="007C705C">
        <w:rPr>
          <w:rFonts w:eastAsiaTheme="minorEastAsia"/>
          <w:vertAlign w:val="subscript"/>
        </w:rPr>
        <w:t>4</w:t>
      </w:r>
      <w:r w:rsidRPr="007C705C">
        <w:rPr>
          <w:rFonts w:eastAsiaTheme="minorEastAsia"/>
        </w:rPr>
        <w:t>, NH</w:t>
      </w:r>
      <w:r w:rsidRPr="007C705C">
        <w:rPr>
          <w:rFonts w:eastAsiaTheme="minorEastAsia"/>
          <w:vertAlign w:val="subscript"/>
        </w:rPr>
        <w:t>3</w:t>
      </w:r>
      <w:r w:rsidRPr="007C705C">
        <w:rPr>
          <w:rFonts w:eastAsiaTheme="minorEastAsia"/>
        </w:rPr>
        <w:t xml:space="preserve"> ze zemědělské půdy</w:t>
      </w:r>
    </w:p>
    <w:p w14:paraId="71B9953C" w14:textId="77777777" w:rsidR="003E0F58" w:rsidRPr="007C705C" w:rsidRDefault="003E0F58" w:rsidP="005D3D0A">
      <w:pPr>
        <w:pStyle w:val="UZEINormaln"/>
        <w:rPr>
          <w:rFonts w:eastAsiaTheme="minorEastAsia"/>
        </w:rPr>
      </w:pPr>
      <w:r w:rsidRPr="007C705C">
        <w:rPr>
          <w:rFonts w:eastAsiaTheme="minorEastAsia"/>
        </w:rPr>
        <w:t>Postupoval by velmi mírný pokles emisí oxidu dusného v důsledku zlepšování technologií, uplatňování metod precizního zemědělství, využívání expertních systémů apod.</w:t>
      </w:r>
    </w:p>
    <w:p w14:paraId="779F1C99" w14:textId="71959A06" w:rsidR="003E0F58" w:rsidRPr="007C705C" w:rsidRDefault="003E0F58" w:rsidP="005D3D0A">
      <w:pPr>
        <w:pStyle w:val="UZEIOdrky"/>
        <w:rPr>
          <w:rFonts w:eastAsiaTheme="minorEastAsia"/>
        </w:rPr>
      </w:pPr>
      <w:r w:rsidRPr="007C705C">
        <w:rPr>
          <w:rFonts w:eastAsiaTheme="minorEastAsia"/>
        </w:rPr>
        <w:t>Nevyužívání půdoochranných technologií, které mají vliv na snižování emisí</w:t>
      </w:r>
    </w:p>
    <w:p w14:paraId="2E1918E3" w14:textId="77777777" w:rsidR="003E0F58" w:rsidRPr="007C705C" w:rsidRDefault="003E0F58" w:rsidP="005D3D0A">
      <w:pPr>
        <w:pStyle w:val="UZEINormaln"/>
        <w:rPr>
          <w:rFonts w:eastAsiaTheme="minorEastAsia"/>
        </w:rPr>
      </w:pPr>
      <w:r w:rsidRPr="007C705C">
        <w:rPr>
          <w:rFonts w:eastAsiaTheme="minorEastAsia"/>
        </w:rPr>
        <w:t xml:space="preserve">Kritické scénáře dopadů klimatické změny v celé Evropě bez včasné realizace soustav preventivních opatření (mezi které patří i půdoochranné technologie), by znamenaly snižování retence vody v území a zhoršení podmínek v celé ploše povodí vlivem negativních projevů klimatické změny. Bez komplexního přístupu nedojde k účelnému propojení agrotechnických, biotechnických a technických opatření do jedné funkční soustavy zaměřené na zvýšení akumulace vody v území, snížení kulminačních průtoků při povodních a zpomalení průchodů povodňových vln, lepší přípravu území v záplavových oblastech, snížení erozního smyvu ze zemědělské i lesní půdy a v neposlední řadě zaměřené na snížení emisí GHG a NH3, což dokazují mnohé případové studie odborníků. </w:t>
      </w:r>
    </w:p>
    <w:p w14:paraId="13DC8752" w14:textId="1342D6F6" w:rsidR="003E0F58" w:rsidRPr="007C705C" w:rsidRDefault="003E0F58" w:rsidP="005D3D0A">
      <w:pPr>
        <w:pStyle w:val="UZEIOdrky"/>
      </w:pPr>
      <w:r w:rsidRPr="007C705C">
        <w:t>Nevyužívání změn managementu na půdě – zalesňování a zatravňování ZPF</w:t>
      </w:r>
    </w:p>
    <w:p w14:paraId="0E4019E0" w14:textId="77777777" w:rsidR="003E0F58" w:rsidRPr="007C705C" w:rsidRDefault="003E0F58" w:rsidP="005D3D0A">
      <w:pPr>
        <w:pStyle w:val="UZEINormaln"/>
      </w:pPr>
      <w:r w:rsidRPr="007C705C">
        <w:rPr>
          <w:rFonts w:eastAsiaTheme="minorEastAsia"/>
        </w:rPr>
        <w:t xml:space="preserve">Užitím adaptačních opatření typu zalesnění/ zatravnění je možné potenciálně (až o 80%) snížit náklady na řešení škod způsobených vodní erozí, které činí ročně až 4,2 mld. Kč (MZe, 2018). Celková možná kapacita (retenční potenciál) zemědělských půd v ČR je 8,40 mld. m3 vody. Skutečný stav je však vzhledem k poškození erozí, utužení půd, dehumifikaci, ztrátě biologické </w:t>
      </w:r>
      <w:r w:rsidRPr="007C705C">
        <w:rPr>
          <w:rFonts w:eastAsiaTheme="minorEastAsia"/>
        </w:rPr>
        <w:lastRenderedPageBreak/>
        <w:t>aktivity mnohem nižší cca 5,04 mld. m3 vody (VUMOP, 2018). Při zalesnění orné půdy, lze v prvním roce očekávat zvýšení retenční vodní kapacity až o 30% původní retenční kapacity půdy. Navíc lze při zalesnění dlouhodobě obhospodařované orné půdy počítat se sekvestrací  1 - 1,5t CO2/ha/rok.</w:t>
      </w:r>
    </w:p>
    <w:p w14:paraId="4C2D6BFC" w14:textId="54F7BEBD" w:rsidR="003E0F58" w:rsidRPr="007C705C" w:rsidRDefault="003E0F58" w:rsidP="005D3D0A">
      <w:pPr>
        <w:pStyle w:val="UZEIOdrky"/>
        <w:rPr>
          <w:rFonts w:eastAsiaTheme="minorEastAsia"/>
        </w:rPr>
      </w:pPr>
      <w:r w:rsidRPr="007C705C">
        <w:rPr>
          <w:rFonts w:eastAsiaTheme="minorEastAsia"/>
        </w:rPr>
        <w:t>Pomalé zavádění technologií snižujících emise GHG a NH</w:t>
      </w:r>
      <w:r w:rsidRPr="007C705C">
        <w:rPr>
          <w:rFonts w:eastAsiaTheme="minorEastAsia"/>
          <w:vertAlign w:val="subscript"/>
        </w:rPr>
        <w:t>3</w:t>
      </w:r>
      <w:r w:rsidRPr="007C705C">
        <w:rPr>
          <w:rFonts w:eastAsiaTheme="minorEastAsia"/>
        </w:rPr>
        <w:t xml:space="preserve"> v živočišné a rostlinné výrobě</w:t>
      </w:r>
    </w:p>
    <w:p w14:paraId="05947293" w14:textId="77777777" w:rsidR="003E0F58" w:rsidRPr="007C705C" w:rsidRDefault="003E0F58" w:rsidP="005D3D0A">
      <w:pPr>
        <w:pStyle w:val="UZEINormaln"/>
        <w:rPr>
          <w:rFonts w:eastAsiaTheme="minorEastAsia"/>
        </w:rPr>
      </w:pPr>
      <w:r w:rsidRPr="007C705C">
        <w:rPr>
          <w:rFonts w:eastAsiaTheme="minorEastAsia"/>
        </w:rPr>
        <w:t>Řada chovů by bez podpory pro zavádění snižujících technologií nebyla schopna po roce 2020 plnit emisní limity pro NH</w:t>
      </w:r>
      <w:r w:rsidRPr="007C705C">
        <w:rPr>
          <w:rFonts w:eastAsiaTheme="minorEastAsia"/>
          <w:vertAlign w:val="subscript"/>
        </w:rPr>
        <w:t>3</w:t>
      </w:r>
      <w:r w:rsidRPr="007C705C">
        <w:rPr>
          <w:rFonts w:eastAsiaTheme="minorEastAsia"/>
        </w:rPr>
        <w:t>. Byla by omezena možnost modernizovat provozy, některé provozy by byly nuceny ukončit svou činnost. Nebyla by dostatečně využita možnost redukce nadbytečné aplikace dusíku technologiemi pro precizní zemědělství a nebyla by v dostatečné míře využívána možnost snížení úniku NH3 při aplikaci statkových hnojiv nízkoemisními aplikátory kejdy. Byla by omezena modernizace a úprava kejdového hospodářství, které by omezilo únik NH</w:t>
      </w:r>
      <w:r w:rsidRPr="007C705C">
        <w:rPr>
          <w:rFonts w:eastAsiaTheme="minorEastAsia"/>
          <w:vertAlign w:val="subscript"/>
        </w:rPr>
        <w:t>3</w:t>
      </w:r>
      <w:r w:rsidRPr="007C705C">
        <w:rPr>
          <w:rFonts w:eastAsiaTheme="minorEastAsia"/>
        </w:rPr>
        <w:t xml:space="preserve"> a GHG. S výjimkou provozů, které využívají biotechnologické přípravky pro snižování emisí NH</w:t>
      </w:r>
      <w:r w:rsidRPr="007C705C">
        <w:rPr>
          <w:rFonts w:eastAsiaTheme="minorEastAsia"/>
          <w:vertAlign w:val="subscript"/>
        </w:rPr>
        <w:t>3</w:t>
      </w:r>
      <w:r w:rsidRPr="007C705C">
        <w:rPr>
          <w:rFonts w:eastAsiaTheme="minorEastAsia"/>
        </w:rPr>
        <w:t xml:space="preserve"> z důvodů splnění požadavků legislativy by bylo výrazně omezeno jejich používání ostatními provozy. Nebyla by zmapována produkce GHG pro jednotlivé technologie chovu (emisní faktory) a nebylo by možné kvantifikovat snižující efekt zavedením moderních technologií na produkci GHG. Bylo by obtížné argumentovat snižujícím efektem při podpoře zavádění nízkoemisních technologií v podmínkách intenzivních chovů v ČR v rámci plnění závazků z Pařížské konference (2015).</w:t>
      </w:r>
    </w:p>
    <w:p w14:paraId="2AFC2494" w14:textId="77777777" w:rsidR="003E0F58" w:rsidRPr="007C705C" w:rsidRDefault="003E0F58" w:rsidP="008A1AE3">
      <w:pPr>
        <w:pStyle w:val="Odstavecseseznamem"/>
        <w:numPr>
          <w:ilvl w:val="0"/>
          <w:numId w:val="23"/>
        </w:numPr>
        <w:spacing w:before="60" w:line="360" w:lineRule="atLeast"/>
        <w:rPr>
          <w:rFonts w:eastAsiaTheme="minorEastAsia"/>
          <w:b/>
          <w:bCs/>
        </w:rPr>
      </w:pPr>
      <w:r w:rsidRPr="007C705C">
        <w:rPr>
          <w:rFonts w:eastAsiaTheme="minorEastAsia"/>
          <w:b/>
          <w:bCs/>
        </w:rPr>
        <w:t>Nízký obsah organického uhlíku v půdě</w:t>
      </w:r>
    </w:p>
    <w:p w14:paraId="26141DEE" w14:textId="3F5D34D3" w:rsidR="003E0F58" w:rsidRPr="007C705C" w:rsidRDefault="003E0F58" w:rsidP="005D3D0A">
      <w:pPr>
        <w:pStyle w:val="UZEIOdrky"/>
        <w:rPr>
          <w:rFonts w:eastAsiaTheme="minorEastAsia"/>
        </w:rPr>
      </w:pPr>
      <w:r w:rsidRPr="007C705C">
        <w:rPr>
          <w:rFonts w:eastAsiaTheme="minorEastAsia"/>
        </w:rPr>
        <w:t>Úbytek organického uhlíku v orné půdě</w:t>
      </w:r>
    </w:p>
    <w:p w14:paraId="6CCCF6F8" w14:textId="77777777" w:rsidR="003E0F58" w:rsidRPr="007C705C" w:rsidRDefault="003E0F58" w:rsidP="005D3D0A">
      <w:pPr>
        <w:pStyle w:val="UZEINormaln"/>
        <w:rPr>
          <w:rFonts w:eastAsiaTheme="minorEastAsia"/>
        </w:rPr>
      </w:pPr>
      <w:r w:rsidRPr="007C705C">
        <w:rPr>
          <w:rFonts w:eastAsiaTheme="minorEastAsia"/>
        </w:rPr>
        <w:t>U řady půd je již degradace organického uhlíku v půdě na takové úrovni, že by další pokles byl jen relativně malý. Degradace organického uhlíku by pokračovala především na úrodných půdách s celkově vyšším obsahem organického uhlíku. Na druhou stranu mohou mít výše uvedená opatření pozitivní dopady na mitigaci změny klimatu (uložení části antropogenních emisí CO</w:t>
      </w:r>
      <w:r w:rsidRPr="007C705C">
        <w:rPr>
          <w:rFonts w:eastAsiaTheme="minorEastAsia"/>
          <w:vertAlign w:val="subscript"/>
        </w:rPr>
        <w:t>2</w:t>
      </w:r>
      <w:r w:rsidRPr="007C705C">
        <w:rPr>
          <w:rFonts w:eastAsiaTheme="minorEastAsia"/>
        </w:rPr>
        <w:t xml:space="preserve"> do půdy) a do značné míry na konkurenceschopnost a udržitelnost zemědělské výroby (zlepšení zachycení vody v krajině a zmírnění dopadů sucha, zlepšení půdní úrodnosti, snížení eroze). Velmi závažný je dopad na neprodukční funkce zemědělství, a to především na zlepšení malého vodního cyklu, zvýšení zásob podzemní vody, zlepšení mikroklimatu apod.</w:t>
      </w:r>
    </w:p>
    <w:p w14:paraId="0E2B7B30" w14:textId="75C04629" w:rsidR="003E0F58" w:rsidRPr="007C705C" w:rsidRDefault="003E0F58" w:rsidP="005D3D0A">
      <w:pPr>
        <w:pStyle w:val="UZEIOdrky"/>
        <w:rPr>
          <w:rFonts w:eastAsiaTheme="minorEastAsia"/>
          <w:b/>
          <w:bCs/>
        </w:rPr>
      </w:pPr>
      <w:r w:rsidRPr="007C705C">
        <w:rPr>
          <w:rFonts w:eastAsiaTheme="minorEastAsia"/>
        </w:rPr>
        <w:t>Nedostatečné hospodaření na půdě z hlediska bilancování organické hmoty</w:t>
      </w:r>
    </w:p>
    <w:p w14:paraId="352193EA" w14:textId="77777777" w:rsidR="003E0F58" w:rsidRPr="007C705C" w:rsidRDefault="003E0F58" w:rsidP="005D3D0A">
      <w:pPr>
        <w:pStyle w:val="UZEINormaln"/>
        <w:rPr>
          <w:rFonts w:eastAsiaTheme="minorEastAsia"/>
        </w:rPr>
      </w:pPr>
      <w:r w:rsidRPr="007C705C">
        <w:rPr>
          <w:rFonts w:eastAsiaTheme="minorEastAsia"/>
        </w:rPr>
        <w:t xml:space="preserve">Obsah a kvalita organických látek v půdě se stávají kritickým parametrem zemědělských půd v podmínkách vysoké intenzity produkce a nastupujících globálních klimatických změn. Podle posledních studií dochází v rámci celé Evropy ať již vlivem klimatu (Louwagie et al., 2009), nebo způsobu hospodaření (Stevenson, 1986) k zásadnímu úbytku organické hmoty v půdě (Jones et al. 2005, de Brogniez et al., 2014). Organická hmota se přitom pokládá za zásadně důležitou složku zdravé půdy. Její úbytek vede k degradaci půdy. Ztráta půdní organické hmoty snižuje vodní infiltrační kapacitu půdy, což má za následek zvýšení odtoku a eroze. Eroze pak obsah organické hmoty v půdě dále snižuje splachováním její úrodné svrchní vrstvy. Aktuální vodní erozí je postiženo 54% zemědělské půdy, větrnou erozí je ohroženo 23 % zemědělské půdy v ČR. </w:t>
      </w:r>
    </w:p>
    <w:p w14:paraId="643449AE" w14:textId="77777777" w:rsidR="003E0F58" w:rsidRPr="007C705C" w:rsidRDefault="003E0F58" w:rsidP="005D3D0A">
      <w:pPr>
        <w:pStyle w:val="UZEINormaln"/>
        <w:rPr>
          <w:rFonts w:eastAsiaTheme="minorEastAsia"/>
        </w:rPr>
      </w:pPr>
      <w:r w:rsidRPr="007C705C">
        <w:rPr>
          <w:rFonts w:eastAsiaTheme="minorEastAsia"/>
        </w:rPr>
        <w:t xml:space="preserve">Odebrané živiny je nutné do půdy zpět navracet. Ročně je třeba dodat 3,5 až 4,5 tuny organických látek na hektar orné půdy. Celkem 50 % se dodá v posklizňových zbytcích. Zbývá dodat 1,5 až 2 tuny organických látek na hektar. Negativní dopad na půdní úrodnost mají i klesající stavy skotu a prasat a úzký osevní postup, který nepodporuje střídání plodin. Ztráta živin je dnes často vyrovnávána používáním minerálních hnojiv. Z hlediska ochrany životního prostředí je užívání minerálních hnojiv velmi problematické. Dochází ke škodám způsobeným </w:t>
      </w:r>
      <w:r w:rsidRPr="007C705C">
        <w:rPr>
          <w:rFonts w:eastAsiaTheme="minorEastAsia"/>
        </w:rPr>
        <w:lastRenderedPageBreak/>
        <w:t xml:space="preserve">při těžbě a přepravě surovin a k emisím škodlivin při výrobě. Výroba a distribuce minerálních hnojiv je výrazně energeticky náročná. </w:t>
      </w:r>
    </w:p>
    <w:p w14:paraId="44FB719A" w14:textId="77777777" w:rsidR="003E0F58" w:rsidRPr="007C705C" w:rsidRDefault="003E0F58" w:rsidP="005D3D0A">
      <w:pPr>
        <w:pStyle w:val="UZEINormaln"/>
        <w:rPr>
          <w:rFonts w:eastAsiaTheme="minorEastAsia"/>
        </w:rPr>
      </w:pPr>
      <w:r w:rsidRPr="007C705C">
        <w:rPr>
          <w:rFonts w:eastAsiaTheme="minorEastAsia"/>
        </w:rPr>
        <w:t>Ztráta organického uhlíku obsaženého v půdě může omezit schopnost půdy poskytovat živiny pro udržitelnou rostlinnou výrobu. To může vést k nižším výnosům a ohrozit zajišťování potravin. Méně organického uhlíku znamená také méně potravy pro živé organismy vyskytující se v půdě, a tedy pokles půdní biodiverzity.</w:t>
      </w:r>
    </w:p>
    <w:p w14:paraId="7D41EF2B" w14:textId="77777777" w:rsidR="003E0F58" w:rsidRPr="007C705C" w:rsidRDefault="003E0F58" w:rsidP="008A1AE3">
      <w:pPr>
        <w:pStyle w:val="Odstavecseseznamem"/>
        <w:numPr>
          <w:ilvl w:val="0"/>
          <w:numId w:val="23"/>
        </w:numPr>
        <w:spacing w:before="60" w:line="360" w:lineRule="atLeast"/>
        <w:rPr>
          <w:rFonts w:eastAsiaTheme="minorEastAsia"/>
          <w:b/>
          <w:bCs/>
        </w:rPr>
      </w:pPr>
      <w:r w:rsidRPr="007C705C">
        <w:rPr>
          <w:rFonts w:eastAsiaTheme="minorEastAsia"/>
          <w:b/>
          <w:bCs/>
        </w:rPr>
        <w:t>Nevyužitý potenciál a neefektivní výroba energií z OZE v zemědělství a lesnictví</w:t>
      </w:r>
    </w:p>
    <w:p w14:paraId="4A67D0DD" w14:textId="77777777" w:rsidR="00E83544" w:rsidRDefault="003E0F58" w:rsidP="00812975">
      <w:pPr>
        <w:rPr>
          <w:rStyle w:val="UZEINormalnChar"/>
          <w:rFonts w:eastAsiaTheme="minorEastAsia"/>
        </w:rPr>
      </w:pPr>
      <w:r w:rsidRPr="007C705C">
        <w:rPr>
          <w:rFonts w:cs="Times New Roman"/>
          <w:lang w:val="cs-CZ"/>
        </w:rPr>
        <w:tab/>
      </w:r>
      <w:r w:rsidRPr="00306FAA">
        <w:rPr>
          <w:rStyle w:val="UZEINormalnChar"/>
          <w:rFonts w:eastAsiaTheme="minorEastAsia"/>
        </w:rPr>
        <w:t xml:space="preserve">Obnovitelné zdroje energií v České republice zejména ty, co využívají jako palivo biomasu, často navíc pobírají paralelně s investičními dotacemi i tzv. provozní podpory. Tím je zaručena jejich návratnost ještě před skončením životnosti zařízení. </w:t>
      </w:r>
    </w:p>
    <w:p w14:paraId="291DBCB7" w14:textId="10BA75E1" w:rsidR="003E0F58" w:rsidRPr="00812975" w:rsidRDefault="00E83544" w:rsidP="00812975">
      <w:pPr>
        <w:rPr>
          <w:rFonts w:eastAsiaTheme="minorEastAsia" w:cs="Times New Roman"/>
          <w:lang w:val="cs-CZ"/>
        </w:rPr>
      </w:pPr>
      <w:r>
        <w:rPr>
          <w:noProof/>
          <w:lang w:val="cs-CZ" w:eastAsia="cs-CZ"/>
        </w:rPr>
        <mc:AlternateContent>
          <mc:Choice Requires="wps">
            <w:drawing>
              <wp:anchor distT="0" distB="0" distL="114300" distR="114300" simplePos="0" relativeHeight="251660288" behindDoc="0" locked="0" layoutInCell="1" allowOverlap="1" wp14:anchorId="73A4491C" wp14:editId="726ECB13">
                <wp:simplePos x="0" y="0"/>
                <wp:positionH relativeFrom="column">
                  <wp:posOffset>-147320</wp:posOffset>
                </wp:positionH>
                <wp:positionV relativeFrom="paragraph">
                  <wp:posOffset>3692525</wp:posOffset>
                </wp:positionV>
                <wp:extent cx="5770245" cy="635"/>
                <wp:effectExtent l="0" t="0" r="0" b="0"/>
                <wp:wrapTopAndBottom/>
                <wp:docPr id="25" name="Textové pole 25"/>
                <wp:cNvGraphicFramePr/>
                <a:graphic xmlns:a="http://schemas.openxmlformats.org/drawingml/2006/main">
                  <a:graphicData uri="http://schemas.microsoft.com/office/word/2010/wordprocessingShape">
                    <wps:wsp>
                      <wps:cNvSpPr txBox="1"/>
                      <wps:spPr>
                        <a:xfrm>
                          <a:off x="0" y="0"/>
                          <a:ext cx="5770245" cy="635"/>
                        </a:xfrm>
                        <a:prstGeom prst="rect">
                          <a:avLst/>
                        </a:prstGeom>
                        <a:solidFill>
                          <a:prstClr val="white"/>
                        </a:solidFill>
                        <a:ln>
                          <a:noFill/>
                        </a:ln>
                      </wps:spPr>
                      <wps:txbx>
                        <w:txbxContent>
                          <w:p w14:paraId="0A0AB14A" w14:textId="12F013CB" w:rsidR="00DD15F0" w:rsidRPr="0006094E" w:rsidRDefault="00DD15F0" w:rsidP="0006094E">
                            <w:pPr>
                              <w:pStyle w:val="Titulek"/>
                              <w:rPr>
                                <w:rFonts w:eastAsiaTheme="minorEastAsia" w:cs="Arial"/>
                                <w:color w:val="000000" w:themeColor="text1"/>
                                <w:sz w:val="20"/>
                                <w:lang w:eastAsia="cs-CZ"/>
                              </w:rPr>
                            </w:pPr>
                            <w:bookmarkStart w:id="528" w:name="_Toc93583793"/>
                            <w:r w:rsidRPr="0006094E">
                              <w:rPr>
                                <w:rFonts w:eastAsiaTheme="minorEastAsia" w:cs="Arial"/>
                                <w:bCs w:val="0"/>
                                <w:color w:val="000000" w:themeColor="text1"/>
                                <w:sz w:val="20"/>
                                <w:lang w:eastAsia="cs-CZ"/>
                              </w:rPr>
                              <w:t xml:space="preserve">Obrázek </w:t>
                            </w:r>
                            <w:r w:rsidRPr="0006094E">
                              <w:rPr>
                                <w:rFonts w:eastAsiaTheme="minorEastAsia" w:cs="Arial"/>
                                <w:bCs w:val="0"/>
                                <w:color w:val="000000" w:themeColor="text1"/>
                                <w:sz w:val="20"/>
                                <w:lang w:eastAsia="cs-CZ"/>
                              </w:rPr>
                              <w:fldChar w:fldCharType="begin"/>
                            </w:r>
                            <w:r w:rsidRPr="0006094E">
                              <w:rPr>
                                <w:rFonts w:eastAsiaTheme="minorEastAsia" w:cs="Arial"/>
                                <w:bCs w:val="0"/>
                                <w:color w:val="000000" w:themeColor="text1"/>
                                <w:sz w:val="20"/>
                                <w:lang w:eastAsia="cs-CZ"/>
                              </w:rPr>
                              <w:instrText xml:space="preserve"> SEQ Obrázek \* ARABIC </w:instrText>
                            </w:r>
                            <w:r w:rsidRPr="0006094E">
                              <w:rPr>
                                <w:rFonts w:eastAsiaTheme="minorEastAsia" w:cs="Arial"/>
                                <w:bCs w:val="0"/>
                                <w:color w:val="000000" w:themeColor="text1"/>
                                <w:sz w:val="20"/>
                                <w:lang w:eastAsia="cs-CZ"/>
                              </w:rPr>
                              <w:fldChar w:fldCharType="separate"/>
                            </w:r>
                            <w:r>
                              <w:rPr>
                                <w:rFonts w:eastAsiaTheme="minorEastAsia" w:cs="Arial"/>
                                <w:bCs w:val="0"/>
                                <w:noProof/>
                                <w:color w:val="000000" w:themeColor="text1"/>
                                <w:sz w:val="20"/>
                                <w:lang w:eastAsia="cs-CZ"/>
                              </w:rPr>
                              <w:t>10</w:t>
                            </w:r>
                            <w:r w:rsidRPr="0006094E">
                              <w:rPr>
                                <w:rFonts w:eastAsiaTheme="minorEastAsia" w:cs="Arial"/>
                                <w:bCs w:val="0"/>
                                <w:color w:val="000000" w:themeColor="text1"/>
                                <w:sz w:val="20"/>
                                <w:lang w:eastAsia="cs-CZ"/>
                              </w:rPr>
                              <w:fldChar w:fldCharType="end"/>
                            </w:r>
                            <w:r w:rsidRPr="0006094E">
                              <w:rPr>
                                <w:rFonts w:eastAsiaTheme="minorEastAsia" w:cs="Arial"/>
                                <w:bCs w:val="0"/>
                                <w:color w:val="000000" w:themeColor="text1"/>
                                <w:sz w:val="20"/>
                                <w:lang w:eastAsia="cs-CZ"/>
                              </w:rPr>
                              <w:t xml:space="preserve"> Vývoj výroby elektřiny z bioplynu</w:t>
                            </w:r>
                            <w:bookmarkEnd w:id="52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73A4491C" id="_x0000_t202" coordsize="21600,21600" o:spt="202" path="m,l,21600r21600,l21600,xe">
                <v:stroke joinstyle="miter"/>
                <v:path gradientshapeok="t" o:connecttype="rect"/>
              </v:shapetype>
              <v:shape id="Textové pole 25" o:spid="_x0000_s1026" type="#_x0000_t202" style="position:absolute;left:0;text-align:left;margin-left:-11.6pt;margin-top:290.75pt;width:454.35pt;height:.0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" stroked="f">
                <v:textbox style="mso-fit-shape-to-text:t" inset="0,0,0,0">
                  <w:txbxContent>
                    <w:p w14:paraId="0A0AB14A" w14:textId="12F013CB" w:rsidR="00DD15F0" w:rsidRPr="0006094E" w:rsidRDefault="00DD15F0" w:rsidP="0006094E">
                      <w:pPr>
                        <w:pStyle w:val="Titulek"/>
                        <w:rPr>
                          <w:rFonts w:eastAsiaTheme="minorEastAsia" w:cs="Arial"/>
                          <w:color w:val="000000" w:themeColor="text1"/>
                          <w:sz w:val="20"/>
                          <w:lang w:eastAsia="cs-CZ"/>
                        </w:rPr>
                      </w:pPr>
                      <w:bookmarkStart w:id="529" w:name="_Toc93583793"/>
                      <w:r w:rsidRPr="0006094E">
                        <w:rPr>
                          <w:rFonts w:eastAsiaTheme="minorEastAsia" w:cs="Arial"/>
                          <w:bCs w:val="0"/>
                          <w:color w:val="000000" w:themeColor="text1"/>
                          <w:sz w:val="20"/>
                          <w:lang w:eastAsia="cs-CZ"/>
                        </w:rPr>
                        <w:t xml:space="preserve">Obrázek </w:t>
                      </w:r>
                      <w:r w:rsidRPr="0006094E">
                        <w:rPr>
                          <w:rFonts w:eastAsiaTheme="minorEastAsia" w:cs="Arial"/>
                          <w:bCs w:val="0"/>
                          <w:color w:val="000000" w:themeColor="text1"/>
                          <w:sz w:val="20"/>
                          <w:lang w:eastAsia="cs-CZ"/>
                        </w:rPr>
                        <w:fldChar w:fldCharType="begin"/>
                      </w:r>
                      <w:r w:rsidRPr="0006094E">
                        <w:rPr>
                          <w:rFonts w:eastAsiaTheme="minorEastAsia" w:cs="Arial"/>
                          <w:bCs w:val="0"/>
                          <w:color w:val="000000" w:themeColor="text1"/>
                          <w:sz w:val="20"/>
                          <w:lang w:eastAsia="cs-CZ"/>
                        </w:rPr>
                        <w:instrText xml:space="preserve"> SEQ Obrázek \* ARABIC </w:instrText>
                      </w:r>
                      <w:r w:rsidRPr="0006094E">
                        <w:rPr>
                          <w:rFonts w:eastAsiaTheme="minorEastAsia" w:cs="Arial"/>
                          <w:bCs w:val="0"/>
                          <w:color w:val="000000" w:themeColor="text1"/>
                          <w:sz w:val="20"/>
                          <w:lang w:eastAsia="cs-CZ"/>
                        </w:rPr>
                        <w:fldChar w:fldCharType="separate"/>
                      </w:r>
                      <w:r>
                        <w:rPr>
                          <w:rFonts w:eastAsiaTheme="minorEastAsia" w:cs="Arial"/>
                          <w:bCs w:val="0"/>
                          <w:noProof/>
                          <w:color w:val="000000" w:themeColor="text1"/>
                          <w:sz w:val="20"/>
                          <w:lang w:eastAsia="cs-CZ"/>
                        </w:rPr>
                        <w:t>10</w:t>
                      </w:r>
                      <w:r w:rsidRPr="0006094E">
                        <w:rPr>
                          <w:rFonts w:eastAsiaTheme="minorEastAsia" w:cs="Arial"/>
                          <w:bCs w:val="0"/>
                          <w:color w:val="000000" w:themeColor="text1"/>
                          <w:sz w:val="20"/>
                          <w:lang w:eastAsia="cs-CZ"/>
                        </w:rPr>
                        <w:fldChar w:fldCharType="end"/>
                      </w:r>
                      <w:r w:rsidRPr="0006094E">
                        <w:rPr>
                          <w:rFonts w:eastAsiaTheme="minorEastAsia" w:cs="Arial"/>
                          <w:bCs w:val="0"/>
                          <w:color w:val="000000" w:themeColor="text1"/>
                          <w:sz w:val="20"/>
                          <w:lang w:eastAsia="cs-CZ"/>
                        </w:rPr>
                        <w:t xml:space="preserve"> Vývoj výroby elektřiny z bioplynu</w:t>
                      </w:r>
                      <w:bookmarkEnd w:id="529"/>
                    </w:p>
                  </w:txbxContent>
                </v:textbox>
                <w10:wrap type="topAndBottom"/>
              </v:shape>
            </w:pict>
          </mc:Fallback>
        </mc:AlternateContent>
      </w:r>
      <w:r w:rsidRPr="00306FAA">
        <w:rPr>
          <w:rStyle w:val="UZEINormalnChar"/>
          <w:rFonts w:eastAsiaTheme="minorHAnsi"/>
          <w:noProof/>
        </w:rPr>
        <w:drawing>
          <wp:anchor distT="0" distB="0" distL="114300" distR="114300" simplePos="0" relativeHeight="251658240" behindDoc="0" locked="0" layoutInCell="1" allowOverlap="1" wp14:anchorId="4AADA0AC" wp14:editId="515DF9CD">
            <wp:simplePos x="0" y="0"/>
            <wp:positionH relativeFrom="column">
              <wp:posOffset>-156845</wp:posOffset>
            </wp:positionH>
            <wp:positionV relativeFrom="paragraph">
              <wp:posOffset>128905</wp:posOffset>
            </wp:positionV>
            <wp:extent cx="5648325" cy="3534410"/>
            <wp:effectExtent l="0" t="0" r="9525" b="8890"/>
            <wp:wrapTopAndBottom/>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Obrázek 23"/>
                    <pic:cNvPicPr>
                      <a:picLocks noChangeAspect="1"/>
                    </pic:cNvPicPr>
                  </pic:nvPicPr>
                  <pic:blipFill rotWithShape="1">
                    <a:blip r:embed="rId47" cstate="print">
                      <a:extLst>
                        <a:ext uri="{28A0092B-C50C-407E-A947-70E740481C1C}">
                          <a14:useLocalDpi xmlns:a14="http://schemas.microsoft.com/office/drawing/2010/main" val="0"/>
                        </a:ext>
                      </a:extLst>
                    </a:blip>
                    <a:srcRect l="8102" t="7057" r="53042" b="6507"/>
                    <a:stretch/>
                  </pic:blipFill>
                  <pic:spPr bwMode="auto">
                    <a:xfrm>
                      <a:off x="0" y="0"/>
                      <a:ext cx="5648325" cy="35344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E0F58" w:rsidRPr="00306FAA">
        <w:rPr>
          <w:rStyle w:val="UZEINormalnChar"/>
          <w:rFonts w:eastAsiaTheme="minorEastAsia"/>
        </w:rPr>
        <w:t>Budoucí vývoj OZE je</w:t>
      </w:r>
      <w:r w:rsidR="003E0F58" w:rsidRPr="007C705C">
        <w:rPr>
          <w:rFonts w:eastAsiaTheme="minorEastAsia" w:cs="Times New Roman"/>
          <w:lang w:val="cs-CZ"/>
        </w:rPr>
        <w:t xml:space="preserve"> </w:t>
      </w:r>
      <w:r w:rsidR="003E0F58" w:rsidRPr="00306FAA">
        <w:rPr>
          <w:rStyle w:val="UZEINormalnChar"/>
          <w:rFonts w:eastAsiaTheme="minorEastAsia"/>
        </w:rPr>
        <w:t>tak, bez těchto intervencí obecně, závislý pouze na jejich technologické vyspělosti. U zařízení využívajících biomasu se v blízké budoucnosti takový technologický pokrok nepředpokládá</w:t>
      </w:r>
      <w:r w:rsidR="003E0F58" w:rsidRPr="00306FAA">
        <w:rPr>
          <w:rStyle w:val="UZEINormalnChar"/>
          <w:rFonts w:eastAsiaTheme="minorEastAsia"/>
        </w:rPr>
        <w:footnoteReference w:id="14"/>
      </w:r>
      <w:r w:rsidR="003E0F58" w:rsidRPr="00306FAA">
        <w:rPr>
          <w:rStyle w:val="UZEINormalnChar"/>
          <w:rFonts w:eastAsiaTheme="minorEastAsia"/>
        </w:rPr>
        <w:t xml:space="preserve">. V tomto kontextu tedy nelze očekávat ani žádný progresivní rozvoj. </w:t>
      </w:r>
      <w:r w:rsidR="003E0F58" w:rsidRPr="00306FAA">
        <w:rPr>
          <w:rStyle w:val="UZEINormalnChar"/>
          <w:rFonts w:eastAsiaTheme="minorHAnsi"/>
        </w:rPr>
        <w:t>Obrázek níže</w:t>
      </w:r>
      <w:r w:rsidR="003E0F58" w:rsidRPr="00306FAA">
        <w:rPr>
          <w:rStyle w:val="UZEINormalnChar"/>
          <w:rFonts w:eastAsiaTheme="minorEastAsia"/>
        </w:rPr>
        <w:t xml:space="preserve"> ilustruje vývoj výroby elektřiny po ukončení provozních podpor pro nové zdroje. S postupným dobíháním provozních podpor pro stávající zdroje lze očekávat degresivní tendence spojené s uzavíráním některých provozoven, jak ukazují na příkladu BPS propočty CZ Biom (2018) -</w:t>
      </w:r>
      <w:bookmarkStart w:id="530" w:name="_Toc521315968"/>
      <w:r w:rsidR="003E0F58" w:rsidRPr="00306FAA">
        <w:rPr>
          <w:rStyle w:val="UZEINormalnChar"/>
          <w:rFonts w:eastAsiaTheme="minorEastAsia"/>
        </w:rPr>
        <w:t>Zdroj: Obnovitelné zdroje energie v roce 2016 (MPO)</w:t>
      </w:r>
    </w:p>
    <w:p w14:paraId="6F9CEF7D" w14:textId="2405F711" w:rsidR="003E0F58" w:rsidRPr="007C705C" w:rsidRDefault="003E0F58" w:rsidP="00812975">
      <w:pPr>
        <w:pStyle w:val="UZEITaB"/>
        <w:rPr>
          <w:rFonts w:eastAsiaTheme="minorEastAsia"/>
        </w:rPr>
      </w:pPr>
      <w:bookmarkStart w:id="531" w:name="_Toc77245873"/>
      <w:bookmarkStart w:id="532" w:name="_Toc94181643"/>
      <w:r w:rsidRPr="007C705C">
        <w:rPr>
          <w:rFonts w:eastAsiaTheme="minorEastAsia"/>
        </w:rPr>
        <w:t>Scénář rozvoje využití potenciálu energie z bioplynu bez veřejné podpory</w:t>
      </w:r>
      <w:bookmarkEnd w:id="531"/>
      <w:bookmarkEnd w:id="532"/>
    </w:p>
    <w:tbl>
      <w:tblPr>
        <w:tblStyle w:val="Svtltabulkasmkou1zvraznn11"/>
        <w:tblW w:w="9209" w:type="dxa"/>
        <w:jc w:val="center"/>
        <w:tblLayout w:type="fixed"/>
        <w:tblLook w:val="0600" w:firstRow="0" w:lastRow="0" w:firstColumn="0" w:lastColumn="0" w:noHBand="1" w:noVBand="1"/>
      </w:tblPr>
      <w:tblGrid>
        <w:gridCol w:w="704"/>
        <w:gridCol w:w="1559"/>
        <w:gridCol w:w="1560"/>
        <w:gridCol w:w="1559"/>
        <w:gridCol w:w="850"/>
        <w:gridCol w:w="1276"/>
        <w:gridCol w:w="1701"/>
      </w:tblGrid>
      <w:tr w:rsidR="003E0F58" w:rsidRPr="007C705C" w14:paraId="25566790" w14:textId="77777777" w:rsidTr="00812975">
        <w:trPr>
          <w:trHeight w:val="650"/>
          <w:jc w:val="center"/>
        </w:trPr>
        <w:tc>
          <w:tcPr>
            <w:tcW w:w="704" w:type="dxa"/>
          </w:tcPr>
          <w:p w14:paraId="729C8ADD" w14:textId="77777777" w:rsidR="003E0F58" w:rsidRPr="007C705C" w:rsidRDefault="003E0F58" w:rsidP="004D2249">
            <w:pPr>
              <w:pBdr>
                <w:top w:val="nil"/>
                <w:left w:val="nil"/>
                <w:bottom w:val="nil"/>
                <w:right w:val="nil"/>
                <w:between w:val="nil"/>
              </w:pBdr>
              <w:jc w:val="center"/>
              <w:rPr>
                <w:rFonts w:eastAsia="Calibri" w:cs="Times New Roman"/>
                <w:color w:val="000000"/>
                <w:sz w:val="22"/>
              </w:rPr>
            </w:pPr>
          </w:p>
        </w:tc>
        <w:tc>
          <w:tcPr>
            <w:tcW w:w="1559" w:type="dxa"/>
          </w:tcPr>
          <w:p w14:paraId="7A88353F" w14:textId="77777777" w:rsidR="003E0F58" w:rsidRPr="007C705C" w:rsidRDefault="003E0F58" w:rsidP="004D2249">
            <w:pPr>
              <w:pBdr>
                <w:top w:val="nil"/>
                <w:left w:val="nil"/>
                <w:bottom w:val="nil"/>
                <w:right w:val="nil"/>
                <w:between w:val="nil"/>
              </w:pBdr>
              <w:jc w:val="center"/>
              <w:rPr>
                <w:rFonts w:eastAsiaTheme="minorEastAsia" w:cs="Times New Roman"/>
                <w:b/>
                <w:bCs/>
                <w:color w:val="000000" w:themeColor="text1"/>
                <w:sz w:val="22"/>
              </w:rPr>
            </w:pPr>
            <w:r w:rsidRPr="007C705C">
              <w:rPr>
                <w:rFonts w:eastAsiaTheme="minorEastAsia" w:cs="Times New Roman"/>
                <w:b/>
                <w:bCs/>
                <w:color w:val="000000" w:themeColor="text1"/>
                <w:sz w:val="22"/>
              </w:rPr>
              <w:t>instalovaný výkon</w:t>
            </w:r>
          </w:p>
        </w:tc>
        <w:tc>
          <w:tcPr>
            <w:tcW w:w="1560" w:type="dxa"/>
          </w:tcPr>
          <w:p w14:paraId="566FA08E" w14:textId="77777777" w:rsidR="003E0F58" w:rsidRPr="007C705C" w:rsidRDefault="003E0F58" w:rsidP="004D2249">
            <w:pPr>
              <w:pBdr>
                <w:top w:val="nil"/>
                <w:left w:val="nil"/>
                <w:bottom w:val="nil"/>
                <w:right w:val="nil"/>
                <w:between w:val="nil"/>
              </w:pBdr>
              <w:jc w:val="center"/>
              <w:rPr>
                <w:rFonts w:eastAsiaTheme="minorEastAsia" w:cs="Times New Roman"/>
                <w:b/>
                <w:bCs/>
                <w:color w:val="000000" w:themeColor="text1"/>
                <w:sz w:val="22"/>
              </w:rPr>
            </w:pPr>
            <w:r w:rsidRPr="007C705C">
              <w:rPr>
                <w:rFonts w:eastAsiaTheme="minorEastAsia" w:cs="Times New Roman"/>
                <w:b/>
                <w:bCs/>
                <w:color w:val="000000" w:themeColor="text1"/>
                <w:sz w:val="22"/>
              </w:rPr>
              <w:t>Počet provozoven</w:t>
            </w:r>
          </w:p>
        </w:tc>
        <w:tc>
          <w:tcPr>
            <w:tcW w:w="1559" w:type="dxa"/>
          </w:tcPr>
          <w:p w14:paraId="136F4C5E" w14:textId="77777777" w:rsidR="003E0F58" w:rsidRPr="007C705C" w:rsidRDefault="003E0F58" w:rsidP="004D2249">
            <w:pPr>
              <w:pBdr>
                <w:top w:val="nil"/>
                <w:left w:val="nil"/>
                <w:bottom w:val="nil"/>
                <w:right w:val="nil"/>
                <w:between w:val="nil"/>
              </w:pBdr>
              <w:jc w:val="center"/>
              <w:rPr>
                <w:rFonts w:eastAsiaTheme="minorEastAsia" w:cs="Times New Roman"/>
                <w:b/>
                <w:bCs/>
                <w:color w:val="000000" w:themeColor="text1"/>
                <w:sz w:val="22"/>
              </w:rPr>
            </w:pPr>
            <w:r w:rsidRPr="007C705C">
              <w:rPr>
                <w:rFonts w:eastAsiaTheme="minorEastAsia" w:cs="Times New Roman"/>
                <w:b/>
                <w:bCs/>
                <w:color w:val="000000" w:themeColor="text1"/>
                <w:sz w:val="22"/>
              </w:rPr>
              <w:t>produkce bioplynu</w:t>
            </w:r>
          </w:p>
        </w:tc>
        <w:tc>
          <w:tcPr>
            <w:tcW w:w="850" w:type="dxa"/>
          </w:tcPr>
          <w:p w14:paraId="2FD17164" w14:textId="77777777" w:rsidR="003E0F58" w:rsidRPr="007C705C" w:rsidRDefault="003E0F58" w:rsidP="004D2249">
            <w:pPr>
              <w:pBdr>
                <w:top w:val="nil"/>
                <w:left w:val="nil"/>
                <w:bottom w:val="nil"/>
                <w:right w:val="nil"/>
                <w:between w:val="nil"/>
              </w:pBdr>
              <w:jc w:val="center"/>
              <w:rPr>
                <w:rFonts w:eastAsia="Calibri" w:cs="Times New Roman"/>
                <w:b/>
                <w:bCs/>
                <w:color w:val="000000"/>
                <w:sz w:val="22"/>
              </w:rPr>
            </w:pPr>
          </w:p>
        </w:tc>
        <w:tc>
          <w:tcPr>
            <w:tcW w:w="1276" w:type="dxa"/>
          </w:tcPr>
          <w:p w14:paraId="10F7C87F" w14:textId="77777777" w:rsidR="003E0F58" w:rsidRPr="007C705C" w:rsidRDefault="003E0F58" w:rsidP="004D2249">
            <w:pPr>
              <w:pBdr>
                <w:top w:val="nil"/>
                <w:left w:val="nil"/>
                <w:bottom w:val="nil"/>
                <w:right w:val="nil"/>
                <w:between w:val="nil"/>
              </w:pBdr>
              <w:jc w:val="center"/>
              <w:rPr>
                <w:rFonts w:eastAsiaTheme="minorEastAsia" w:cs="Times New Roman"/>
                <w:b/>
                <w:bCs/>
                <w:color w:val="000000" w:themeColor="text1"/>
                <w:sz w:val="22"/>
              </w:rPr>
            </w:pPr>
            <w:r w:rsidRPr="007C705C">
              <w:rPr>
                <w:rFonts w:eastAsiaTheme="minorEastAsia" w:cs="Times New Roman"/>
                <w:b/>
                <w:bCs/>
                <w:color w:val="000000" w:themeColor="text1"/>
                <w:sz w:val="22"/>
              </w:rPr>
              <w:t>produkce elektřiny</w:t>
            </w:r>
          </w:p>
        </w:tc>
        <w:tc>
          <w:tcPr>
            <w:tcW w:w="1701" w:type="dxa"/>
          </w:tcPr>
          <w:p w14:paraId="0CD36856" w14:textId="77777777" w:rsidR="003E0F58" w:rsidRPr="007C705C" w:rsidRDefault="003E0F58" w:rsidP="004D2249">
            <w:pPr>
              <w:pBdr>
                <w:top w:val="nil"/>
                <w:left w:val="nil"/>
                <w:bottom w:val="nil"/>
                <w:right w:val="nil"/>
                <w:between w:val="nil"/>
              </w:pBdr>
              <w:jc w:val="center"/>
              <w:rPr>
                <w:rFonts w:eastAsiaTheme="minorEastAsia" w:cs="Times New Roman"/>
                <w:b/>
                <w:bCs/>
                <w:color w:val="000000" w:themeColor="text1"/>
                <w:sz w:val="22"/>
              </w:rPr>
            </w:pPr>
            <w:r w:rsidRPr="007C705C">
              <w:rPr>
                <w:rFonts w:eastAsiaTheme="minorEastAsia" w:cs="Times New Roman"/>
                <w:b/>
                <w:bCs/>
                <w:color w:val="000000" w:themeColor="text1"/>
                <w:sz w:val="22"/>
              </w:rPr>
              <w:t>užité teplo</w:t>
            </w:r>
          </w:p>
        </w:tc>
      </w:tr>
      <w:tr w:rsidR="003E0F58" w:rsidRPr="007C705C" w14:paraId="76FBF371" w14:textId="77777777" w:rsidTr="00812975">
        <w:trPr>
          <w:trHeight w:val="245"/>
          <w:jc w:val="center"/>
        </w:trPr>
        <w:tc>
          <w:tcPr>
            <w:tcW w:w="704" w:type="dxa"/>
          </w:tcPr>
          <w:p w14:paraId="7ECFBB40" w14:textId="77777777" w:rsidR="003E0F58" w:rsidRPr="007C705C" w:rsidRDefault="003E0F58" w:rsidP="004D2249">
            <w:pPr>
              <w:pBdr>
                <w:top w:val="nil"/>
                <w:left w:val="nil"/>
                <w:bottom w:val="nil"/>
                <w:right w:val="nil"/>
                <w:between w:val="nil"/>
              </w:pBdr>
              <w:jc w:val="center"/>
              <w:rPr>
                <w:rFonts w:eastAsia="Calibri" w:cs="Times New Roman"/>
                <w:color w:val="000000"/>
                <w:sz w:val="22"/>
              </w:rPr>
            </w:pPr>
          </w:p>
        </w:tc>
        <w:tc>
          <w:tcPr>
            <w:tcW w:w="1559" w:type="dxa"/>
          </w:tcPr>
          <w:p w14:paraId="024F9272" w14:textId="77777777" w:rsidR="003E0F58" w:rsidRPr="007C705C" w:rsidRDefault="003E0F58" w:rsidP="004D2249">
            <w:pPr>
              <w:pBdr>
                <w:top w:val="nil"/>
                <w:left w:val="nil"/>
                <w:bottom w:val="nil"/>
                <w:right w:val="nil"/>
                <w:between w:val="nil"/>
              </w:pBdr>
              <w:jc w:val="center"/>
              <w:rPr>
                <w:rFonts w:eastAsiaTheme="minorEastAsia" w:cs="Times New Roman"/>
                <w:b/>
                <w:bCs/>
                <w:color w:val="000000" w:themeColor="text1"/>
                <w:sz w:val="22"/>
              </w:rPr>
            </w:pPr>
            <w:r w:rsidRPr="007C705C">
              <w:rPr>
                <w:rFonts w:eastAsiaTheme="minorEastAsia" w:cs="Times New Roman"/>
                <w:b/>
                <w:bCs/>
                <w:color w:val="000000" w:themeColor="text1"/>
                <w:sz w:val="22"/>
              </w:rPr>
              <w:t>MW</w:t>
            </w:r>
          </w:p>
        </w:tc>
        <w:tc>
          <w:tcPr>
            <w:tcW w:w="1560" w:type="dxa"/>
          </w:tcPr>
          <w:p w14:paraId="41B1CD32" w14:textId="77777777" w:rsidR="003E0F58" w:rsidRPr="007C705C" w:rsidRDefault="003E0F58" w:rsidP="004D2249">
            <w:pPr>
              <w:pBdr>
                <w:top w:val="nil"/>
                <w:left w:val="nil"/>
                <w:bottom w:val="nil"/>
                <w:right w:val="nil"/>
                <w:between w:val="nil"/>
              </w:pBdr>
              <w:jc w:val="center"/>
              <w:rPr>
                <w:rFonts w:eastAsia="Calibri" w:cs="Times New Roman"/>
                <w:b/>
                <w:bCs/>
                <w:color w:val="000000"/>
                <w:sz w:val="22"/>
              </w:rPr>
            </w:pPr>
          </w:p>
        </w:tc>
        <w:tc>
          <w:tcPr>
            <w:tcW w:w="1559" w:type="dxa"/>
          </w:tcPr>
          <w:p w14:paraId="5D19D054" w14:textId="77777777" w:rsidR="003E0F58" w:rsidRPr="007C705C" w:rsidRDefault="003E0F58" w:rsidP="004D2249">
            <w:pPr>
              <w:pBdr>
                <w:top w:val="nil"/>
                <w:left w:val="nil"/>
                <w:bottom w:val="nil"/>
                <w:right w:val="nil"/>
                <w:between w:val="nil"/>
              </w:pBdr>
              <w:jc w:val="center"/>
              <w:rPr>
                <w:rFonts w:eastAsiaTheme="minorEastAsia" w:cs="Times New Roman"/>
                <w:b/>
                <w:bCs/>
                <w:color w:val="000000" w:themeColor="text1"/>
                <w:sz w:val="22"/>
              </w:rPr>
            </w:pPr>
            <w:r w:rsidRPr="007C705C">
              <w:rPr>
                <w:rFonts w:eastAsiaTheme="minorEastAsia" w:cs="Times New Roman"/>
                <w:b/>
                <w:bCs/>
                <w:color w:val="000000" w:themeColor="text1"/>
                <w:sz w:val="22"/>
              </w:rPr>
              <w:t>tis.m</w:t>
            </w:r>
            <w:r w:rsidRPr="007C705C">
              <w:rPr>
                <w:rFonts w:eastAsiaTheme="minorEastAsia" w:cs="Times New Roman"/>
                <w:b/>
                <w:bCs/>
                <w:color w:val="000000" w:themeColor="text1"/>
                <w:sz w:val="22"/>
                <w:vertAlign w:val="superscript"/>
              </w:rPr>
              <w:t>3</w:t>
            </w:r>
          </w:p>
        </w:tc>
        <w:tc>
          <w:tcPr>
            <w:tcW w:w="850" w:type="dxa"/>
          </w:tcPr>
          <w:p w14:paraId="425A1D34" w14:textId="77777777" w:rsidR="003E0F58" w:rsidRPr="007C705C" w:rsidRDefault="003E0F58" w:rsidP="004D2249">
            <w:pPr>
              <w:pBdr>
                <w:top w:val="nil"/>
                <w:left w:val="nil"/>
                <w:bottom w:val="nil"/>
                <w:right w:val="nil"/>
                <w:between w:val="nil"/>
              </w:pBdr>
              <w:jc w:val="center"/>
              <w:rPr>
                <w:rFonts w:eastAsiaTheme="minorEastAsia" w:cs="Times New Roman"/>
                <w:b/>
                <w:bCs/>
                <w:color w:val="000000" w:themeColor="text1"/>
                <w:sz w:val="22"/>
              </w:rPr>
            </w:pPr>
            <w:r w:rsidRPr="007C705C">
              <w:rPr>
                <w:rFonts w:eastAsiaTheme="minorEastAsia" w:cs="Times New Roman"/>
                <w:b/>
                <w:bCs/>
                <w:color w:val="000000" w:themeColor="text1"/>
                <w:sz w:val="22"/>
              </w:rPr>
              <w:t>GWh</w:t>
            </w:r>
          </w:p>
        </w:tc>
        <w:tc>
          <w:tcPr>
            <w:tcW w:w="1276" w:type="dxa"/>
          </w:tcPr>
          <w:p w14:paraId="161F22F1" w14:textId="77777777" w:rsidR="003E0F58" w:rsidRPr="007C705C" w:rsidRDefault="003E0F58" w:rsidP="004D2249">
            <w:pPr>
              <w:pBdr>
                <w:top w:val="nil"/>
                <w:left w:val="nil"/>
                <w:bottom w:val="nil"/>
                <w:right w:val="nil"/>
                <w:between w:val="nil"/>
              </w:pBdr>
              <w:jc w:val="center"/>
              <w:rPr>
                <w:rFonts w:eastAsiaTheme="minorEastAsia" w:cs="Times New Roman"/>
                <w:b/>
                <w:bCs/>
                <w:color w:val="000000" w:themeColor="text1"/>
                <w:sz w:val="22"/>
              </w:rPr>
            </w:pPr>
            <w:r w:rsidRPr="007C705C">
              <w:rPr>
                <w:rFonts w:eastAsiaTheme="minorEastAsia" w:cs="Times New Roman"/>
                <w:b/>
                <w:bCs/>
                <w:color w:val="000000" w:themeColor="text1"/>
                <w:sz w:val="22"/>
              </w:rPr>
              <w:t>GWh</w:t>
            </w:r>
          </w:p>
        </w:tc>
        <w:tc>
          <w:tcPr>
            <w:tcW w:w="1701" w:type="dxa"/>
          </w:tcPr>
          <w:p w14:paraId="438C433A" w14:textId="77777777" w:rsidR="003E0F58" w:rsidRPr="007C705C" w:rsidRDefault="003E0F58" w:rsidP="004D2249">
            <w:pPr>
              <w:pBdr>
                <w:top w:val="nil"/>
                <w:left w:val="nil"/>
                <w:bottom w:val="nil"/>
                <w:right w:val="nil"/>
                <w:between w:val="nil"/>
              </w:pBdr>
              <w:jc w:val="center"/>
              <w:rPr>
                <w:rFonts w:eastAsiaTheme="minorEastAsia" w:cs="Times New Roman"/>
                <w:b/>
                <w:bCs/>
                <w:color w:val="000000" w:themeColor="text1"/>
                <w:sz w:val="22"/>
              </w:rPr>
            </w:pPr>
            <w:r w:rsidRPr="007C705C">
              <w:rPr>
                <w:rFonts w:eastAsiaTheme="minorEastAsia" w:cs="Times New Roman"/>
                <w:b/>
                <w:bCs/>
                <w:color w:val="000000" w:themeColor="text1"/>
                <w:sz w:val="22"/>
              </w:rPr>
              <w:t>GWh</w:t>
            </w:r>
          </w:p>
        </w:tc>
      </w:tr>
      <w:tr w:rsidR="003E0F58" w:rsidRPr="007C705C" w14:paraId="4EFB7CCD" w14:textId="77777777" w:rsidTr="00812975">
        <w:trPr>
          <w:trHeight w:val="317"/>
          <w:jc w:val="center"/>
        </w:trPr>
        <w:tc>
          <w:tcPr>
            <w:tcW w:w="704" w:type="dxa"/>
          </w:tcPr>
          <w:p w14:paraId="3AB71B0E" w14:textId="77777777" w:rsidR="003E0F58" w:rsidRPr="007C705C" w:rsidRDefault="003E0F58" w:rsidP="004D2249">
            <w:pPr>
              <w:pBdr>
                <w:top w:val="nil"/>
                <w:left w:val="nil"/>
                <w:bottom w:val="nil"/>
                <w:right w:val="nil"/>
                <w:between w:val="nil"/>
              </w:pBdr>
              <w:rPr>
                <w:rFonts w:eastAsiaTheme="minorEastAsia" w:cs="Times New Roman"/>
                <w:b/>
                <w:bCs/>
                <w:color w:val="000000" w:themeColor="text1"/>
                <w:sz w:val="22"/>
              </w:rPr>
            </w:pPr>
            <w:r w:rsidRPr="007C705C">
              <w:rPr>
                <w:rFonts w:eastAsiaTheme="minorEastAsia" w:cs="Times New Roman"/>
                <w:b/>
                <w:bCs/>
                <w:color w:val="000000" w:themeColor="text1"/>
                <w:sz w:val="22"/>
              </w:rPr>
              <w:t>2016</w:t>
            </w:r>
          </w:p>
        </w:tc>
        <w:tc>
          <w:tcPr>
            <w:tcW w:w="1559" w:type="dxa"/>
          </w:tcPr>
          <w:p w14:paraId="1D95BC3C"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365</w:t>
            </w:r>
          </w:p>
        </w:tc>
        <w:tc>
          <w:tcPr>
            <w:tcW w:w="1560" w:type="dxa"/>
          </w:tcPr>
          <w:p w14:paraId="1462FC9A"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419</w:t>
            </w:r>
          </w:p>
        </w:tc>
        <w:tc>
          <w:tcPr>
            <w:tcW w:w="1559" w:type="dxa"/>
          </w:tcPr>
          <w:p w14:paraId="34815944"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1 333 333</w:t>
            </w:r>
          </w:p>
        </w:tc>
        <w:tc>
          <w:tcPr>
            <w:tcW w:w="850" w:type="dxa"/>
          </w:tcPr>
          <w:p w14:paraId="614A5DD1"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6 667</w:t>
            </w:r>
          </w:p>
        </w:tc>
        <w:tc>
          <w:tcPr>
            <w:tcW w:w="1276" w:type="dxa"/>
          </w:tcPr>
          <w:p w14:paraId="7CFE0C24"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2600</w:t>
            </w:r>
          </w:p>
        </w:tc>
        <w:tc>
          <w:tcPr>
            <w:tcW w:w="1701" w:type="dxa"/>
          </w:tcPr>
          <w:p w14:paraId="3924AC87"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859</w:t>
            </w:r>
          </w:p>
        </w:tc>
      </w:tr>
      <w:tr w:rsidR="003E0F58" w:rsidRPr="007C705C" w14:paraId="1B1D50F2" w14:textId="77777777" w:rsidTr="00812975">
        <w:trPr>
          <w:trHeight w:val="245"/>
          <w:jc w:val="center"/>
        </w:trPr>
        <w:tc>
          <w:tcPr>
            <w:tcW w:w="704" w:type="dxa"/>
          </w:tcPr>
          <w:p w14:paraId="20EFA26F" w14:textId="77777777" w:rsidR="003E0F58" w:rsidRPr="007C705C" w:rsidRDefault="003E0F58" w:rsidP="004D2249">
            <w:pPr>
              <w:pBdr>
                <w:top w:val="nil"/>
                <w:left w:val="nil"/>
                <w:bottom w:val="nil"/>
                <w:right w:val="nil"/>
                <w:between w:val="nil"/>
              </w:pBdr>
              <w:rPr>
                <w:rFonts w:eastAsiaTheme="minorEastAsia" w:cs="Times New Roman"/>
                <w:b/>
                <w:bCs/>
                <w:color w:val="000000" w:themeColor="text1"/>
                <w:sz w:val="22"/>
              </w:rPr>
            </w:pPr>
            <w:r w:rsidRPr="007C705C">
              <w:rPr>
                <w:rFonts w:eastAsiaTheme="minorEastAsia" w:cs="Times New Roman"/>
                <w:b/>
                <w:bCs/>
                <w:color w:val="000000" w:themeColor="text1"/>
                <w:sz w:val="22"/>
              </w:rPr>
              <w:t>2020</w:t>
            </w:r>
          </w:p>
        </w:tc>
        <w:tc>
          <w:tcPr>
            <w:tcW w:w="1559" w:type="dxa"/>
          </w:tcPr>
          <w:p w14:paraId="24374DA0"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345</w:t>
            </w:r>
          </w:p>
        </w:tc>
        <w:tc>
          <w:tcPr>
            <w:tcW w:w="1560" w:type="dxa"/>
          </w:tcPr>
          <w:p w14:paraId="78A9A9AB"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401</w:t>
            </w:r>
          </w:p>
        </w:tc>
        <w:tc>
          <w:tcPr>
            <w:tcW w:w="1559" w:type="dxa"/>
          </w:tcPr>
          <w:p w14:paraId="1FDF0E51"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1 259 178</w:t>
            </w:r>
          </w:p>
        </w:tc>
        <w:tc>
          <w:tcPr>
            <w:tcW w:w="850" w:type="dxa"/>
          </w:tcPr>
          <w:p w14:paraId="4B350361"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6 296</w:t>
            </w:r>
          </w:p>
        </w:tc>
        <w:tc>
          <w:tcPr>
            <w:tcW w:w="1276" w:type="dxa"/>
          </w:tcPr>
          <w:p w14:paraId="4BCF84CB"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2 455</w:t>
            </w:r>
          </w:p>
        </w:tc>
        <w:tc>
          <w:tcPr>
            <w:tcW w:w="1701" w:type="dxa"/>
          </w:tcPr>
          <w:p w14:paraId="73263071"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1 095</w:t>
            </w:r>
          </w:p>
        </w:tc>
      </w:tr>
      <w:tr w:rsidR="003E0F58" w:rsidRPr="007C705C" w14:paraId="132C10EC" w14:textId="77777777" w:rsidTr="00812975">
        <w:trPr>
          <w:trHeight w:val="299"/>
          <w:jc w:val="center"/>
        </w:trPr>
        <w:tc>
          <w:tcPr>
            <w:tcW w:w="704" w:type="dxa"/>
          </w:tcPr>
          <w:p w14:paraId="4EB70AFC" w14:textId="77777777" w:rsidR="003E0F58" w:rsidRPr="007C705C" w:rsidRDefault="003E0F58" w:rsidP="004D2249">
            <w:pPr>
              <w:pBdr>
                <w:top w:val="nil"/>
                <w:left w:val="nil"/>
                <w:bottom w:val="nil"/>
                <w:right w:val="nil"/>
                <w:between w:val="nil"/>
              </w:pBdr>
              <w:rPr>
                <w:rFonts w:eastAsiaTheme="minorEastAsia" w:cs="Times New Roman"/>
                <w:b/>
                <w:bCs/>
                <w:color w:val="000000" w:themeColor="text1"/>
                <w:sz w:val="22"/>
              </w:rPr>
            </w:pPr>
            <w:r w:rsidRPr="007C705C">
              <w:rPr>
                <w:rFonts w:eastAsiaTheme="minorEastAsia" w:cs="Times New Roman"/>
                <w:b/>
                <w:bCs/>
                <w:color w:val="000000" w:themeColor="text1"/>
                <w:sz w:val="22"/>
              </w:rPr>
              <w:lastRenderedPageBreak/>
              <w:t>2021</w:t>
            </w:r>
          </w:p>
        </w:tc>
        <w:tc>
          <w:tcPr>
            <w:tcW w:w="1559" w:type="dxa"/>
          </w:tcPr>
          <w:p w14:paraId="5F2D52CA"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343</w:t>
            </w:r>
          </w:p>
        </w:tc>
        <w:tc>
          <w:tcPr>
            <w:tcW w:w="1560" w:type="dxa"/>
          </w:tcPr>
          <w:p w14:paraId="68CE0924"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399</w:t>
            </w:r>
          </w:p>
        </w:tc>
        <w:tc>
          <w:tcPr>
            <w:tcW w:w="1559" w:type="dxa"/>
          </w:tcPr>
          <w:p w14:paraId="43418A49"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1 339 900</w:t>
            </w:r>
          </w:p>
        </w:tc>
        <w:tc>
          <w:tcPr>
            <w:tcW w:w="850" w:type="dxa"/>
          </w:tcPr>
          <w:p w14:paraId="4462F50D"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6 700</w:t>
            </w:r>
          </w:p>
        </w:tc>
        <w:tc>
          <w:tcPr>
            <w:tcW w:w="1276" w:type="dxa"/>
          </w:tcPr>
          <w:p w14:paraId="235FC818"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2 613</w:t>
            </w:r>
          </w:p>
        </w:tc>
        <w:tc>
          <w:tcPr>
            <w:tcW w:w="1701" w:type="dxa"/>
          </w:tcPr>
          <w:p w14:paraId="2C8C086D"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1 168</w:t>
            </w:r>
          </w:p>
        </w:tc>
      </w:tr>
      <w:tr w:rsidR="003E0F58" w:rsidRPr="007C705C" w14:paraId="1EE9E987" w14:textId="77777777" w:rsidTr="00812975">
        <w:trPr>
          <w:trHeight w:val="155"/>
          <w:jc w:val="center"/>
        </w:trPr>
        <w:tc>
          <w:tcPr>
            <w:tcW w:w="704" w:type="dxa"/>
          </w:tcPr>
          <w:p w14:paraId="1C91E09D" w14:textId="77777777" w:rsidR="003E0F58" w:rsidRPr="007C705C" w:rsidRDefault="003E0F58" w:rsidP="004D2249">
            <w:pPr>
              <w:pBdr>
                <w:top w:val="nil"/>
                <w:left w:val="nil"/>
                <w:bottom w:val="nil"/>
                <w:right w:val="nil"/>
                <w:between w:val="nil"/>
              </w:pBdr>
              <w:rPr>
                <w:rFonts w:eastAsiaTheme="minorEastAsia" w:cs="Times New Roman"/>
                <w:b/>
                <w:bCs/>
                <w:color w:val="000000" w:themeColor="text1"/>
                <w:sz w:val="22"/>
              </w:rPr>
            </w:pPr>
            <w:r w:rsidRPr="007C705C">
              <w:rPr>
                <w:rFonts w:eastAsiaTheme="minorEastAsia" w:cs="Times New Roman"/>
                <w:b/>
                <w:bCs/>
                <w:color w:val="000000" w:themeColor="text1"/>
                <w:sz w:val="22"/>
              </w:rPr>
              <w:t>2022</w:t>
            </w:r>
          </w:p>
        </w:tc>
        <w:tc>
          <w:tcPr>
            <w:tcW w:w="1559" w:type="dxa"/>
          </w:tcPr>
          <w:p w14:paraId="2362A753"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330</w:t>
            </w:r>
          </w:p>
        </w:tc>
        <w:tc>
          <w:tcPr>
            <w:tcW w:w="1560" w:type="dxa"/>
          </w:tcPr>
          <w:p w14:paraId="1AB9EF26"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384</w:t>
            </w:r>
          </w:p>
        </w:tc>
        <w:tc>
          <w:tcPr>
            <w:tcW w:w="1559" w:type="dxa"/>
          </w:tcPr>
          <w:p w14:paraId="6A185008"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1 299 147</w:t>
            </w:r>
          </w:p>
        </w:tc>
        <w:tc>
          <w:tcPr>
            <w:tcW w:w="850" w:type="dxa"/>
          </w:tcPr>
          <w:p w14:paraId="41C32AD5"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6 496</w:t>
            </w:r>
          </w:p>
        </w:tc>
        <w:tc>
          <w:tcPr>
            <w:tcW w:w="1276" w:type="dxa"/>
          </w:tcPr>
          <w:p w14:paraId="774F04BE"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2 533</w:t>
            </w:r>
          </w:p>
        </w:tc>
        <w:tc>
          <w:tcPr>
            <w:tcW w:w="1701" w:type="dxa"/>
          </w:tcPr>
          <w:p w14:paraId="2D75E549"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1 186</w:t>
            </w:r>
          </w:p>
        </w:tc>
      </w:tr>
      <w:tr w:rsidR="003E0F58" w:rsidRPr="007C705C" w14:paraId="2BE5D567" w14:textId="77777777" w:rsidTr="00812975">
        <w:trPr>
          <w:trHeight w:val="155"/>
          <w:jc w:val="center"/>
        </w:trPr>
        <w:tc>
          <w:tcPr>
            <w:tcW w:w="704" w:type="dxa"/>
          </w:tcPr>
          <w:p w14:paraId="0EB0A8E0" w14:textId="77777777" w:rsidR="003E0F58" w:rsidRPr="007C705C" w:rsidRDefault="003E0F58" w:rsidP="004D2249">
            <w:pPr>
              <w:pBdr>
                <w:top w:val="nil"/>
                <w:left w:val="nil"/>
                <w:bottom w:val="nil"/>
                <w:right w:val="nil"/>
                <w:between w:val="nil"/>
              </w:pBdr>
              <w:rPr>
                <w:rFonts w:eastAsiaTheme="minorEastAsia" w:cs="Times New Roman"/>
                <w:b/>
                <w:bCs/>
                <w:color w:val="000000" w:themeColor="text1"/>
                <w:sz w:val="22"/>
              </w:rPr>
            </w:pPr>
            <w:r w:rsidRPr="007C705C">
              <w:rPr>
                <w:rFonts w:eastAsiaTheme="minorEastAsia" w:cs="Times New Roman"/>
                <w:b/>
                <w:bCs/>
                <w:color w:val="000000" w:themeColor="text1"/>
                <w:sz w:val="22"/>
              </w:rPr>
              <w:t>2023</w:t>
            </w:r>
          </w:p>
        </w:tc>
        <w:tc>
          <w:tcPr>
            <w:tcW w:w="1559" w:type="dxa"/>
          </w:tcPr>
          <w:p w14:paraId="2A4B6222"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322</w:t>
            </w:r>
          </w:p>
        </w:tc>
        <w:tc>
          <w:tcPr>
            <w:tcW w:w="1560" w:type="dxa"/>
          </w:tcPr>
          <w:p w14:paraId="29007424"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375</w:t>
            </w:r>
          </w:p>
        </w:tc>
        <w:tc>
          <w:tcPr>
            <w:tcW w:w="1559" w:type="dxa"/>
          </w:tcPr>
          <w:p w14:paraId="11744EFD"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1 277 155</w:t>
            </w:r>
          </w:p>
        </w:tc>
        <w:tc>
          <w:tcPr>
            <w:tcW w:w="850" w:type="dxa"/>
          </w:tcPr>
          <w:p w14:paraId="36070572"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6 386</w:t>
            </w:r>
          </w:p>
        </w:tc>
        <w:tc>
          <w:tcPr>
            <w:tcW w:w="1276" w:type="dxa"/>
          </w:tcPr>
          <w:p w14:paraId="4668AF78"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2 490</w:t>
            </w:r>
          </w:p>
        </w:tc>
        <w:tc>
          <w:tcPr>
            <w:tcW w:w="1701" w:type="dxa"/>
          </w:tcPr>
          <w:p w14:paraId="39206C41"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1 219</w:t>
            </w:r>
          </w:p>
        </w:tc>
      </w:tr>
      <w:tr w:rsidR="003E0F58" w:rsidRPr="007C705C" w14:paraId="7CC1F744" w14:textId="77777777" w:rsidTr="00812975">
        <w:trPr>
          <w:trHeight w:val="254"/>
          <w:jc w:val="center"/>
        </w:trPr>
        <w:tc>
          <w:tcPr>
            <w:tcW w:w="704" w:type="dxa"/>
          </w:tcPr>
          <w:p w14:paraId="2B389774" w14:textId="77777777" w:rsidR="003E0F58" w:rsidRPr="007C705C" w:rsidRDefault="003E0F58" w:rsidP="004D2249">
            <w:pPr>
              <w:pBdr>
                <w:top w:val="nil"/>
                <w:left w:val="nil"/>
                <w:bottom w:val="nil"/>
                <w:right w:val="nil"/>
                <w:between w:val="nil"/>
              </w:pBdr>
              <w:rPr>
                <w:rFonts w:eastAsiaTheme="minorEastAsia" w:cs="Times New Roman"/>
                <w:b/>
                <w:bCs/>
                <w:color w:val="000000" w:themeColor="text1"/>
                <w:sz w:val="22"/>
              </w:rPr>
            </w:pPr>
            <w:r w:rsidRPr="007C705C">
              <w:rPr>
                <w:rFonts w:eastAsiaTheme="minorEastAsia" w:cs="Times New Roman"/>
                <w:b/>
                <w:bCs/>
                <w:color w:val="000000" w:themeColor="text1"/>
                <w:sz w:val="22"/>
              </w:rPr>
              <w:t>2024</w:t>
            </w:r>
          </w:p>
        </w:tc>
        <w:tc>
          <w:tcPr>
            <w:tcW w:w="1559" w:type="dxa"/>
          </w:tcPr>
          <w:p w14:paraId="3516F81C"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321</w:t>
            </w:r>
          </w:p>
        </w:tc>
        <w:tc>
          <w:tcPr>
            <w:tcW w:w="1560" w:type="dxa"/>
          </w:tcPr>
          <w:p w14:paraId="4D392223"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373</w:t>
            </w:r>
          </w:p>
        </w:tc>
        <w:tc>
          <w:tcPr>
            <w:tcW w:w="1559" w:type="dxa"/>
          </w:tcPr>
          <w:p w14:paraId="23DF7BFF"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1 277 809</w:t>
            </w:r>
          </w:p>
        </w:tc>
        <w:tc>
          <w:tcPr>
            <w:tcW w:w="850" w:type="dxa"/>
          </w:tcPr>
          <w:p w14:paraId="4FA4B2F6"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6 389</w:t>
            </w:r>
          </w:p>
        </w:tc>
        <w:tc>
          <w:tcPr>
            <w:tcW w:w="1276" w:type="dxa"/>
          </w:tcPr>
          <w:p w14:paraId="7C727296"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2 492</w:t>
            </w:r>
          </w:p>
        </w:tc>
        <w:tc>
          <w:tcPr>
            <w:tcW w:w="1701" w:type="dxa"/>
          </w:tcPr>
          <w:p w14:paraId="4DA2E1EC"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1 272</w:t>
            </w:r>
          </w:p>
        </w:tc>
      </w:tr>
      <w:tr w:rsidR="003E0F58" w:rsidRPr="007C705C" w14:paraId="41B66DE8" w14:textId="77777777" w:rsidTr="00812975">
        <w:trPr>
          <w:trHeight w:val="164"/>
          <w:jc w:val="center"/>
        </w:trPr>
        <w:tc>
          <w:tcPr>
            <w:tcW w:w="704" w:type="dxa"/>
          </w:tcPr>
          <w:p w14:paraId="3837F86B" w14:textId="77777777" w:rsidR="003E0F58" w:rsidRPr="007C705C" w:rsidRDefault="003E0F58" w:rsidP="004D2249">
            <w:pPr>
              <w:pBdr>
                <w:top w:val="nil"/>
                <w:left w:val="nil"/>
                <w:bottom w:val="nil"/>
                <w:right w:val="nil"/>
                <w:between w:val="nil"/>
              </w:pBdr>
              <w:rPr>
                <w:rFonts w:eastAsiaTheme="minorEastAsia" w:cs="Times New Roman"/>
                <w:b/>
                <w:bCs/>
                <w:color w:val="000000" w:themeColor="text1"/>
                <w:sz w:val="22"/>
              </w:rPr>
            </w:pPr>
            <w:r w:rsidRPr="007C705C">
              <w:rPr>
                <w:rFonts w:eastAsiaTheme="minorEastAsia" w:cs="Times New Roman"/>
                <w:b/>
                <w:bCs/>
                <w:color w:val="000000" w:themeColor="text1"/>
                <w:sz w:val="22"/>
              </w:rPr>
              <w:t>2025</w:t>
            </w:r>
          </w:p>
        </w:tc>
        <w:tc>
          <w:tcPr>
            <w:tcW w:w="1559" w:type="dxa"/>
          </w:tcPr>
          <w:p w14:paraId="5641FF81"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319</w:t>
            </w:r>
          </w:p>
        </w:tc>
        <w:tc>
          <w:tcPr>
            <w:tcW w:w="1560" w:type="dxa"/>
          </w:tcPr>
          <w:p w14:paraId="3CF3E183"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371</w:t>
            </w:r>
          </w:p>
        </w:tc>
        <w:tc>
          <w:tcPr>
            <w:tcW w:w="1559" w:type="dxa"/>
          </w:tcPr>
          <w:p w14:paraId="731F3CC6"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1 279 007</w:t>
            </w:r>
          </w:p>
        </w:tc>
        <w:tc>
          <w:tcPr>
            <w:tcW w:w="850" w:type="dxa"/>
          </w:tcPr>
          <w:p w14:paraId="106B5E23"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6 395</w:t>
            </w:r>
          </w:p>
        </w:tc>
        <w:tc>
          <w:tcPr>
            <w:tcW w:w="1276" w:type="dxa"/>
          </w:tcPr>
          <w:p w14:paraId="02070EE7"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2 494</w:t>
            </w:r>
          </w:p>
        </w:tc>
        <w:tc>
          <w:tcPr>
            <w:tcW w:w="1701" w:type="dxa"/>
          </w:tcPr>
          <w:p w14:paraId="63D37182"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1 326</w:t>
            </w:r>
          </w:p>
        </w:tc>
      </w:tr>
      <w:tr w:rsidR="003E0F58" w:rsidRPr="007C705C" w14:paraId="16F8F900" w14:textId="77777777" w:rsidTr="00812975">
        <w:trPr>
          <w:trHeight w:val="272"/>
          <w:jc w:val="center"/>
        </w:trPr>
        <w:tc>
          <w:tcPr>
            <w:tcW w:w="704" w:type="dxa"/>
          </w:tcPr>
          <w:p w14:paraId="0EA33A6C" w14:textId="77777777" w:rsidR="003E0F58" w:rsidRPr="007C705C" w:rsidRDefault="003E0F58" w:rsidP="004D2249">
            <w:pPr>
              <w:pBdr>
                <w:top w:val="nil"/>
                <w:left w:val="nil"/>
                <w:bottom w:val="nil"/>
                <w:right w:val="nil"/>
                <w:between w:val="nil"/>
              </w:pBdr>
              <w:rPr>
                <w:rFonts w:eastAsiaTheme="minorEastAsia" w:cs="Times New Roman"/>
                <w:b/>
                <w:bCs/>
                <w:color w:val="000000" w:themeColor="text1"/>
                <w:sz w:val="22"/>
              </w:rPr>
            </w:pPr>
            <w:r w:rsidRPr="007C705C">
              <w:rPr>
                <w:rFonts w:eastAsiaTheme="minorEastAsia" w:cs="Times New Roman"/>
                <w:b/>
                <w:bCs/>
                <w:color w:val="000000" w:themeColor="text1"/>
                <w:sz w:val="22"/>
              </w:rPr>
              <w:t>2026</w:t>
            </w:r>
          </w:p>
        </w:tc>
        <w:tc>
          <w:tcPr>
            <w:tcW w:w="1559" w:type="dxa"/>
          </w:tcPr>
          <w:p w14:paraId="2704EC3F"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297</w:t>
            </w:r>
          </w:p>
        </w:tc>
        <w:tc>
          <w:tcPr>
            <w:tcW w:w="1560" w:type="dxa"/>
          </w:tcPr>
          <w:p w14:paraId="02E7EA68"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346</w:t>
            </w:r>
          </w:p>
        </w:tc>
        <w:tc>
          <w:tcPr>
            <w:tcW w:w="1559" w:type="dxa"/>
          </w:tcPr>
          <w:p w14:paraId="16185021"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1 223 243</w:t>
            </w:r>
          </w:p>
        </w:tc>
        <w:tc>
          <w:tcPr>
            <w:tcW w:w="850" w:type="dxa"/>
          </w:tcPr>
          <w:p w14:paraId="3DC6CC3F"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6 116</w:t>
            </w:r>
          </w:p>
        </w:tc>
        <w:tc>
          <w:tcPr>
            <w:tcW w:w="1276" w:type="dxa"/>
          </w:tcPr>
          <w:p w14:paraId="0E965798"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2 385</w:t>
            </w:r>
          </w:p>
        </w:tc>
        <w:tc>
          <w:tcPr>
            <w:tcW w:w="1701" w:type="dxa"/>
          </w:tcPr>
          <w:p w14:paraId="38AB195E"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1 250</w:t>
            </w:r>
          </w:p>
        </w:tc>
      </w:tr>
      <w:tr w:rsidR="003E0F58" w:rsidRPr="007C705C" w14:paraId="21C1BFE3" w14:textId="77777777" w:rsidTr="00812975">
        <w:trPr>
          <w:trHeight w:val="290"/>
          <w:jc w:val="center"/>
        </w:trPr>
        <w:tc>
          <w:tcPr>
            <w:tcW w:w="704" w:type="dxa"/>
          </w:tcPr>
          <w:p w14:paraId="68754446" w14:textId="77777777" w:rsidR="003E0F58" w:rsidRPr="007C705C" w:rsidRDefault="003E0F58" w:rsidP="004D2249">
            <w:pPr>
              <w:pBdr>
                <w:top w:val="nil"/>
                <w:left w:val="nil"/>
                <w:bottom w:val="nil"/>
                <w:right w:val="nil"/>
                <w:between w:val="nil"/>
              </w:pBdr>
              <w:rPr>
                <w:rFonts w:eastAsiaTheme="minorEastAsia" w:cs="Times New Roman"/>
                <w:b/>
                <w:bCs/>
                <w:color w:val="000000" w:themeColor="text1"/>
                <w:sz w:val="22"/>
              </w:rPr>
            </w:pPr>
            <w:r w:rsidRPr="007C705C">
              <w:rPr>
                <w:rFonts w:eastAsiaTheme="minorEastAsia" w:cs="Times New Roman"/>
                <w:b/>
                <w:bCs/>
                <w:color w:val="000000" w:themeColor="text1"/>
                <w:sz w:val="22"/>
              </w:rPr>
              <w:t>2027</w:t>
            </w:r>
          </w:p>
        </w:tc>
        <w:tc>
          <w:tcPr>
            <w:tcW w:w="1559" w:type="dxa"/>
          </w:tcPr>
          <w:p w14:paraId="75C91202"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283</w:t>
            </w:r>
          </w:p>
        </w:tc>
        <w:tc>
          <w:tcPr>
            <w:tcW w:w="1560" w:type="dxa"/>
          </w:tcPr>
          <w:p w14:paraId="3DC4DC19"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329</w:t>
            </w:r>
          </w:p>
        </w:tc>
        <w:tc>
          <w:tcPr>
            <w:tcW w:w="1559" w:type="dxa"/>
          </w:tcPr>
          <w:p w14:paraId="443C9136"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1 167 143</w:t>
            </w:r>
          </w:p>
        </w:tc>
        <w:tc>
          <w:tcPr>
            <w:tcW w:w="850" w:type="dxa"/>
          </w:tcPr>
          <w:p w14:paraId="629B8E32"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5 836</w:t>
            </w:r>
          </w:p>
        </w:tc>
        <w:tc>
          <w:tcPr>
            <w:tcW w:w="1276" w:type="dxa"/>
          </w:tcPr>
          <w:p w14:paraId="04AAFC3E"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2 276</w:t>
            </w:r>
          </w:p>
        </w:tc>
        <w:tc>
          <w:tcPr>
            <w:tcW w:w="1701" w:type="dxa"/>
          </w:tcPr>
          <w:p w14:paraId="2E9B9577"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1 191</w:t>
            </w:r>
          </w:p>
        </w:tc>
      </w:tr>
      <w:tr w:rsidR="003E0F58" w:rsidRPr="007C705C" w14:paraId="29AA3B9E" w14:textId="77777777" w:rsidTr="00812975">
        <w:trPr>
          <w:trHeight w:val="200"/>
          <w:jc w:val="center"/>
        </w:trPr>
        <w:tc>
          <w:tcPr>
            <w:tcW w:w="704" w:type="dxa"/>
          </w:tcPr>
          <w:p w14:paraId="20EB3026" w14:textId="77777777" w:rsidR="003E0F58" w:rsidRPr="007C705C" w:rsidRDefault="003E0F58" w:rsidP="004D2249">
            <w:pPr>
              <w:pBdr>
                <w:top w:val="nil"/>
                <w:left w:val="nil"/>
                <w:bottom w:val="nil"/>
                <w:right w:val="nil"/>
                <w:between w:val="nil"/>
              </w:pBdr>
              <w:rPr>
                <w:rFonts w:eastAsiaTheme="minorEastAsia" w:cs="Times New Roman"/>
                <w:b/>
                <w:bCs/>
                <w:color w:val="000000" w:themeColor="text1"/>
                <w:sz w:val="22"/>
              </w:rPr>
            </w:pPr>
            <w:r w:rsidRPr="007C705C">
              <w:rPr>
                <w:rFonts w:eastAsiaTheme="minorEastAsia" w:cs="Times New Roman"/>
                <w:b/>
                <w:bCs/>
                <w:color w:val="000000" w:themeColor="text1"/>
                <w:sz w:val="22"/>
              </w:rPr>
              <w:t>2028</w:t>
            </w:r>
          </w:p>
        </w:tc>
        <w:tc>
          <w:tcPr>
            <w:tcW w:w="1559" w:type="dxa"/>
          </w:tcPr>
          <w:p w14:paraId="79A2DC9F"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267</w:t>
            </w:r>
          </w:p>
        </w:tc>
        <w:tc>
          <w:tcPr>
            <w:tcW w:w="1560" w:type="dxa"/>
          </w:tcPr>
          <w:p w14:paraId="77F6B027"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311</w:t>
            </w:r>
          </w:p>
        </w:tc>
        <w:tc>
          <w:tcPr>
            <w:tcW w:w="1559" w:type="dxa"/>
          </w:tcPr>
          <w:p w14:paraId="4DD0B3B1"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1 104 716</w:t>
            </w:r>
          </w:p>
        </w:tc>
        <w:tc>
          <w:tcPr>
            <w:tcW w:w="850" w:type="dxa"/>
          </w:tcPr>
          <w:p w14:paraId="5A8A59F3"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5 524</w:t>
            </w:r>
          </w:p>
        </w:tc>
        <w:tc>
          <w:tcPr>
            <w:tcW w:w="1276" w:type="dxa"/>
          </w:tcPr>
          <w:p w14:paraId="08A9B884"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2 154</w:t>
            </w:r>
          </w:p>
        </w:tc>
        <w:tc>
          <w:tcPr>
            <w:tcW w:w="1701" w:type="dxa"/>
          </w:tcPr>
          <w:p w14:paraId="72184F61"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1 125</w:t>
            </w:r>
          </w:p>
        </w:tc>
      </w:tr>
      <w:tr w:rsidR="003E0F58" w:rsidRPr="007C705C" w14:paraId="5E4785FF" w14:textId="77777777" w:rsidTr="00812975">
        <w:trPr>
          <w:trHeight w:val="209"/>
          <w:jc w:val="center"/>
        </w:trPr>
        <w:tc>
          <w:tcPr>
            <w:tcW w:w="704" w:type="dxa"/>
          </w:tcPr>
          <w:p w14:paraId="02BDEE26" w14:textId="77777777" w:rsidR="003E0F58" w:rsidRPr="007C705C" w:rsidRDefault="003E0F58" w:rsidP="004D2249">
            <w:pPr>
              <w:pBdr>
                <w:top w:val="nil"/>
                <w:left w:val="nil"/>
                <w:bottom w:val="nil"/>
                <w:right w:val="nil"/>
                <w:between w:val="nil"/>
              </w:pBdr>
              <w:rPr>
                <w:rFonts w:eastAsiaTheme="minorEastAsia" w:cs="Times New Roman"/>
                <w:b/>
                <w:bCs/>
                <w:color w:val="000000" w:themeColor="text1"/>
                <w:sz w:val="22"/>
              </w:rPr>
            </w:pPr>
            <w:r w:rsidRPr="007C705C">
              <w:rPr>
                <w:rFonts w:eastAsiaTheme="minorEastAsia" w:cs="Times New Roman"/>
                <w:b/>
                <w:bCs/>
                <w:color w:val="000000" w:themeColor="text1"/>
                <w:sz w:val="22"/>
              </w:rPr>
              <w:t>2029</w:t>
            </w:r>
          </w:p>
        </w:tc>
        <w:tc>
          <w:tcPr>
            <w:tcW w:w="1559" w:type="dxa"/>
          </w:tcPr>
          <w:p w14:paraId="4B65E1CC"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247</w:t>
            </w:r>
          </w:p>
        </w:tc>
        <w:tc>
          <w:tcPr>
            <w:tcW w:w="1560" w:type="dxa"/>
          </w:tcPr>
          <w:p w14:paraId="1E943F95"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288</w:t>
            </w:r>
          </w:p>
        </w:tc>
        <w:tc>
          <w:tcPr>
            <w:tcW w:w="1559" w:type="dxa"/>
          </w:tcPr>
          <w:p w14:paraId="3857F3E6"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1 029 533</w:t>
            </w:r>
          </w:p>
        </w:tc>
        <w:tc>
          <w:tcPr>
            <w:tcW w:w="850" w:type="dxa"/>
          </w:tcPr>
          <w:p w14:paraId="21347DF2"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5 148</w:t>
            </w:r>
          </w:p>
        </w:tc>
        <w:tc>
          <w:tcPr>
            <w:tcW w:w="1276" w:type="dxa"/>
          </w:tcPr>
          <w:p w14:paraId="75D07A03"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2 008</w:t>
            </w:r>
          </w:p>
        </w:tc>
        <w:tc>
          <w:tcPr>
            <w:tcW w:w="1701" w:type="dxa"/>
          </w:tcPr>
          <w:p w14:paraId="59E5C1C5"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1 045</w:t>
            </w:r>
          </w:p>
        </w:tc>
      </w:tr>
      <w:tr w:rsidR="003E0F58" w:rsidRPr="007C705C" w14:paraId="58F8EADC" w14:textId="77777777" w:rsidTr="00812975">
        <w:trPr>
          <w:trHeight w:val="317"/>
          <w:jc w:val="center"/>
        </w:trPr>
        <w:tc>
          <w:tcPr>
            <w:tcW w:w="704" w:type="dxa"/>
          </w:tcPr>
          <w:p w14:paraId="78EC62E5" w14:textId="77777777" w:rsidR="003E0F58" w:rsidRPr="007C705C" w:rsidRDefault="003E0F58" w:rsidP="004D2249">
            <w:pPr>
              <w:pBdr>
                <w:top w:val="nil"/>
                <w:left w:val="nil"/>
                <w:bottom w:val="nil"/>
                <w:right w:val="nil"/>
                <w:between w:val="nil"/>
              </w:pBdr>
              <w:rPr>
                <w:rFonts w:eastAsiaTheme="minorEastAsia" w:cs="Times New Roman"/>
                <w:b/>
                <w:bCs/>
                <w:color w:val="000000" w:themeColor="text1"/>
                <w:sz w:val="22"/>
              </w:rPr>
            </w:pPr>
            <w:r w:rsidRPr="007C705C">
              <w:rPr>
                <w:rFonts w:eastAsiaTheme="minorEastAsia" w:cs="Times New Roman"/>
                <w:b/>
                <w:bCs/>
                <w:color w:val="000000" w:themeColor="text1"/>
                <w:sz w:val="22"/>
              </w:rPr>
              <w:t>2030</w:t>
            </w:r>
          </w:p>
        </w:tc>
        <w:tc>
          <w:tcPr>
            <w:tcW w:w="1559" w:type="dxa"/>
          </w:tcPr>
          <w:p w14:paraId="1F9AF48A"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218</w:t>
            </w:r>
          </w:p>
        </w:tc>
        <w:tc>
          <w:tcPr>
            <w:tcW w:w="1560" w:type="dxa"/>
          </w:tcPr>
          <w:p w14:paraId="16A403AA"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254</w:t>
            </w:r>
          </w:p>
        </w:tc>
        <w:tc>
          <w:tcPr>
            <w:tcW w:w="1559" w:type="dxa"/>
          </w:tcPr>
          <w:p w14:paraId="2D2D46B5"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919 321</w:t>
            </w:r>
          </w:p>
        </w:tc>
        <w:tc>
          <w:tcPr>
            <w:tcW w:w="850" w:type="dxa"/>
          </w:tcPr>
          <w:p w14:paraId="3CFE5F34"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4 597</w:t>
            </w:r>
          </w:p>
        </w:tc>
        <w:tc>
          <w:tcPr>
            <w:tcW w:w="1276" w:type="dxa"/>
          </w:tcPr>
          <w:p w14:paraId="05971261"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1 793</w:t>
            </w:r>
          </w:p>
        </w:tc>
        <w:tc>
          <w:tcPr>
            <w:tcW w:w="1701" w:type="dxa"/>
          </w:tcPr>
          <w:p w14:paraId="0FA8C777" w14:textId="77777777" w:rsidR="003E0F58" w:rsidRPr="007C705C" w:rsidRDefault="003E0F58" w:rsidP="00812975">
            <w:pPr>
              <w:pBdr>
                <w:top w:val="nil"/>
                <w:left w:val="nil"/>
                <w:bottom w:val="nil"/>
                <w:right w:val="nil"/>
                <w:between w:val="nil"/>
              </w:pBdr>
              <w:jc w:val="center"/>
              <w:rPr>
                <w:rFonts w:eastAsiaTheme="minorEastAsia" w:cs="Times New Roman"/>
                <w:color w:val="000000" w:themeColor="text1"/>
                <w:sz w:val="22"/>
              </w:rPr>
            </w:pPr>
            <w:r w:rsidRPr="007C705C">
              <w:rPr>
                <w:rFonts w:eastAsiaTheme="minorEastAsia" w:cs="Times New Roman"/>
                <w:color w:val="000000" w:themeColor="text1"/>
                <w:sz w:val="22"/>
              </w:rPr>
              <w:t>927</w:t>
            </w:r>
          </w:p>
        </w:tc>
      </w:tr>
    </w:tbl>
    <w:p w14:paraId="6056D076" w14:textId="77777777" w:rsidR="003E0F58" w:rsidRPr="007C705C" w:rsidRDefault="003E0F58" w:rsidP="00812975">
      <w:pPr>
        <w:pStyle w:val="UZEIZdroj"/>
      </w:pPr>
      <w:r w:rsidRPr="007C705C">
        <w:t>Zdroj: CZ Biom studie Potenciál energie z bioplynu, 2018</w:t>
      </w:r>
    </w:p>
    <w:p w14:paraId="6DBA94CA" w14:textId="44830694" w:rsidR="003E0F58" w:rsidRPr="007C705C" w:rsidRDefault="003E0F58" w:rsidP="00812975">
      <w:pPr>
        <w:pStyle w:val="UZEINormaln"/>
        <w:rPr>
          <w:rFonts w:eastAsiaTheme="minorEastAsia"/>
        </w:rPr>
      </w:pPr>
      <w:r w:rsidRPr="007C705C">
        <w:rPr>
          <w:rFonts w:eastAsiaTheme="minorEastAsia"/>
        </w:rPr>
        <w:t>Z pohledu intervencí SZP se jedná o vyloučení investiční podpory. Při racionálním nastavení a zachování provozních podpor historie ukázala na dynamický rozvoj i bez investičních podpor. V případě paralelního odstranění obou forem podpor však historická data ukazují na kompletní zastavení rozvoje oboru. Současné podmínky čerpání provozní podpory eliminují investiční podpory redukčními faktory, proto má smysl čerpat pouze jeden typ podpory.</w:t>
      </w:r>
    </w:p>
    <w:p w14:paraId="29EAED90" w14:textId="77777777" w:rsidR="003E0F58" w:rsidRPr="007C705C" w:rsidRDefault="003E0F58" w:rsidP="003E0F58">
      <w:pPr>
        <w:jc w:val="left"/>
        <w:rPr>
          <w:rFonts w:cs="Times New Roman"/>
          <w:b/>
          <w:lang w:val="cs-CZ"/>
        </w:rPr>
      </w:pPr>
      <w:r w:rsidRPr="007C705C">
        <w:rPr>
          <w:rFonts w:cs="Times New Roman"/>
          <w:b/>
          <w:lang w:val="cs-CZ"/>
        </w:rPr>
        <w:t>LESY:</w:t>
      </w:r>
    </w:p>
    <w:p w14:paraId="34A8819C" w14:textId="77777777" w:rsidR="003E0F58" w:rsidRPr="007C705C" w:rsidRDefault="003E0F58" w:rsidP="008A1AE3">
      <w:pPr>
        <w:pStyle w:val="Odstavecseseznamem"/>
        <w:numPr>
          <w:ilvl w:val="0"/>
          <w:numId w:val="21"/>
        </w:numPr>
        <w:spacing w:before="60" w:line="360" w:lineRule="atLeast"/>
        <w:jc w:val="left"/>
        <w:rPr>
          <w:rFonts w:eastAsiaTheme="minorEastAsia"/>
          <w:b/>
          <w:bCs/>
        </w:rPr>
      </w:pPr>
      <w:r w:rsidRPr="007C705C">
        <w:rPr>
          <w:rFonts w:eastAsiaTheme="minorEastAsia"/>
          <w:b/>
          <w:bCs/>
        </w:rPr>
        <w:t>Zdravotní stav lesů</w:t>
      </w:r>
    </w:p>
    <w:p w14:paraId="3F80FE69" w14:textId="77777777" w:rsidR="003E0F58" w:rsidRPr="007C705C" w:rsidRDefault="003E0F58" w:rsidP="00812975">
      <w:pPr>
        <w:pStyle w:val="UZEINormaln"/>
        <w:rPr>
          <w:rFonts w:eastAsia="Calibri"/>
        </w:rPr>
      </w:pPr>
      <w:r w:rsidRPr="007C705C">
        <w:rPr>
          <w:rFonts w:eastAsia="Calibri"/>
        </w:rPr>
        <w:t>Bez rychlého a účinného sanování napadeného dříví nadále hrozí vysoké riziko pokračování rozsáhlé expanze kalamitních škůdců a na mnohých místech i decimace porostů inkriminovaného druhu dřeviny. Včasné provedení této sanace může být za současné situace u řady hospodařících subjektů logistickým, personálním a ekonomickým problémem a bez vhodně zvolené intervence, která by vycházela z hlediska asanací vlastníkům lesů vstříc, hrozí riziko včasného nepodchycení rozpuku škůdce, který postupně může svojí rozlohou poškozování dosáhnout bezvýchodné situace.</w:t>
      </w:r>
    </w:p>
    <w:p w14:paraId="52ACD996" w14:textId="77777777" w:rsidR="003E0F58" w:rsidRPr="007C705C" w:rsidRDefault="003E0F58" w:rsidP="008A1AE3">
      <w:pPr>
        <w:pStyle w:val="Odstavecseseznamem"/>
        <w:numPr>
          <w:ilvl w:val="0"/>
          <w:numId w:val="21"/>
        </w:numPr>
        <w:spacing w:before="60" w:line="360" w:lineRule="atLeast"/>
        <w:ind w:left="142" w:firstLine="425"/>
        <w:jc w:val="left"/>
        <w:rPr>
          <w:rFonts w:eastAsiaTheme="minorEastAsia"/>
          <w:b/>
          <w:bCs/>
        </w:rPr>
      </w:pPr>
      <w:r w:rsidRPr="007C705C">
        <w:rPr>
          <w:rFonts w:eastAsiaTheme="minorEastAsia"/>
          <w:b/>
          <w:bCs/>
        </w:rPr>
        <w:t>Druhové, věkové a prostorové složení lesních porostů</w:t>
      </w:r>
    </w:p>
    <w:p w14:paraId="4C24285B" w14:textId="77777777" w:rsidR="003E0F58" w:rsidRPr="007C705C" w:rsidRDefault="003E0F58" w:rsidP="00812975">
      <w:pPr>
        <w:pStyle w:val="UZEINormaln"/>
        <w:rPr>
          <w:rFonts w:eastAsia="Calibri"/>
        </w:rPr>
      </w:pPr>
      <w:r w:rsidRPr="007C705C">
        <w:rPr>
          <w:rFonts w:eastAsia="Calibri"/>
        </w:rPr>
        <w:t>Druhovou, věkovou a prostorovou strukturu lesních porostů lze podporami SZP ovlivňovat pouze zprostředkovaně, a to zejména pomocí stanovení usměrňujících zásad v intervencích vztahujících se k obnově a výchově lesa. Tyto podpory budou pro vlastníky lesů v současné kalamitní situaci značně ekonomicky ovlivněných propadem příjmové složky hospodaření velmi důležitým podpůrným elementem, zajišťující kontinuálnost obnovy lesních porostů v zákonem stanovených lhůtách. Zcela nezbytnou součástí bude v tomto případě podpora oplocování vysazovaných kultur, které jsou pro zvěř velmi atraktivní složkou jejich potravy. Oplocování zejména melioračních dřevin je dalším výdajem vlastníka lesa, bez kterého však na řadě míst není tento nově obnovený porost schopen přežít.</w:t>
      </w:r>
    </w:p>
    <w:p w14:paraId="222D153C" w14:textId="77777777" w:rsidR="003E0F58" w:rsidRPr="007C705C" w:rsidRDefault="003E0F58" w:rsidP="008A1AE3">
      <w:pPr>
        <w:pStyle w:val="Odstavecseseznamem"/>
        <w:numPr>
          <w:ilvl w:val="0"/>
          <w:numId w:val="21"/>
        </w:numPr>
        <w:spacing w:before="60" w:line="360" w:lineRule="atLeast"/>
        <w:ind w:left="142" w:firstLine="425"/>
        <w:jc w:val="left"/>
        <w:rPr>
          <w:rFonts w:eastAsiaTheme="minorEastAsia"/>
          <w:b/>
          <w:bCs/>
        </w:rPr>
      </w:pPr>
      <w:r w:rsidRPr="007C705C">
        <w:rPr>
          <w:rFonts w:eastAsiaTheme="minorEastAsia"/>
          <w:b/>
          <w:bCs/>
        </w:rPr>
        <w:t>Protierozní, protipovodňová a retenční opatření v lesích</w:t>
      </w:r>
    </w:p>
    <w:p w14:paraId="36946109" w14:textId="77777777" w:rsidR="003E0F58" w:rsidRPr="007C705C" w:rsidRDefault="003E0F58" w:rsidP="00812975">
      <w:pPr>
        <w:pStyle w:val="UZEINormaln"/>
      </w:pPr>
      <w:r w:rsidRPr="007C705C">
        <w:rPr>
          <w:rFonts w:eastAsia="Calibri"/>
        </w:rPr>
        <w:t>V současnosti nejsou především drobná ochranná a retenční opatření v lesích podporována, nedochází proto k jejich včasné realizaci v počáteční fázi výskytu nežádoucího jevu. Veřejná podpora pak je poskytována až na finančně náročnější odstraňování škod způsobené extrémním klimatickým jevem. Na vodních tocích v lesích není využit potenciál pro výstavbu a obnovu lesních nádrží, které by posílily hydrickou funkci lesa, podpořily převod povrchového odtoku do podzemních zásob vody a sloužily jako zdroj požární vody. V zemědělské krajině ohrožené větrnou erozí by bez urychlené rekonstrukce současných ochranných lesních pásů došlo k završení jejich rozpadu a k nežádoucímu rozvoji větrné eroze zemědělské půdy.</w:t>
      </w:r>
    </w:p>
    <w:p w14:paraId="755B5F9F" w14:textId="77777777" w:rsidR="003E0F58" w:rsidRPr="007C705C" w:rsidRDefault="003E0F58" w:rsidP="008A1AE3">
      <w:pPr>
        <w:pStyle w:val="Odstavecseseznamem"/>
        <w:numPr>
          <w:ilvl w:val="0"/>
          <w:numId w:val="21"/>
        </w:numPr>
        <w:spacing w:before="60" w:line="360" w:lineRule="atLeast"/>
        <w:jc w:val="left"/>
        <w:rPr>
          <w:rFonts w:eastAsiaTheme="minorEastAsia"/>
          <w:b/>
          <w:bCs/>
        </w:rPr>
      </w:pPr>
      <w:r w:rsidRPr="007C705C">
        <w:rPr>
          <w:rFonts w:eastAsiaTheme="minorEastAsia"/>
          <w:b/>
          <w:bCs/>
        </w:rPr>
        <w:lastRenderedPageBreak/>
        <w:t>Nedostatečné využití potenciálu lesních ekosystémů při možné minimalizaci dopadu očekávané globální klimatické změny a extrémních meteorologických jevů</w:t>
      </w:r>
    </w:p>
    <w:p w14:paraId="4D70504C" w14:textId="71A0377A" w:rsidR="003E0F58" w:rsidRPr="007C705C" w:rsidRDefault="003E0F58" w:rsidP="00812975">
      <w:pPr>
        <w:pStyle w:val="UZEIOdrky"/>
        <w:rPr>
          <w:rFonts w:eastAsiaTheme="minorEastAsia"/>
        </w:rPr>
      </w:pPr>
      <w:r w:rsidRPr="007C705C">
        <w:rPr>
          <w:rFonts w:eastAsiaTheme="minorEastAsia"/>
        </w:rPr>
        <w:t>Zalesňování zemědělské půdy</w:t>
      </w:r>
    </w:p>
    <w:p w14:paraId="68C53F0F" w14:textId="7F78E11B" w:rsidR="00812975" w:rsidRDefault="003E0F58" w:rsidP="00812975">
      <w:pPr>
        <w:pStyle w:val="UZEINormaln"/>
        <w:rPr>
          <w:rFonts w:eastAsiaTheme="minorEastAsia"/>
        </w:rPr>
      </w:pPr>
      <w:r w:rsidRPr="007C705C">
        <w:rPr>
          <w:rFonts w:eastAsiaTheme="minorEastAsia"/>
        </w:rPr>
        <w:t>Vzhledem ke Strategii resortu MZe v současné době dochází v nedostatečné míře ke zvyšování ploch lesních půd. Vzhledem k rozsahu a finanční náročnosti by bez intervence nedošlo k plnění strategických cílů včetně mnoha efektů na přírodu a krajinu, které zalesňování přináší.</w:t>
      </w:r>
    </w:p>
    <w:p w14:paraId="1C54E243" w14:textId="77777777" w:rsidR="003E0F58" w:rsidRPr="007C705C" w:rsidRDefault="003E0F58" w:rsidP="00812975">
      <w:pPr>
        <w:pStyle w:val="UZEINormaln"/>
        <w:rPr>
          <w:rFonts w:eastAsiaTheme="minorEastAsia"/>
        </w:rPr>
      </w:pPr>
    </w:p>
    <w:p w14:paraId="6BE967AE" w14:textId="77777777" w:rsidR="00D7531D" w:rsidRDefault="003E0F58" w:rsidP="003E0F58">
      <w:pPr>
        <w:pStyle w:val="Nadpis1"/>
      </w:pPr>
      <w:bookmarkStart w:id="533" w:name="_Toc522523045"/>
      <w:bookmarkStart w:id="534" w:name="_Toc523143782"/>
      <w:bookmarkStart w:id="535" w:name="_Toc523146699"/>
      <w:bookmarkStart w:id="536" w:name="_Toc7429653"/>
      <w:bookmarkStart w:id="537" w:name="_Toc7429855"/>
      <w:bookmarkStart w:id="538" w:name="_Toc7430786"/>
      <w:bookmarkStart w:id="539" w:name="_Toc7432038"/>
      <w:bookmarkStart w:id="540" w:name="_Toc9611307"/>
      <w:bookmarkStart w:id="541" w:name="_Toc23326661"/>
      <w:bookmarkStart w:id="542" w:name="_Toc23327268"/>
      <w:bookmarkStart w:id="543" w:name="_Toc77245901"/>
      <w:bookmarkStart w:id="544" w:name="_Toc81343107"/>
      <w:bookmarkStart w:id="545" w:name="_Toc81343170"/>
      <w:bookmarkStart w:id="546" w:name="_Toc81343239"/>
      <w:bookmarkStart w:id="547" w:name="_Toc94181688"/>
      <w:r w:rsidRPr="00812975">
        <w:t>SWOT analýza</w:t>
      </w:r>
      <w:bookmarkEnd w:id="547"/>
    </w:p>
    <w:p w14:paraId="15E9D82A" w14:textId="00C61937" w:rsidR="003E0F58" w:rsidRPr="00812975" w:rsidRDefault="00D7531D" w:rsidP="00D7531D">
      <w:pPr>
        <w:pStyle w:val="UZEINormaln"/>
      </w:pPr>
      <w:r>
        <w:t>J</w:t>
      </w:r>
      <w:r w:rsidR="003E0F58" w:rsidRPr="00812975">
        <w:t>ak si stojí jednotlivé důležité stránky sektoru vůči odpovídajícím cílům a jejich naplňování?</w:t>
      </w:r>
      <w:bookmarkEnd w:id="530"/>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47166FFD" w14:textId="77777777" w:rsidR="003E0F58" w:rsidRPr="007C705C" w:rsidRDefault="003E0F58" w:rsidP="00812975">
      <w:pPr>
        <w:pStyle w:val="UZEINormaln"/>
        <w:rPr>
          <w:rFonts w:eastAsiaTheme="minorEastAsia"/>
        </w:rPr>
      </w:pPr>
      <w:r w:rsidRPr="007C705C">
        <w:rPr>
          <w:rFonts w:eastAsiaTheme="minorEastAsia"/>
        </w:rPr>
        <w:t xml:space="preserve">Hranice pro SWOT: </w:t>
      </w:r>
    </w:p>
    <w:p w14:paraId="42D3279C" w14:textId="77777777" w:rsidR="003E0F58" w:rsidRPr="007C705C" w:rsidRDefault="003E0F58" w:rsidP="00812975">
      <w:pPr>
        <w:pStyle w:val="UZEINormaln"/>
        <w:rPr>
          <w:rFonts w:eastAsiaTheme="minorEastAsia"/>
        </w:rPr>
      </w:pPr>
      <w:r w:rsidRPr="007C705C">
        <w:rPr>
          <w:rFonts w:eastAsiaTheme="minorEastAsia"/>
        </w:rPr>
        <w:t>Základní vymezení je sektor zemědělství/lesnictví daný jednak 1. plochou zemědělské/lesní půdy</w:t>
      </w:r>
      <w:r w:rsidRPr="007C705C">
        <w:rPr>
          <w:rStyle w:val="Znakapoznpodarou"/>
          <w:rFonts w:eastAsiaTheme="minorEastAsia"/>
        </w:rPr>
        <w:footnoteReference w:id="15"/>
      </w:r>
      <w:r w:rsidRPr="007C705C">
        <w:rPr>
          <w:rFonts w:eastAsiaTheme="minorEastAsia"/>
        </w:rPr>
        <w:t xml:space="preserve"> a 2. podniky v sektoru. Do jeho hranic také patří působení SZP včetně kapacit pro její navrhování a administraci, vedoucí k žádoucím efektům v realitě. Blíže pro tento specifický cíl sem také patří struktura využívání půdy a struktura technologické vybavenosti podniků společně se všemi aktivitami, které mají vztah ke klimatické změně. Vše mimo tento systém generuje příležitosti nebo ohrožení.</w:t>
      </w:r>
    </w:p>
    <w:p w14:paraId="16DE1B17" w14:textId="780C569F" w:rsidR="00812975" w:rsidRPr="00812975" w:rsidRDefault="003E0F58" w:rsidP="00812975">
      <w:pPr>
        <w:pStyle w:val="UZEINormaln"/>
        <w:rPr>
          <w:rFonts w:eastAsia="Calibri"/>
          <w:b/>
          <w:bCs/>
          <w:u w:val="single"/>
        </w:rPr>
      </w:pPr>
      <w:r w:rsidRPr="00812975">
        <w:rPr>
          <w:rFonts w:eastAsia="Calibri"/>
          <w:b/>
          <w:bCs/>
          <w:u w:val="single"/>
        </w:rPr>
        <w:t>KLIMA:</w:t>
      </w:r>
    </w:p>
    <w:p w14:paraId="4A803B06" w14:textId="77777777" w:rsidR="003E0F58" w:rsidRPr="008A1AE3" w:rsidRDefault="003E0F58" w:rsidP="008A1AE3">
      <w:pPr>
        <w:pStyle w:val="UZEINormaln"/>
        <w:rPr>
          <w:rFonts w:eastAsiaTheme="minorEastAsia"/>
          <w:b/>
          <w:bCs/>
        </w:rPr>
      </w:pPr>
      <w:r w:rsidRPr="008A1AE3">
        <w:rPr>
          <w:rFonts w:eastAsiaTheme="minorEastAsia"/>
          <w:b/>
          <w:bCs/>
        </w:rPr>
        <w:t>Silné stránky:</w:t>
      </w:r>
    </w:p>
    <w:p w14:paraId="34652AF9" w14:textId="77777777" w:rsidR="003E0F58" w:rsidRPr="007C705C" w:rsidRDefault="003E0F58" w:rsidP="003E0F58">
      <w:pPr>
        <w:rPr>
          <w:rFonts w:eastAsiaTheme="minorEastAsia" w:cs="Times New Roman"/>
          <w:b/>
          <w:bCs/>
          <w:lang w:val="cs-CZ"/>
        </w:rPr>
      </w:pPr>
      <w:r w:rsidRPr="007C705C">
        <w:rPr>
          <w:rFonts w:eastAsiaTheme="minorEastAsia" w:cs="Times New Roman"/>
          <w:b/>
          <w:bCs/>
          <w:lang w:val="cs-CZ"/>
        </w:rPr>
        <w:t>i.</w:t>
      </w:r>
      <w:r w:rsidRPr="007C705C">
        <w:rPr>
          <w:rFonts w:eastAsiaTheme="minorEastAsia" w:cs="Times New Roman"/>
          <w:b/>
          <w:bCs/>
          <w:lang w:val="cs-CZ"/>
        </w:rPr>
        <w:tab/>
        <w:t>Nízká odolnost zemědělských podniků vůči klimatickým změnám</w:t>
      </w:r>
    </w:p>
    <w:p w14:paraId="282E6B79" w14:textId="57A853AA" w:rsidR="003E0F58" w:rsidRPr="007C705C" w:rsidRDefault="00812975" w:rsidP="00812975">
      <w:pPr>
        <w:pStyle w:val="UZEIOdrky"/>
        <w:rPr>
          <w:rFonts w:eastAsiaTheme="minorEastAsia"/>
        </w:rPr>
      </w:pPr>
      <w:r>
        <w:rPr>
          <w:rFonts w:eastAsiaTheme="minorEastAsia"/>
        </w:rPr>
        <w:t xml:space="preserve">S1: </w:t>
      </w:r>
      <w:r w:rsidR="003E0F58" w:rsidRPr="007C705C">
        <w:rPr>
          <w:rFonts w:eastAsiaTheme="minorEastAsia"/>
        </w:rPr>
        <w:t xml:space="preserve">Dlouholeté praktické zkušenosti farmářů s prováděním pozemkových úprav </w:t>
      </w:r>
    </w:p>
    <w:p w14:paraId="17DDD2B5" w14:textId="61983453" w:rsidR="003E0F58" w:rsidRPr="007C705C" w:rsidRDefault="00812975" w:rsidP="00812975">
      <w:pPr>
        <w:pStyle w:val="UZEIOdrky"/>
        <w:rPr>
          <w:rFonts w:eastAsiaTheme="minorEastAsia"/>
        </w:rPr>
      </w:pPr>
      <w:r>
        <w:rPr>
          <w:rFonts w:eastAsiaTheme="minorEastAsia"/>
        </w:rPr>
        <w:t xml:space="preserve">S2: </w:t>
      </w:r>
      <w:r w:rsidR="003E0F58" w:rsidRPr="007C705C">
        <w:rPr>
          <w:rFonts w:eastAsiaTheme="minorEastAsia"/>
        </w:rPr>
        <w:t>Vysoký adaptační a mitigační potenciál zatravnění či zalesnění ZPF</w:t>
      </w:r>
    </w:p>
    <w:p w14:paraId="33E923C0" w14:textId="41B6D673" w:rsidR="003E0F58" w:rsidRPr="007C705C" w:rsidRDefault="00812975" w:rsidP="00812975">
      <w:pPr>
        <w:pStyle w:val="UZEIOdrky"/>
        <w:rPr>
          <w:rFonts w:eastAsiaTheme="minorEastAsia"/>
        </w:rPr>
      </w:pPr>
      <w:r>
        <w:rPr>
          <w:rFonts w:eastAsiaTheme="minorEastAsia"/>
        </w:rPr>
        <w:t xml:space="preserve">S3: </w:t>
      </w:r>
      <w:r w:rsidR="003E0F58" w:rsidRPr="007C705C">
        <w:rPr>
          <w:rFonts w:eastAsiaTheme="minorEastAsia"/>
        </w:rPr>
        <w:t>Dobrá znalost a zkušenosti s aplikací protierozních opatření úzká provázanost s adaptačním opatřením</w:t>
      </w:r>
    </w:p>
    <w:p w14:paraId="120D46DB" w14:textId="1E485F75" w:rsidR="003E0F58" w:rsidRPr="007C705C" w:rsidRDefault="00812975" w:rsidP="00812975">
      <w:pPr>
        <w:pStyle w:val="UZEIOdrky"/>
        <w:rPr>
          <w:rFonts w:eastAsiaTheme="minorEastAsia"/>
        </w:rPr>
      </w:pPr>
      <w:r>
        <w:rPr>
          <w:rFonts w:eastAsiaTheme="minorEastAsia"/>
        </w:rPr>
        <w:t xml:space="preserve">S4: </w:t>
      </w:r>
      <w:r w:rsidR="003E0F58" w:rsidRPr="007C705C">
        <w:rPr>
          <w:rFonts w:eastAsiaTheme="minorEastAsia"/>
        </w:rPr>
        <w:t>Provádění snižování ekologických zátěží</w:t>
      </w:r>
    </w:p>
    <w:p w14:paraId="22640BB0" w14:textId="28BB80E3" w:rsidR="003E0F58" w:rsidRPr="007C705C" w:rsidRDefault="00812975" w:rsidP="00812975">
      <w:pPr>
        <w:pStyle w:val="UZEIOdrky"/>
        <w:rPr>
          <w:rFonts w:eastAsiaTheme="minorEastAsia"/>
        </w:rPr>
      </w:pPr>
      <w:r>
        <w:rPr>
          <w:rFonts w:eastAsiaTheme="minorEastAsia"/>
        </w:rPr>
        <w:t xml:space="preserve">S5:  </w:t>
      </w:r>
      <w:r w:rsidR="003E0F58" w:rsidRPr="007C705C">
        <w:rPr>
          <w:rFonts w:eastAsiaTheme="minorEastAsia"/>
        </w:rPr>
        <w:t>Realizace ekologického zemědělství</w:t>
      </w:r>
    </w:p>
    <w:p w14:paraId="73212764" w14:textId="77777777" w:rsidR="003E0F58" w:rsidRPr="007C705C" w:rsidRDefault="003E0F58" w:rsidP="003E0F58">
      <w:pPr>
        <w:contextualSpacing/>
        <w:rPr>
          <w:rFonts w:eastAsiaTheme="minorEastAsia" w:cs="Times New Roman"/>
          <w:b/>
          <w:bCs/>
          <w:lang w:val="cs-CZ"/>
        </w:rPr>
      </w:pPr>
      <w:r w:rsidRPr="007C705C">
        <w:rPr>
          <w:rFonts w:eastAsiaTheme="minorEastAsia" w:cs="Times New Roman"/>
          <w:b/>
          <w:bCs/>
          <w:lang w:val="cs-CZ"/>
        </w:rPr>
        <w:t>ii.</w:t>
      </w:r>
      <w:r w:rsidRPr="007C705C">
        <w:rPr>
          <w:rFonts w:eastAsiaTheme="minorEastAsia" w:cs="Times New Roman"/>
          <w:b/>
          <w:bCs/>
          <w:lang w:val="cs-CZ"/>
        </w:rPr>
        <w:tab/>
        <w:t>Vysoké emise GHG a NH3 ze zemědělství</w:t>
      </w:r>
    </w:p>
    <w:p w14:paraId="59F119F8" w14:textId="6D1D742B" w:rsidR="003E0F58" w:rsidRPr="007C705C" w:rsidRDefault="008A1AE3" w:rsidP="008A1AE3">
      <w:pPr>
        <w:pStyle w:val="UZEIOdrky"/>
        <w:rPr>
          <w:rFonts w:eastAsiaTheme="minorEastAsia"/>
        </w:rPr>
      </w:pPr>
      <w:r>
        <w:rPr>
          <w:rFonts w:eastAsiaTheme="minorEastAsia"/>
        </w:rPr>
        <w:t xml:space="preserve">S1: </w:t>
      </w:r>
      <w:r w:rsidR="003E0F58" w:rsidRPr="007C705C">
        <w:rPr>
          <w:rFonts w:eastAsiaTheme="minorEastAsia"/>
        </w:rPr>
        <w:t>celkové emise ze zemědělství se v období 1990 - 2018 snížily o 46 %. (snížil se počet hospodářských zvířat)</w:t>
      </w:r>
    </w:p>
    <w:p w14:paraId="117E15A4" w14:textId="3B1B5D90" w:rsidR="003E0F58" w:rsidRPr="007C705C" w:rsidRDefault="008A1AE3" w:rsidP="008A1AE3">
      <w:pPr>
        <w:pStyle w:val="UZEIOdrky"/>
        <w:rPr>
          <w:rFonts w:eastAsiaTheme="minorEastAsia"/>
        </w:rPr>
      </w:pPr>
      <w:r>
        <w:rPr>
          <w:rFonts w:eastAsiaTheme="minorEastAsia"/>
        </w:rPr>
        <w:t xml:space="preserve">S2: </w:t>
      </w:r>
      <w:r w:rsidR="003E0F58" w:rsidRPr="007C705C">
        <w:rPr>
          <w:rFonts w:eastAsiaTheme="minorEastAsia"/>
        </w:rPr>
        <w:t>od roku 1997 jsou  GHG emise zemědělství stabilní (± 10 %)</w:t>
      </w:r>
    </w:p>
    <w:p w14:paraId="2D10E030" w14:textId="245EA617" w:rsidR="003E0F58" w:rsidRPr="007C705C" w:rsidRDefault="008A1AE3" w:rsidP="008A1AE3">
      <w:pPr>
        <w:pStyle w:val="UZEIOdrky"/>
        <w:rPr>
          <w:rFonts w:eastAsiaTheme="minorEastAsia"/>
        </w:rPr>
      </w:pPr>
      <w:r>
        <w:rPr>
          <w:rFonts w:eastAsiaTheme="minorEastAsia"/>
        </w:rPr>
        <w:t xml:space="preserve">S3: </w:t>
      </w:r>
      <w:r w:rsidR="003E0F58" w:rsidRPr="007C705C">
        <w:rPr>
          <w:rFonts w:eastAsiaTheme="minorEastAsia"/>
        </w:rPr>
        <w:t>od r. 2017 snižující se trend emisí z kategorie spotřeby močoviny</w:t>
      </w:r>
    </w:p>
    <w:p w14:paraId="7B756055" w14:textId="5E0D984A" w:rsidR="003E0F58" w:rsidRPr="007C705C" w:rsidRDefault="008A1AE3" w:rsidP="008A1AE3">
      <w:pPr>
        <w:pStyle w:val="UZEIOdrky"/>
        <w:rPr>
          <w:rFonts w:eastAsiaTheme="minorEastAsia"/>
        </w:rPr>
      </w:pPr>
      <w:r>
        <w:rPr>
          <w:rFonts w:eastAsiaTheme="minorEastAsia"/>
        </w:rPr>
        <w:t xml:space="preserve">S3: </w:t>
      </w:r>
      <w:r w:rsidR="003E0F58" w:rsidRPr="007C705C">
        <w:rPr>
          <w:rFonts w:eastAsiaTheme="minorEastAsia"/>
        </w:rPr>
        <w:t>Velké množství BPS snižuje podíl emisí GHG z kategorie „Manure Management“</w:t>
      </w:r>
    </w:p>
    <w:p w14:paraId="60FDA758" w14:textId="45C77257" w:rsidR="003E0F58" w:rsidRPr="007C705C" w:rsidRDefault="008A1AE3" w:rsidP="008A1AE3">
      <w:pPr>
        <w:pStyle w:val="UZEIOdrky"/>
        <w:rPr>
          <w:rFonts w:eastAsiaTheme="minorEastAsia"/>
        </w:rPr>
      </w:pPr>
      <w:r>
        <w:rPr>
          <w:rFonts w:eastAsiaTheme="minorEastAsia"/>
        </w:rPr>
        <w:t>S5:</w:t>
      </w:r>
      <w:r w:rsidR="003E0F58" w:rsidRPr="007C705C">
        <w:rPr>
          <w:rFonts w:eastAsiaTheme="minorEastAsia"/>
        </w:rPr>
        <w:t>Intenzivní velkochovy hospodářských zvířat umožňují efektivněji zavádět technologie pro snižování emisí NH</w:t>
      </w:r>
      <w:r w:rsidR="003E0F58" w:rsidRPr="007C705C">
        <w:rPr>
          <w:rFonts w:eastAsiaTheme="minorEastAsia"/>
          <w:vertAlign w:val="subscript"/>
        </w:rPr>
        <w:t>3</w:t>
      </w:r>
      <w:r w:rsidR="003E0F58" w:rsidRPr="007C705C">
        <w:rPr>
          <w:rFonts w:eastAsiaTheme="minorEastAsia"/>
        </w:rPr>
        <w:t xml:space="preserve"> a GHG</w:t>
      </w:r>
    </w:p>
    <w:p w14:paraId="7E09CE94" w14:textId="74BE3827" w:rsidR="003E0F58" w:rsidRPr="007C705C" w:rsidRDefault="008A1AE3" w:rsidP="008A1AE3">
      <w:pPr>
        <w:pStyle w:val="UZEIOdrky"/>
        <w:rPr>
          <w:rFonts w:eastAsiaTheme="minorEastAsia"/>
        </w:rPr>
      </w:pPr>
      <w:r>
        <w:rPr>
          <w:rFonts w:eastAsiaTheme="minorEastAsia"/>
        </w:rPr>
        <w:lastRenderedPageBreak/>
        <w:t xml:space="preserve">S6: </w:t>
      </w:r>
      <w:r w:rsidR="003E0F58" w:rsidRPr="007C705C">
        <w:rPr>
          <w:rFonts w:eastAsiaTheme="minorEastAsia"/>
        </w:rPr>
        <w:t>Velké, již existující celistvé plochy obhospodařované půdy bez ohledu na počet plodin umožňují lépe využít technologie precizního zemědělství a jejich pořízení je pro zemědělce ekonomicky přijatelnější</w:t>
      </w:r>
    </w:p>
    <w:p w14:paraId="59470E62" w14:textId="42F6321C" w:rsidR="003E0F58" w:rsidRPr="007C705C" w:rsidRDefault="008A1AE3" w:rsidP="008A1AE3">
      <w:pPr>
        <w:pStyle w:val="UZEIOdrky"/>
        <w:rPr>
          <w:rFonts w:eastAsiaTheme="minorEastAsia"/>
        </w:rPr>
      </w:pPr>
      <w:r>
        <w:rPr>
          <w:rFonts w:eastAsiaTheme="minorEastAsia"/>
        </w:rPr>
        <w:t xml:space="preserve">S7: </w:t>
      </w:r>
      <w:r w:rsidR="003E0F58" w:rsidRPr="007C705C">
        <w:rPr>
          <w:rFonts w:eastAsiaTheme="minorEastAsia"/>
        </w:rPr>
        <w:t>Efektivita zemědělské výroby (výkonná mechanizace, velikost půdních bloků, nové technologie) - schopnost provádět agronomické úkony v optimálních povětrnostních podmínkách apod.</w:t>
      </w:r>
    </w:p>
    <w:p w14:paraId="15FFA0F1" w14:textId="6B5C580A" w:rsidR="003E0F58" w:rsidRPr="007C705C" w:rsidRDefault="008A1AE3" w:rsidP="008A1AE3">
      <w:pPr>
        <w:pStyle w:val="UZEIOdrky"/>
        <w:rPr>
          <w:rFonts w:eastAsiaTheme="minorEastAsia"/>
        </w:rPr>
      </w:pPr>
      <w:r>
        <w:rPr>
          <w:rFonts w:eastAsiaTheme="minorEastAsia"/>
        </w:rPr>
        <w:t xml:space="preserve">S8:  </w:t>
      </w:r>
      <w:r w:rsidR="003E0F58" w:rsidRPr="007C705C">
        <w:rPr>
          <w:rFonts w:eastAsiaTheme="minorEastAsia"/>
        </w:rPr>
        <w:t xml:space="preserve">Zavádění moderních postupů s ekonomickým efektem (úspora paliv, snaha o šetrnější zacházení s půdou). </w:t>
      </w:r>
    </w:p>
    <w:p w14:paraId="0ACE0124" w14:textId="0954B472" w:rsidR="003E0F58" w:rsidRPr="00D7531D" w:rsidRDefault="008A1AE3" w:rsidP="008A1AE3">
      <w:pPr>
        <w:pStyle w:val="UZEIOdrky"/>
        <w:rPr>
          <w:rFonts w:eastAsiaTheme="minorEastAsia"/>
          <w:b/>
          <w:bCs/>
        </w:rPr>
      </w:pPr>
      <w:r>
        <w:rPr>
          <w:rFonts w:eastAsiaTheme="minorEastAsia"/>
        </w:rPr>
        <w:t xml:space="preserve">S9: </w:t>
      </w:r>
      <w:r w:rsidR="003E0F58" w:rsidRPr="007C705C">
        <w:rPr>
          <w:rFonts w:eastAsiaTheme="minorEastAsia"/>
        </w:rPr>
        <w:t>Ochota implementovat nové technologie</w:t>
      </w:r>
    </w:p>
    <w:p w14:paraId="0D7C2AD7" w14:textId="77777777" w:rsidR="00D7531D" w:rsidRPr="007C705C" w:rsidRDefault="00D7531D" w:rsidP="00D7531D">
      <w:pPr>
        <w:pStyle w:val="UZEIOdrky"/>
        <w:numPr>
          <w:ilvl w:val="0"/>
          <w:numId w:val="0"/>
        </w:numPr>
        <w:ind w:left="720"/>
        <w:rPr>
          <w:rFonts w:eastAsiaTheme="minorEastAsia"/>
          <w:b/>
          <w:bCs/>
        </w:rPr>
      </w:pPr>
    </w:p>
    <w:p w14:paraId="1C0E6F6A" w14:textId="77777777" w:rsidR="003E0F58" w:rsidRPr="007C705C" w:rsidRDefault="003E0F58" w:rsidP="003E0F58">
      <w:pPr>
        <w:contextualSpacing/>
        <w:rPr>
          <w:rFonts w:eastAsiaTheme="minorEastAsia" w:cs="Times New Roman"/>
          <w:b/>
          <w:bCs/>
          <w:lang w:val="cs-CZ"/>
        </w:rPr>
      </w:pPr>
      <w:r w:rsidRPr="007C705C">
        <w:rPr>
          <w:rFonts w:eastAsiaTheme="minorEastAsia" w:cs="Times New Roman"/>
          <w:b/>
          <w:bCs/>
          <w:lang w:val="cs-CZ"/>
        </w:rPr>
        <w:t>iii.</w:t>
      </w:r>
      <w:r w:rsidRPr="007C705C">
        <w:rPr>
          <w:rFonts w:eastAsiaTheme="minorEastAsia" w:cs="Times New Roman"/>
          <w:b/>
          <w:bCs/>
          <w:lang w:val="cs-CZ"/>
        </w:rPr>
        <w:tab/>
        <w:t>Nízký obsah organického uhlíku v půdě</w:t>
      </w:r>
    </w:p>
    <w:p w14:paraId="70D4E4DC" w14:textId="223173F3" w:rsidR="003E0F58" w:rsidRPr="007C705C" w:rsidRDefault="008A1AE3" w:rsidP="008A1AE3">
      <w:pPr>
        <w:pStyle w:val="UZEIOdrky"/>
        <w:rPr>
          <w:rFonts w:eastAsiaTheme="minorEastAsia"/>
        </w:rPr>
      </w:pPr>
      <w:r>
        <w:rPr>
          <w:rFonts w:eastAsiaTheme="minorEastAsia"/>
        </w:rPr>
        <w:t xml:space="preserve">S1: </w:t>
      </w:r>
      <w:r w:rsidR="003E0F58" w:rsidRPr="007C705C">
        <w:rPr>
          <w:rFonts w:eastAsiaTheme="minorEastAsia"/>
        </w:rPr>
        <w:t>Lesnicko-hospodářské plánování</w:t>
      </w:r>
    </w:p>
    <w:p w14:paraId="325CC455" w14:textId="76186DC3" w:rsidR="003E0F58" w:rsidRPr="007C705C" w:rsidRDefault="008A1AE3" w:rsidP="008A1AE3">
      <w:pPr>
        <w:pStyle w:val="UZEIOdrky"/>
        <w:rPr>
          <w:rFonts w:eastAsiaTheme="minorEastAsia"/>
        </w:rPr>
      </w:pPr>
      <w:r>
        <w:rPr>
          <w:rFonts w:eastAsiaTheme="minorEastAsia"/>
        </w:rPr>
        <w:t xml:space="preserve">S2: </w:t>
      </w:r>
      <w:r w:rsidR="003E0F58" w:rsidRPr="007C705C">
        <w:rPr>
          <w:rFonts w:eastAsiaTheme="minorEastAsia"/>
        </w:rPr>
        <w:t>Existence a dlouhá tradice výzkumných institucí zaměřených na výzkum půdy a její ochrany</w:t>
      </w:r>
    </w:p>
    <w:p w14:paraId="2BE4C6D3" w14:textId="3BD0B5FD" w:rsidR="003E0F58" w:rsidRPr="007C705C" w:rsidRDefault="008A1AE3" w:rsidP="008A1AE3">
      <w:pPr>
        <w:pStyle w:val="UZEIOdrky"/>
        <w:rPr>
          <w:rFonts w:eastAsiaTheme="minorEastAsia"/>
        </w:rPr>
      </w:pPr>
      <w:r>
        <w:rPr>
          <w:rFonts w:eastAsiaTheme="minorEastAsia"/>
        </w:rPr>
        <w:t xml:space="preserve">S3: </w:t>
      </w:r>
      <w:r w:rsidR="003E0F58" w:rsidRPr="007C705C">
        <w:rPr>
          <w:rFonts w:eastAsiaTheme="minorEastAsia"/>
        </w:rPr>
        <w:t>Bazální monitoring půd (ÚKZUZ)</w:t>
      </w:r>
    </w:p>
    <w:p w14:paraId="02AC4D3F" w14:textId="295D29C7" w:rsidR="003E0F58" w:rsidRPr="007C705C" w:rsidRDefault="008A1AE3" w:rsidP="008A1AE3">
      <w:pPr>
        <w:pStyle w:val="UZEIOdrky"/>
        <w:rPr>
          <w:rFonts w:eastAsiaTheme="minorEastAsia"/>
        </w:rPr>
      </w:pPr>
      <w:r>
        <w:rPr>
          <w:rFonts w:eastAsiaTheme="minorEastAsia"/>
        </w:rPr>
        <w:t xml:space="preserve">S4: </w:t>
      </w:r>
      <w:r w:rsidR="003E0F58" w:rsidRPr="007C705C">
        <w:rPr>
          <w:rFonts w:eastAsiaTheme="minorEastAsia"/>
        </w:rPr>
        <w:t>Existence bilančních modelů půdní organické hmoty</w:t>
      </w:r>
    </w:p>
    <w:p w14:paraId="271C0D08" w14:textId="7862814C" w:rsidR="003E0F58" w:rsidRPr="007C705C" w:rsidRDefault="008A1AE3" w:rsidP="008A1AE3">
      <w:pPr>
        <w:pStyle w:val="UZEIOdrky"/>
        <w:rPr>
          <w:rFonts w:eastAsiaTheme="minorEastAsia"/>
        </w:rPr>
      </w:pPr>
      <w:r>
        <w:rPr>
          <w:rFonts w:eastAsiaTheme="minorEastAsia"/>
        </w:rPr>
        <w:t>S5:</w:t>
      </w:r>
      <w:r w:rsidR="003E0F58" w:rsidRPr="007C705C">
        <w:rPr>
          <w:rFonts w:eastAsiaTheme="minorEastAsia"/>
        </w:rPr>
        <w:t>Dostatek informací o stavu půd a výzkumu (detailní znalost geografického rozložení rizik, příčinných vazeb a technologických řešení, podrobné mapové podklady, kvalitní informační systémy týkající se ochrany půdy (SOWAC GIS), registr uživatelských vztahů LPIS včetně svých funkcionalit, jedinečná databáze Bonitovaných půdně ekologických jednotek (BPEJ) a Komplexního průzkumu půd (KPP), systém monitoringu eroze, dlouhodobý monitoring fyzikálních a chemických vlastností zemědělských půd, agrochemické zkoušení ornic zemědělských půd atd., podrobná evidence lesních porostů)</w:t>
      </w:r>
    </w:p>
    <w:p w14:paraId="7A2CA6A6" w14:textId="3BEC8F11" w:rsidR="003E0F58" w:rsidRPr="007C705C" w:rsidRDefault="008A1AE3" w:rsidP="008A1AE3">
      <w:pPr>
        <w:pStyle w:val="UZEIOdrky"/>
        <w:rPr>
          <w:rFonts w:eastAsiaTheme="minorEastAsia"/>
        </w:rPr>
      </w:pPr>
      <w:r>
        <w:rPr>
          <w:rFonts w:eastAsiaTheme="minorEastAsia"/>
        </w:rPr>
        <w:t xml:space="preserve">S6: </w:t>
      </w:r>
      <w:r w:rsidR="003E0F58" w:rsidRPr="007C705C">
        <w:rPr>
          <w:rFonts w:eastAsiaTheme="minorEastAsia"/>
        </w:rPr>
        <w:t>Důraz kladen i na ochranu půdy vertikálně celým systémem</w:t>
      </w:r>
    </w:p>
    <w:p w14:paraId="1E022EBC" w14:textId="2313A145" w:rsidR="003E0F58" w:rsidRPr="007C705C" w:rsidRDefault="008A1AE3" w:rsidP="008A1AE3">
      <w:pPr>
        <w:pStyle w:val="UZEIOdrky"/>
        <w:rPr>
          <w:rFonts w:eastAsiaTheme="minorEastAsia"/>
          <w:b/>
          <w:bCs/>
        </w:rPr>
      </w:pPr>
      <w:r>
        <w:rPr>
          <w:rFonts w:eastAsiaTheme="minorEastAsia"/>
        </w:rPr>
        <w:t xml:space="preserve">S7: </w:t>
      </w:r>
      <w:r w:rsidR="003E0F58" w:rsidRPr="007C705C">
        <w:rPr>
          <w:rFonts w:eastAsiaTheme="minorEastAsia"/>
        </w:rPr>
        <w:t>Schopnost ukládání oxidu uhličitého do půdy</w:t>
      </w:r>
    </w:p>
    <w:p w14:paraId="54C7A2A9" w14:textId="77777777" w:rsidR="003E0F58" w:rsidRPr="007C705C" w:rsidRDefault="003E0F58" w:rsidP="003E0F58">
      <w:pPr>
        <w:contextualSpacing/>
        <w:rPr>
          <w:rFonts w:eastAsiaTheme="minorEastAsia" w:cs="Times New Roman"/>
          <w:b/>
          <w:bCs/>
          <w:lang w:val="cs-CZ"/>
        </w:rPr>
      </w:pPr>
      <w:r w:rsidRPr="007C705C">
        <w:rPr>
          <w:rFonts w:eastAsiaTheme="minorEastAsia" w:cs="Times New Roman"/>
          <w:b/>
          <w:bCs/>
          <w:lang w:val="cs-CZ"/>
        </w:rPr>
        <w:t>iv.</w:t>
      </w:r>
      <w:r w:rsidRPr="007C705C">
        <w:rPr>
          <w:rFonts w:eastAsiaTheme="minorEastAsia" w:cs="Times New Roman"/>
          <w:b/>
          <w:bCs/>
          <w:lang w:val="cs-CZ"/>
        </w:rPr>
        <w:tab/>
        <w:t>Nevyužitý potenciál a neefektivní výroba energií z OZE v zemědělství a lesnictví</w:t>
      </w:r>
    </w:p>
    <w:p w14:paraId="09B8085C" w14:textId="48418176" w:rsidR="003E0F58" w:rsidRPr="007C705C" w:rsidRDefault="008A1AE3" w:rsidP="008A1AE3">
      <w:pPr>
        <w:pStyle w:val="UZEIOdrky"/>
        <w:rPr>
          <w:rFonts w:eastAsiaTheme="minorEastAsia"/>
        </w:rPr>
      </w:pPr>
      <w:r>
        <w:rPr>
          <w:rFonts w:eastAsiaTheme="minorEastAsia"/>
        </w:rPr>
        <w:t xml:space="preserve">S1: </w:t>
      </w:r>
      <w:r w:rsidR="003E0F58" w:rsidRPr="007C705C">
        <w:rPr>
          <w:rFonts w:eastAsiaTheme="minorEastAsia"/>
        </w:rPr>
        <w:t>Dostatečný potenciál pro produkci fytomasy</w:t>
      </w:r>
    </w:p>
    <w:p w14:paraId="74257887" w14:textId="43277BC0" w:rsidR="003E0F58" w:rsidRPr="007C705C" w:rsidRDefault="008A1AE3" w:rsidP="008A1AE3">
      <w:pPr>
        <w:pStyle w:val="UZEIOdrky"/>
        <w:rPr>
          <w:rFonts w:eastAsiaTheme="minorEastAsia"/>
        </w:rPr>
      </w:pPr>
      <w:r>
        <w:rPr>
          <w:rFonts w:eastAsiaTheme="minorEastAsia"/>
        </w:rPr>
        <w:t xml:space="preserve">S2: </w:t>
      </w:r>
      <w:r w:rsidR="003E0F58" w:rsidRPr="007C705C">
        <w:rPr>
          <w:rFonts w:eastAsiaTheme="minorEastAsia"/>
        </w:rPr>
        <w:t>Zdroje odpadní suroviny ze zemědělské výroby</w:t>
      </w:r>
    </w:p>
    <w:p w14:paraId="5C8DBB57" w14:textId="4A8B5576" w:rsidR="003E0F58" w:rsidRPr="007C705C" w:rsidRDefault="008A1AE3" w:rsidP="008A1AE3">
      <w:pPr>
        <w:pStyle w:val="UZEIOdrky"/>
        <w:rPr>
          <w:rFonts w:eastAsiaTheme="minorEastAsia"/>
          <w:b/>
          <w:bCs/>
        </w:rPr>
      </w:pPr>
      <w:r>
        <w:rPr>
          <w:rFonts w:eastAsiaTheme="minorEastAsia"/>
        </w:rPr>
        <w:t xml:space="preserve">S3: </w:t>
      </w:r>
      <w:r w:rsidR="003E0F58" w:rsidRPr="007C705C">
        <w:rPr>
          <w:rFonts w:eastAsiaTheme="minorEastAsia"/>
        </w:rPr>
        <w:t>Relativně krátké svozové vzdálenosti pro většinu potenciálních kapacit (rovnoměrnost rozložení suroviny vůči potenciálním spotřebitelským kapacitám)</w:t>
      </w:r>
    </w:p>
    <w:p w14:paraId="102F6B2D" w14:textId="74859163" w:rsidR="003E0F58" w:rsidRPr="008A1AE3" w:rsidRDefault="008A1AE3" w:rsidP="008A1AE3">
      <w:pPr>
        <w:pStyle w:val="UZEIOdrky"/>
        <w:rPr>
          <w:rFonts w:eastAsiaTheme="minorEastAsia"/>
        </w:rPr>
      </w:pPr>
      <w:r>
        <w:rPr>
          <w:rFonts w:eastAsiaTheme="minorEastAsia"/>
        </w:rPr>
        <w:t xml:space="preserve">S3: </w:t>
      </w:r>
      <w:r w:rsidR="003E0F58" w:rsidRPr="008A1AE3">
        <w:rPr>
          <w:rFonts w:eastAsiaTheme="minorEastAsia"/>
        </w:rPr>
        <w:t xml:space="preserve">Existence trhu s biomasou </w:t>
      </w:r>
    </w:p>
    <w:p w14:paraId="062F6834" w14:textId="77777777" w:rsidR="003E0F58" w:rsidRPr="008A1AE3" w:rsidRDefault="003E0F58" w:rsidP="008A1AE3">
      <w:pPr>
        <w:pStyle w:val="UZEINormaln"/>
        <w:rPr>
          <w:rFonts w:eastAsiaTheme="minorEastAsia"/>
          <w:b/>
          <w:bCs/>
        </w:rPr>
      </w:pPr>
      <w:r w:rsidRPr="008A1AE3">
        <w:rPr>
          <w:rFonts w:eastAsiaTheme="minorEastAsia"/>
          <w:b/>
          <w:bCs/>
        </w:rPr>
        <w:t xml:space="preserve">Slabé stránky: </w:t>
      </w:r>
    </w:p>
    <w:p w14:paraId="63BD57F9" w14:textId="77777777" w:rsidR="003E0F58" w:rsidRPr="007C705C" w:rsidRDefault="003E0F58" w:rsidP="003E0F58">
      <w:pPr>
        <w:rPr>
          <w:rFonts w:eastAsiaTheme="minorEastAsia" w:cs="Times New Roman"/>
          <w:b/>
          <w:bCs/>
          <w:lang w:val="cs-CZ"/>
        </w:rPr>
      </w:pPr>
      <w:r w:rsidRPr="007C705C">
        <w:rPr>
          <w:rFonts w:eastAsiaTheme="minorEastAsia" w:cs="Times New Roman"/>
          <w:b/>
          <w:bCs/>
          <w:lang w:val="cs-CZ"/>
        </w:rPr>
        <w:t>i.</w:t>
      </w:r>
      <w:r w:rsidRPr="007C705C">
        <w:rPr>
          <w:rFonts w:eastAsiaTheme="minorEastAsia" w:cs="Times New Roman"/>
          <w:b/>
          <w:bCs/>
          <w:lang w:val="cs-CZ"/>
        </w:rPr>
        <w:tab/>
        <w:t>Nízká odolnost zemědělských podniků vůči klimatickým změnám</w:t>
      </w:r>
    </w:p>
    <w:p w14:paraId="71E4D76D" w14:textId="1FF21814" w:rsidR="003E0F58" w:rsidRPr="007C705C" w:rsidRDefault="008A1AE3" w:rsidP="008A1AE3">
      <w:pPr>
        <w:pStyle w:val="UZEIOdrky"/>
        <w:rPr>
          <w:rFonts w:eastAsiaTheme="minorEastAsia"/>
        </w:rPr>
      </w:pPr>
      <w:r>
        <w:rPr>
          <w:rFonts w:eastAsiaTheme="minorEastAsia"/>
        </w:rPr>
        <w:t>W1:</w:t>
      </w:r>
      <w:r w:rsidR="003E0F58" w:rsidRPr="007C705C">
        <w:rPr>
          <w:rFonts w:eastAsiaTheme="minorEastAsia"/>
        </w:rPr>
        <w:t> Nákladná obnova půdního retenčního potenciálu půd, nízká motivace k provádění nápravných opatření extrémně utužených půd (až 55 % ZPF), nebo k realizaci konkrétních adaptačních opatření na pozemku (realizace zelené infrastruktury, malého vodního díla apod.), na místo toho realizace méně vhodných řešení např. pomocí výsevů monokultur TTP apod., absence uplatnění pásového střídání plodin (kukuřice / píce) na každém DPB při výrobě bioplynu, nevyužívání precizního zemědělství za účelem snižování tlaku na půdu a omezení aplikace hnojiv pouze na maximální intenzitu, kterou má půdní sorpční komplex</w:t>
      </w:r>
    </w:p>
    <w:p w14:paraId="732966FB" w14:textId="2663D59C" w:rsidR="003E0F58" w:rsidRPr="007C705C" w:rsidRDefault="008A1AE3" w:rsidP="008A1AE3">
      <w:pPr>
        <w:pStyle w:val="UZEIOdrky"/>
        <w:rPr>
          <w:rFonts w:eastAsiaTheme="minorEastAsia"/>
        </w:rPr>
      </w:pPr>
      <w:r>
        <w:rPr>
          <w:rFonts w:eastAsiaTheme="minorEastAsia"/>
        </w:rPr>
        <w:t xml:space="preserve">W2: </w:t>
      </w:r>
      <w:r w:rsidR="003E0F58" w:rsidRPr="007C705C">
        <w:rPr>
          <w:rFonts w:eastAsiaTheme="minorEastAsia"/>
        </w:rPr>
        <w:t xml:space="preserve">Velké % degradovaných půd, vysoká ohroženost půd další degradací – skoro 90 % ZPF utuženo v podorničí, vysoké náklady na protierozní opatření, poškozené či </w:t>
      </w:r>
      <w:r w:rsidR="003E0F58" w:rsidRPr="007C705C">
        <w:rPr>
          <w:rFonts w:eastAsiaTheme="minorEastAsia"/>
        </w:rPr>
        <w:lastRenderedPageBreak/>
        <w:t>kontraproduktivní odvodňovací systémy, nekvalitní poradenství, neochota k protierozním opatřením, velký podíl ploch ohrožených půdní erozí</w:t>
      </w:r>
    </w:p>
    <w:p w14:paraId="1660AB17" w14:textId="3A123073" w:rsidR="003E0F58" w:rsidRPr="007C705C" w:rsidRDefault="008A1AE3" w:rsidP="008A1AE3">
      <w:pPr>
        <w:pStyle w:val="UZEIOdrky"/>
        <w:rPr>
          <w:rFonts w:eastAsiaTheme="minorEastAsia"/>
        </w:rPr>
      </w:pPr>
      <w:r>
        <w:rPr>
          <w:rFonts w:eastAsiaTheme="minorEastAsia"/>
        </w:rPr>
        <w:t>W3:</w:t>
      </w:r>
      <w:r w:rsidR="003E0F58" w:rsidRPr="007C705C">
        <w:rPr>
          <w:rFonts w:eastAsiaTheme="minorEastAsia"/>
        </w:rPr>
        <w:t xml:space="preserve">Velké celistvé plochy obhospodařované půdy s jednou plodinou zvyšují riziko eroze půdy (od 6/2021 omezeno novelou n.v. č. 48/2017 max. do 30 ha možno jedna plodina) </w:t>
      </w:r>
    </w:p>
    <w:p w14:paraId="1590473B" w14:textId="5CBAA8DD" w:rsidR="003E0F58" w:rsidRPr="007C705C" w:rsidRDefault="008A1AE3" w:rsidP="008A1AE3">
      <w:pPr>
        <w:pStyle w:val="UZEIOdrky"/>
        <w:rPr>
          <w:rFonts w:eastAsiaTheme="minorEastAsia"/>
        </w:rPr>
      </w:pPr>
      <w:r>
        <w:rPr>
          <w:rFonts w:eastAsiaTheme="minorEastAsia"/>
        </w:rPr>
        <w:t xml:space="preserve">W4: </w:t>
      </w:r>
      <w:r w:rsidR="003E0F58" w:rsidRPr="007C705C">
        <w:rPr>
          <w:rFonts w:eastAsiaTheme="minorEastAsia"/>
        </w:rPr>
        <w:t xml:space="preserve">Chybí motivace k vyšší ochraně půd </w:t>
      </w:r>
    </w:p>
    <w:p w14:paraId="5B096CE9" w14:textId="75BAF8CB" w:rsidR="003E0F58" w:rsidRPr="007C705C" w:rsidRDefault="008A1AE3" w:rsidP="008A1AE3">
      <w:pPr>
        <w:pStyle w:val="UZEIOdrky"/>
        <w:rPr>
          <w:rFonts w:eastAsiaTheme="minorEastAsia"/>
        </w:rPr>
      </w:pPr>
      <w:r>
        <w:rPr>
          <w:rFonts w:eastAsiaTheme="minorEastAsia"/>
        </w:rPr>
        <w:t xml:space="preserve">W5: </w:t>
      </w:r>
      <w:r w:rsidR="003E0F58" w:rsidRPr="007C705C">
        <w:rPr>
          <w:rFonts w:eastAsiaTheme="minorEastAsia"/>
        </w:rPr>
        <w:t>Nevyjasněné vlastnicko-uživatelské vztahy – cca 80 % půdy je propachtováno</w:t>
      </w:r>
    </w:p>
    <w:p w14:paraId="13A4159E" w14:textId="20DCA4AB" w:rsidR="003E0F58" w:rsidRPr="007C705C" w:rsidRDefault="008A1AE3" w:rsidP="008A1AE3">
      <w:pPr>
        <w:pStyle w:val="UZEIOdrky"/>
        <w:rPr>
          <w:rFonts w:eastAsiaTheme="minorEastAsia"/>
        </w:rPr>
      </w:pPr>
      <w:r>
        <w:rPr>
          <w:rFonts w:eastAsiaTheme="minorEastAsia"/>
        </w:rPr>
        <w:t xml:space="preserve">W6: </w:t>
      </w:r>
      <w:r w:rsidR="003E0F58" w:rsidRPr="007C705C">
        <w:rPr>
          <w:rFonts w:eastAsiaTheme="minorEastAsia"/>
        </w:rPr>
        <w:t>Ne pro všechny škodlivé organismy existují v tuto chvíli spolehlivé modely predikce</w:t>
      </w:r>
    </w:p>
    <w:p w14:paraId="18DE0240" w14:textId="306EDC43" w:rsidR="003E0F58" w:rsidRPr="007C705C" w:rsidRDefault="008A1AE3" w:rsidP="008A1AE3">
      <w:pPr>
        <w:pStyle w:val="UZEIOdrky"/>
        <w:rPr>
          <w:rFonts w:eastAsiaTheme="minorEastAsia"/>
        </w:rPr>
      </w:pPr>
      <w:r>
        <w:rPr>
          <w:rFonts w:eastAsiaTheme="minorEastAsia"/>
        </w:rPr>
        <w:t xml:space="preserve">W7: </w:t>
      </w:r>
      <w:r w:rsidR="003E0F58" w:rsidRPr="007C705C">
        <w:rPr>
          <w:rFonts w:eastAsiaTheme="minorEastAsia"/>
        </w:rPr>
        <w:t>Chybějící některé vybavení pro šlechtění na odolnost vůči nově se rozšiřujícím škodlivým organismům</w:t>
      </w:r>
    </w:p>
    <w:p w14:paraId="18091F67" w14:textId="31FCE5CF" w:rsidR="003E0F58" w:rsidRPr="007C705C" w:rsidRDefault="008A1AE3" w:rsidP="008A1AE3">
      <w:pPr>
        <w:pStyle w:val="UZEIOdrky"/>
        <w:rPr>
          <w:rFonts w:eastAsiaTheme="minorEastAsia"/>
        </w:rPr>
      </w:pPr>
      <w:r>
        <w:rPr>
          <w:rFonts w:eastAsiaTheme="minorEastAsia"/>
        </w:rPr>
        <w:t xml:space="preserve">W8: </w:t>
      </w:r>
      <w:r w:rsidR="003E0F58" w:rsidRPr="007C705C">
        <w:rPr>
          <w:rFonts w:eastAsiaTheme="minorEastAsia"/>
        </w:rPr>
        <w:t xml:space="preserve">Nedostatek kvalifikovaných pracovníků pro vývoj expertních systémů a šlechtění na odolnost vůči novým škůdcům </w:t>
      </w:r>
    </w:p>
    <w:p w14:paraId="31067734" w14:textId="668E28B7" w:rsidR="003E0F58" w:rsidRPr="007C705C" w:rsidRDefault="008A1AE3" w:rsidP="008A1AE3">
      <w:pPr>
        <w:pStyle w:val="UZEIOdrky"/>
        <w:rPr>
          <w:rFonts w:eastAsiaTheme="minorEastAsia"/>
        </w:rPr>
      </w:pPr>
      <w:r>
        <w:rPr>
          <w:rFonts w:eastAsiaTheme="minorEastAsia"/>
        </w:rPr>
        <w:t xml:space="preserve">W9: </w:t>
      </w:r>
      <w:r w:rsidR="003E0F58" w:rsidRPr="007C705C">
        <w:rPr>
          <w:rFonts w:eastAsiaTheme="minorEastAsia"/>
        </w:rPr>
        <w:t xml:space="preserve">Konzervativní přístup zemědělců k ochraně rostlin </w:t>
      </w:r>
    </w:p>
    <w:p w14:paraId="6017D5FD" w14:textId="5D26AAD6" w:rsidR="003E0F58" w:rsidRPr="007C705C" w:rsidRDefault="008A1AE3" w:rsidP="008A1AE3">
      <w:pPr>
        <w:pStyle w:val="UZEIOdrky"/>
        <w:rPr>
          <w:rFonts w:eastAsiaTheme="minorEastAsia"/>
        </w:rPr>
      </w:pPr>
      <w:r>
        <w:rPr>
          <w:rFonts w:eastAsiaTheme="minorEastAsia"/>
        </w:rPr>
        <w:t xml:space="preserve">W10: </w:t>
      </w:r>
      <w:r w:rsidR="003E0F58" w:rsidRPr="007C705C">
        <w:rPr>
          <w:rFonts w:eastAsiaTheme="minorEastAsia"/>
        </w:rPr>
        <w:t>Pomalý proces šlechtění proti suchu a vysokým teplotám, může trvat i více než 10 let</w:t>
      </w:r>
    </w:p>
    <w:p w14:paraId="0D792B6C" w14:textId="3740D170" w:rsidR="003E0F58" w:rsidRPr="007C705C" w:rsidRDefault="008A1AE3" w:rsidP="008A1AE3">
      <w:pPr>
        <w:pStyle w:val="UZEIOdrky"/>
        <w:rPr>
          <w:rFonts w:eastAsiaTheme="minorEastAsia"/>
        </w:rPr>
      </w:pPr>
      <w:r>
        <w:rPr>
          <w:rFonts w:eastAsiaTheme="minorEastAsia"/>
        </w:rPr>
        <w:t xml:space="preserve">W11: </w:t>
      </w:r>
      <w:r w:rsidR="003E0F58" w:rsidRPr="007C705C">
        <w:rPr>
          <w:rFonts w:eastAsiaTheme="minorEastAsia"/>
        </w:rPr>
        <w:t>Nedostatečné znalosti zemědělců ohledně účinků a efektivity jednotlivých adaptačních opatření (zejména zalesňování a zatravňování)</w:t>
      </w:r>
    </w:p>
    <w:p w14:paraId="7C837FE9" w14:textId="2D1369C6" w:rsidR="003E0F58" w:rsidRPr="007C705C" w:rsidRDefault="008A1AE3" w:rsidP="008A1AE3">
      <w:pPr>
        <w:pStyle w:val="UZEIOdrky"/>
        <w:rPr>
          <w:rFonts w:eastAsiaTheme="minorEastAsia"/>
        </w:rPr>
      </w:pPr>
      <w:r>
        <w:rPr>
          <w:rFonts w:eastAsiaTheme="minorEastAsia"/>
        </w:rPr>
        <w:t>W12:</w:t>
      </w:r>
      <w:r w:rsidR="003E0F58" w:rsidRPr="007C705C">
        <w:rPr>
          <w:rFonts w:eastAsiaTheme="minorEastAsia"/>
        </w:rPr>
        <w:t>Vyčerpání půdy a její následná dlouhodobá regenerace</w:t>
      </w:r>
    </w:p>
    <w:p w14:paraId="2E08D58C" w14:textId="72A2C16E" w:rsidR="003E0F58" w:rsidRPr="00D7531D" w:rsidRDefault="008A1AE3" w:rsidP="00D7531D">
      <w:pPr>
        <w:pStyle w:val="UZEIOdrky"/>
        <w:rPr>
          <w:rFonts w:eastAsiaTheme="minorEastAsia"/>
        </w:rPr>
      </w:pPr>
      <w:r>
        <w:rPr>
          <w:rFonts w:eastAsiaTheme="minorEastAsia"/>
        </w:rPr>
        <w:t xml:space="preserve">W13: </w:t>
      </w:r>
      <w:r w:rsidR="003E0F58" w:rsidRPr="007C705C">
        <w:rPr>
          <w:rFonts w:eastAsiaTheme="minorEastAsia"/>
        </w:rPr>
        <w:t>Zhoršení půdních vlastností vlivem změny klimatických podmínek</w:t>
      </w:r>
    </w:p>
    <w:p w14:paraId="23F52F08" w14:textId="77777777" w:rsidR="003E0F58" w:rsidRPr="007C705C" w:rsidRDefault="003E0F58" w:rsidP="003E0F58">
      <w:pPr>
        <w:contextualSpacing/>
        <w:rPr>
          <w:rFonts w:eastAsiaTheme="minorEastAsia" w:cs="Times New Roman"/>
          <w:b/>
          <w:bCs/>
          <w:lang w:val="cs-CZ"/>
        </w:rPr>
      </w:pPr>
      <w:r w:rsidRPr="007C705C">
        <w:rPr>
          <w:rFonts w:eastAsiaTheme="minorEastAsia" w:cs="Times New Roman"/>
          <w:b/>
          <w:bCs/>
          <w:lang w:val="cs-CZ"/>
        </w:rPr>
        <w:t>ii.</w:t>
      </w:r>
      <w:r w:rsidRPr="007C705C">
        <w:rPr>
          <w:rFonts w:eastAsiaTheme="minorEastAsia" w:cs="Times New Roman"/>
          <w:b/>
          <w:bCs/>
          <w:lang w:val="cs-CZ"/>
        </w:rPr>
        <w:tab/>
        <w:t>Vysoké emise GHG a NH3 ze zemědělství</w:t>
      </w:r>
    </w:p>
    <w:p w14:paraId="101A1136" w14:textId="5A7F3B1C" w:rsidR="003E0F58" w:rsidRPr="007C705C" w:rsidRDefault="008A1AE3" w:rsidP="008A1AE3">
      <w:pPr>
        <w:pStyle w:val="UZEIOdrky"/>
        <w:rPr>
          <w:rFonts w:eastAsiaTheme="minorEastAsia"/>
        </w:rPr>
      </w:pPr>
      <w:r>
        <w:rPr>
          <w:rFonts w:eastAsiaTheme="minorEastAsia"/>
        </w:rPr>
        <w:t xml:space="preserve">W1: </w:t>
      </w:r>
      <w:r w:rsidR="003E0F58" w:rsidRPr="007C705C">
        <w:rPr>
          <w:rFonts w:eastAsiaTheme="minorEastAsia"/>
        </w:rPr>
        <w:t>46 % emisí ze zemědělství (vč. LULUCF a nepřímých emisí) jsou z „Managed Agricultural Soils“, 38 % „Enteric Fermentation“, 12 % „Manure Management“ a zbývající 4 % „liming and urea application“.</w:t>
      </w:r>
    </w:p>
    <w:p w14:paraId="53130D26" w14:textId="32846EF7" w:rsidR="003E0F58" w:rsidRPr="007C705C" w:rsidRDefault="008A1AE3" w:rsidP="008A1AE3">
      <w:pPr>
        <w:pStyle w:val="UZEIOdrky"/>
        <w:rPr>
          <w:rFonts w:eastAsiaTheme="minorEastAsia"/>
        </w:rPr>
      </w:pPr>
      <w:r>
        <w:rPr>
          <w:rFonts w:eastAsiaTheme="minorEastAsia"/>
        </w:rPr>
        <w:t xml:space="preserve">W2: </w:t>
      </w:r>
      <w:r w:rsidR="003E0F58" w:rsidRPr="007C705C">
        <w:rPr>
          <w:rFonts w:eastAsiaTheme="minorEastAsia"/>
        </w:rPr>
        <w:t>Vzrůstající podíl emisí GHG z kategorie „managed soils“</w:t>
      </w:r>
    </w:p>
    <w:p w14:paraId="1CEC3E0D" w14:textId="1DA1B886" w:rsidR="003E0F58" w:rsidRPr="007C705C" w:rsidRDefault="008A1AE3" w:rsidP="008A1AE3">
      <w:pPr>
        <w:pStyle w:val="UZEIOdrky"/>
        <w:rPr>
          <w:rFonts w:eastAsiaTheme="minorEastAsia"/>
        </w:rPr>
      </w:pPr>
      <w:r>
        <w:rPr>
          <w:rFonts w:eastAsiaTheme="minorEastAsia"/>
        </w:rPr>
        <w:t xml:space="preserve">W3: </w:t>
      </w:r>
      <w:r w:rsidR="003E0F58" w:rsidRPr="007C705C">
        <w:rPr>
          <w:rFonts w:eastAsiaTheme="minorEastAsia"/>
        </w:rPr>
        <w:t>V kat. „Enteric Fermentation“ jsou hlavními zdroji chovy skotu, prasat, ovcí, koz a koní.</w:t>
      </w:r>
    </w:p>
    <w:p w14:paraId="2E154AFF" w14:textId="3F1E59BF" w:rsidR="003E0F58" w:rsidRPr="007C705C" w:rsidRDefault="008A1AE3" w:rsidP="008A1AE3">
      <w:pPr>
        <w:pStyle w:val="UZEIOdrky"/>
        <w:rPr>
          <w:rFonts w:eastAsiaTheme="minorEastAsia"/>
        </w:rPr>
      </w:pPr>
      <w:r>
        <w:rPr>
          <w:rFonts w:eastAsiaTheme="minorEastAsia"/>
        </w:rPr>
        <w:t xml:space="preserve">W4: </w:t>
      </w:r>
      <w:r w:rsidR="003E0F58" w:rsidRPr="007C705C">
        <w:rPr>
          <w:rFonts w:eastAsiaTheme="minorEastAsia"/>
        </w:rPr>
        <w:t>V kat. „Manure Management“ tvoří 54 % CH4, přímé emise 24 % a nepřímé (N2O) emise 23 %.</w:t>
      </w:r>
    </w:p>
    <w:p w14:paraId="01EADD0D" w14:textId="37441A2A" w:rsidR="003E0F58" w:rsidRPr="007C705C" w:rsidRDefault="008A1AE3" w:rsidP="008A1AE3">
      <w:pPr>
        <w:pStyle w:val="UZEIOdrky"/>
        <w:rPr>
          <w:rFonts w:eastAsiaTheme="minorEastAsia"/>
        </w:rPr>
      </w:pPr>
      <w:r>
        <w:rPr>
          <w:rFonts w:eastAsiaTheme="minorEastAsia"/>
        </w:rPr>
        <w:t xml:space="preserve">W5: </w:t>
      </w:r>
      <w:r w:rsidR="003E0F58" w:rsidRPr="007C705C">
        <w:rPr>
          <w:rFonts w:eastAsiaTheme="minorEastAsia"/>
        </w:rPr>
        <w:t>V kat. „Managed Agricultural Soils“ jsou hlavními zdroji jak přímé (syntetická hnojiva, statk. hnojiva aplikovaná na půdu, zbytky plodin, kal z čistíren odpadních vod a další organická hnojiva aplikovaná na půdu) tak nepřímé emise N2O (atmosférická depozice a dusíkaté látky spláchnuté do vodních toků a nádrží - výluhy)</w:t>
      </w:r>
    </w:p>
    <w:p w14:paraId="2A2EE8FB" w14:textId="778DA135" w:rsidR="003E0F58" w:rsidRPr="007C705C" w:rsidRDefault="008A1AE3" w:rsidP="008A1AE3">
      <w:pPr>
        <w:pStyle w:val="UZEIOdrky"/>
        <w:rPr>
          <w:rFonts w:eastAsiaTheme="minorEastAsia"/>
        </w:rPr>
      </w:pPr>
      <w:r>
        <w:rPr>
          <w:rFonts w:eastAsiaTheme="minorEastAsia"/>
        </w:rPr>
        <w:t xml:space="preserve">W6: </w:t>
      </w:r>
      <w:r w:rsidR="003E0F58" w:rsidRPr="007C705C">
        <w:rPr>
          <w:rFonts w:eastAsiaTheme="minorEastAsia"/>
        </w:rPr>
        <w:t>sektor LULUCF se stal čistým emitentem GHG</w:t>
      </w:r>
    </w:p>
    <w:p w14:paraId="64ACB3EF" w14:textId="25FF8678" w:rsidR="003E0F58" w:rsidRPr="007C705C" w:rsidRDefault="008A1AE3" w:rsidP="008A1AE3">
      <w:pPr>
        <w:pStyle w:val="UZEIOdrky"/>
        <w:rPr>
          <w:rFonts w:eastAsiaTheme="minorEastAsia"/>
        </w:rPr>
      </w:pPr>
      <w:r>
        <w:rPr>
          <w:rFonts w:eastAsiaTheme="minorEastAsia"/>
        </w:rPr>
        <w:t xml:space="preserve">W7: </w:t>
      </w:r>
      <w:r w:rsidR="003E0F58" w:rsidRPr="007C705C">
        <w:rPr>
          <w:rFonts w:eastAsiaTheme="minorEastAsia"/>
        </w:rPr>
        <w:t>největším přispěvatelem LULUCF je kategorie Forest Land remaining Forest Land</w:t>
      </w:r>
    </w:p>
    <w:p w14:paraId="507FC4FE" w14:textId="46A3FF39" w:rsidR="003E0F58" w:rsidRPr="007C705C" w:rsidRDefault="008A1AE3" w:rsidP="008A1AE3">
      <w:pPr>
        <w:pStyle w:val="UZEIOdrky"/>
        <w:rPr>
          <w:rFonts w:eastAsiaTheme="minorEastAsia"/>
        </w:rPr>
      </w:pPr>
      <w:r>
        <w:rPr>
          <w:rFonts w:eastAsiaTheme="minorEastAsia"/>
        </w:rPr>
        <w:t xml:space="preserve">W8: </w:t>
      </w:r>
      <w:r w:rsidR="003E0F58" w:rsidRPr="007C705C">
        <w:rPr>
          <w:rFonts w:eastAsiaTheme="minorEastAsia"/>
        </w:rPr>
        <w:t xml:space="preserve">Poměrně velká neochota zemědělců snižovat dávky dusíkatých hnojiv vyplývající z neoprávněných obav ze snižování výnosů. </w:t>
      </w:r>
    </w:p>
    <w:p w14:paraId="50B53710" w14:textId="584C9E7A" w:rsidR="003E0F58" w:rsidRPr="007C705C" w:rsidRDefault="008A1AE3" w:rsidP="008A1AE3">
      <w:pPr>
        <w:pStyle w:val="UZEIOdrky"/>
        <w:rPr>
          <w:rFonts w:eastAsiaTheme="minorEastAsia"/>
        </w:rPr>
      </w:pPr>
      <w:r>
        <w:rPr>
          <w:rFonts w:eastAsiaTheme="minorEastAsia"/>
        </w:rPr>
        <w:t xml:space="preserve">W9: </w:t>
      </w:r>
      <w:r w:rsidR="003E0F58" w:rsidRPr="007C705C">
        <w:rPr>
          <w:rFonts w:eastAsiaTheme="minorEastAsia"/>
        </w:rPr>
        <w:t>Nedostatečná technická vybavenost pro variabilní aplikace hnojiv</w:t>
      </w:r>
    </w:p>
    <w:p w14:paraId="530E4524" w14:textId="24BD2846" w:rsidR="003E0F58" w:rsidRPr="007C705C" w:rsidRDefault="008A1AE3" w:rsidP="008A1AE3">
      <w:pPr>
        <w:pStyle w:val="UZEIOdrky"/>
        <w:rPr>
          <w:rFonts w:eastAsiaTheme="minorEastAsia"/>
        </w:rPr>
      </w:pPr>
      <w:r>
        <w:rPr>
          <w:rFonts w:eastAsiaTheme="minorEastAsia"/>
        </w:rPr>
        <w:t xml:space="preserve">W10: </w:t>
      </w:r>
      <w:r w:rsidR="003E0F58" w:rsidRPr="007C705C">
        <w:rPr>
          <w:rFonts w:eastAsiaTheme="minorEastAsia"/>
        </w:rPr>
        <w:t>Nedostatečně rozvinuté poradenské služby v oblasti rozhodovacích pravidel, tvorby mapových podkladů, precizního zemědělství</w:t>
      </w:r>
    </w:p>
    <w:p w14:paraId="657F583B" w14:textId="457E169F" w:rsidR="003E0F58" w:rsidRPr="007C705C" w:rsidRDefault="008A1AE3" w:rsidP="008A1AE3">
      <w:pPr>
        <w:pStyle w:val="UZEIOdrky"/>
        <w:rPr>
          <w:rFonts w:eastAsiaTheme="minorEastAsia"/>
        </w:rPr>
      </w:pPr>
      <w:r>
        <w:rPr>
          <w:rFonts w:eastAsiaTheme="minorEastAsia"/>
        </w:rPr>
        <w:t>W11:</w:t>
      </w:r>
      <w:r w:rsidR="003E0F58" w:rsidRPr="007C705C">
        <w:rPr>
          <w:rFonts w:eastAsiaTheme="minorEastAsia"/>
        </w:rPr>
        <w:t xml:space="preserve">Nedostatečně vybavené stáje pro úpravu mikroklimatu ve vztahu k zvyšujícím se vnějším teplotám </w:t>
      </w:r>
    </w:p>
    <w:p w14:paraId="6168CDB0" w14:textId="412D8334" w:rsidR="003E0F58" w:rsidRPr="007C705C" w:rsidRDefault="008A1AE3" w:rsidP="008A1AE3">
      <w:pPr>
        <w:pStyle w:val="UZEIOdrky"/>
        <w:rPr>
          <w:rFonts w:eastAsiaTheme="minorEastAsia"/>
          <w:b/>
          <w:bCs/>
        </w:rPr>
      </w:pPr>
      <w:r>
        <w:rPr>
          <w:rFonts w:eastAsiaTheme="minorEastAsia"/>
        </w:rPr>
        <w:t xml:space="preserve">W12:  </w:t>
      </w:r>
      <w:r w:rsidR="003E0F58" w:rsidRPr="007C705C">
        <w:rPr>
          <w:rFonts w:eastAsiaTheme="minorEastAsia"/>
        </w:rPr>
        <w:t>Nedostatečně zabezpečené stáje a úložiště kejdy nebo trusu proti úniku GHG a NH3</w:t>
      </w:r>
    </w:p>
    <w:p w14:paraId="0CA7B541" w14:textId="67428462" w:rsidR="003E0F58" w:rsidRPr="007C705C" w:rsidRDefault="008A1AE3" w:rsidP="008A1AE3">
      <w:pPr>
        <w:pStyle w:val="UZEIOdrky"/>
        <w:rPr>
          <w:rFonts w:eastAsiaTheme="minorEastAsia"/>
        </w:rPr>
      </w:pPr>
      <w:r>
        <w:rPr>
          <w:rFonts w:eastAsiaTheme="minorEastAsia"/>
        </w:rPr>
        <w:lastRenderedPageBreak/>
        <w:t xml:space="preserve">W13: </w:t>
      </w:r>
      <w:r w:rsidR="003E0F58" w:rsidRPr="007C705C">
        <w:rPr>
          <w:rFonts w:eastAsiaTheme="minorEastAsia"/>
        </w:rPr>
        <w:t>Neochota zemědělců přecházet na bezorebné technologie, pěstování meziplodin, znalostně a technologicky náročnější způsoby regulace plevelů, chorob a škůdců (vyšší nároky na pozorování, monitoring a prognózy), nutnost investic do techniky umožňující bezorebné setí, neochota přecházet k agrolesnictví (změny v organizaci práce)</w:t>
      </w:r>
    </w:p>
    <w:p w14:paraId="18E129B3" w14:textId="353BEF87" w:rsidR="003E0F58" w:rsidRPr="007C705C" w:rsidRDefault="008A1AE3" w:rsidP="008A1AE3">
      <w:pPr>
        <w:pStyle w:val="UZEIOdrky"/>
        <w:rPr>
          <w:rFonts w:eastAsiaTheme="minorEastAsia"/>
          <w:b/>
          <w:bCs/>
        </w:rPr>
      </w:pPr>
      <w:r>
        <w:rPr>
          <w:rFonts w:eastAsiaTheme="minorEastAsia"/>
        </w:rPr>
        <w:t xml:space="preserve">W14: </w:t>
      </w:r>
      <w:r w:rsidR="003E0F58" w:rsidRPr="007C705C">
        <w:rPr>
          <w:rFonts w:eastAsiaTheme="minorEastAsia"/>
        </w:rPr>
        <w:t>Malá informovanost zemědělců, zejména na vazbu emisí NH</w:t>
      </w:r>
      <w:r w:rsidR="003E0F58" w:rsidRPr="007C705C">
        <w:rPr>
          <w:rFonts w:eastAsiaTheme="minorEastAsia"/>
          <w:vertAlign w:val="subscript"/>
        </w:rPr>
        <w:t>3</w:t>
      </w:r>
      <w:r w:rsidR="003E0F58" w:rsidRPr="007C705C">
        <w:rPr>
          <w:rFonts w:eastAsiaTheme="minorEastAsia"/>
        </w:rPr>
        <w:t xml:space="preserve"> a GHG se snížením množství využitelných dusíkatých látek ve statkových hnojivech.</w:t>
      </w:r>
    </w:p>
    <w:p w14:paraId="11097C84" w14:textId="77777777" w:rsidR="003E0F58" w:rsidRPr="007C705C" w:rsidRDefault="003E0F58" w:rsidP="003E0F58">
      <w:pPr>
        <w:contextualSpacing/>
        <w:rPr>
          <w:rFonts w:eastAsiaTheme="minorEastAsia" w:cs="Times New Roman"/>
          <w:b/>
          <w:bCs/>
          <w:lang w:val="cs-CZ"/>
        </w:rPr>
      </w:pPr>
      <w:r w:rsidRPr="007C705C">
        <w:rPr>
          <w:rFonts w:eastAsiaTheme="minorEastAsia" w:cs="Times New Roman"/>
          <w:b/>
          <w:bCs/>
          <w:lang w:val="cs-CZ"/>
        </w:rPr>
        <w:t>iii.</w:t>
      </w:r>
      <w:r w:rsidRPr="007C705C">
        <w:rPr>
          <w:rFonts w:eastAsiaTheme="minorEastAsia" w:cs="Times New Roman"/>
          <w:b/>
          <w:bCs/>
          <w:lang w:val="cs-CZ"/>
        </w:rPr>
        <w:tab/>
        <w:t>Nízký obsah organického uhlíku v půdě</w:t>
      </w:r>
    </w:p>
    <w:p w14:paraId="33FA882E" w14:textId="2550DDB7" w:rsidR="003E0F58" w:rsidRPr="007C705C" w:rsidRDefault="008A1AE3" w:rsidP="008A1AE3">
      <w:pPr>
        <w:pStyle w:val="UZEIOdrky"/>
        <w:rPr>
          <w:rFonts w:eastAsiaTheme="minorEastAsia"/>
          <w:b/>
          <w:bCs/>
        </w:rPr>
      </w:pPr>
      <w:r>
        <w:rPr>
          <w:rFonts w:eastAsiaTheme="minorEastAsia"/>
        </w:rPr>
        <w:t xml:space="preserve">W1:  </w:t>
      </w:r>
      <w:r w:rsidR="003E0F58" w:rsidRPr="007C705C">
        <w:rPr>
          <w:rFonts w:eastAsiaTheme="minorEastAsia"/>
        </w:rPr>
        <w:t>Zalesnění je administrativně i finančně velmi náročný a téměř nevratný proces</w:t>
      </w:r>
    </w:p>
    <w:p w14:paraId="2D471757" w14:textId="6F580B39" w:rsidR="003E0F58" w:rsidRPr="007C705C" w:rsidRDefault="008A1AE3" w:rsidP="008A1AE3">
      <w:pPr>
        <w:pStyle w:val="UZEIOdrky"/>
        <w:rPr>
          <w:rFonts w:eastAsiaTheme="minorEastAsia"/>
        </w:rPr>
      </w:pPr>
      <w:r>
        <w:rPr>
          <w:rFonts w:eastAsiaTheme="minorEastAsia"/>
        </w:rPr>
        <w:t xml:space="preserve">W2: </w:t>
      </w:r>
      <w:r w:rsidR="003E0F58" w:rsidRPr="007C705C">
        <w:rPr>
          <w:rFonts w:eastAsiaTheme="minorEastAsia"/>
        </w:rPr>
        <w:t xml:space="preserve">Malý počet realizovaných pozemkových úprav </w:t>
      </w:r>
    </w:p>
    <w:p w14:paraId="1B573B26" w14:textId="7E9F6BF1" w:rsidR="003E0F58" w:rsidRPr="007C705C" w:rsidRDefault="008A1AE3" w:rsidP="008A1AE3">
      <w:pPr>
        <w:pStyle w:val="UZEIOdrky"/>
        <w:rPr>
          <w:rFonts w:eastAsiaTheme="minorEastAsia"/>
        </w:rPr>
      </w:pPr>
      <w:r>
        <w:rPr>
          <w:rFonts w:eastAsiaTheme="minorEastAsia"/>
        </w:rPr>
        <w:t xml:space="preserve">W3: </w:t>
      </w:r>
      <w:r w:rsidR="003E0F58" w:rsidRPr="007C705C">
        <w:rPr>
          <w:rFonts w:eastAsiaTheme="minorEastAsia"/>
        </w:rPr>
        <w:t>Intenzifikace zemědělské výroby, vysoký tlak na půdu</w:t>
      </w:r>
    </w:p>
    <w:p w14:paraId="7C84F2C6" w14:textId="52EF8FD4" w:rsidR="003E0F58" w:rsidRPr="007C705C" w:rsidRDefault="008A1AE3" w:rsidP="008A1AE3">
      <w:pPr>
        <w:pStyle w:val="UZEIOdrky"/>
        <w:rPr>
          <w:rFonts w:eastAsiaTheme="minorEastAsia"/>
        </w:rPr>
      </w:pPr>
      <w:r>
        <w:rPr>
          <w:rFonts w:eastAsiaTheme="minorEastAsia"/>
        </w:rPr>
        <w:t xml:space="preserve">W4:  </w:t>
      </w:r>
      <w:r w:rsidR="003E0F58" w:rsidRPr="007C705C">
        <w:rPr>
          <w:rFonts w:eastAsiaTheme="minorEastAsia"/>
        </w:rPr>
        <w:t>Nedostatečně integrované řešení problémů (např. související eroze - vláha - klima).</w:t>
      </w:r>
    </w:p>
    <w:p w14:paraId="13628B32" w14:textId="1F77B77F" w:rsidR="003E0F58" w:rsidRPr="007C705C" w:rsidRDefault="008A1AE3" w:rsidP="008A1AE3">
      <w:pPr>
        <w:pStyle w:val="UZEIOdrky"/>
        <w:rPr>
          <w:rFonts w:eastAsiaTheme="minorEastAsia"/>
        </w:rPr>
      </w:pPr>
      <w:r>
        <w:rPr>
          <w:rFonts w:eastAsiaTheme="minorEastAsia"/>
        </w:rPr>
        <w:t xml:space="preserve">W5: </w:t>
      </w:r>
      <w:r w:rsidR="003E0F58" w:rsidRPr="007C705C">
        <w:rPr>
          <w:rFonts w:eastAsiaTheme="minorEastAsia"/>
        </w:rPr>
        <w:t>Nedostatečná sekvestrace uhlíku na intenzivně obhospodařovaných zemědělských půdách</w:t>
      </w:r>
    </w:p>
    <w:p w14:paraId="4682BAFB" w14:textId="326D6A98" w:rsidR="003E0F58" w:rsidRPr="007C705C" w:rsidRDefault="008A1AE3" w:rsidP="008A1AE3">
      <w:pPr>
        <w:pStyle w:val="UZEIOdrky"/>
        <w:rPr>
          <w:rFonts w:eastAsiaTheme="minorEastAsia"/>
        </w:rPr>
      </w:pPr>
      <w:r>
        <w:rPr>
          <w:rFonts w:eastAsiaTheme="minorEastAsia"/>
        </w:rPr>
        <w:t xml:space="preserve">W6:  </w:t>
      </w:r>
      <w:r w:rsidR="003E0F58" w:rsidRPr="007C705C">
        <w:rPr>
          <w:rFonts w:eastAsiaTheme="minorEastAsia"/>
        </w:rPr>
        <w:t>Nevhodné zdroje strukturálního C – snížení aktivity půdních mikroorganismů – omezení procesu humifikace – akcelerace mineralizace POH – ohrožení zdraví půdy</w:t>
      </w:r>
    </w:p>
    <w:p w14:paraId="204C0368" w14:textId="77777777" w:rsidR="003E0F58" w:rsidRPr="007C705C" w:rsidRDefault="003E0F58" w:rsidP="008A1AE3">
      <w:pPr>
        <w:pStyle w:val="UZEIOdrky"/>
        <w:numPr>
          <w:ilvl w:val="0"/>
          <w:numId w:val="0"/>
        </w:numPr>
        <w:ind w:left="720"/>
        <w:rPr>
          <w:rFonts w:eastAsiaTheme="minorEastAsia"/>
        </w:rPr>
      </w:pPr>
    </w:p>
    <w:p w14:paraId="1F2B668E" w14:textId="77777777" w:rsidR="003E0F58" w:rsidRPr="007C705C" w:rsidRDefault="003E0F58" w:rsidP="003E0F58">
      <w:pPr>
        <w:contextualSpacing/>
        <w:rPr>
          <w:rFonts w:eastAsiaTheme="minorEastAsia" w:cs="Times New Roman"/>
          <w:b/>
          <w:bCs/>
          <w:lang w:val="cs-CZ"/>
        </w:rPr>
      </w:pPr>
      <w:r w:rsidRPr="007C705C">
        <w:rPr>
          <w:rFonts w:eastAsiaTheme="minorEastAsia" w:cs="Times New Roman"/>
          <w:b/>
          <w:bCs/>
          <w:lang w:val="cs-CZ"/>
        </w:rPr>
        <w:t>iv.</w:t>
      </w:r>
      <w:r w:rsidRPr="007C705C">
        <w:rPr>
          <w:rFonts w:eastAsiaTheme="minorEastAsia" w:cs="Times New Roman"/>
          <w:b/>
          <w:bCs/>
          <w:lang w:val="cs-CZ"/>
        </w:rPr>
        <w:tab/>
        <w:t>Nevyužitý potenciál a neefektivní výroba energií z OZE v zemědělství a lesnictví</w:t>
      </w:r>
    </w:p>
    <w:p w14:paraId="5F0A0AC9" w14:textId="39A4FCD4" w:rsidR="003E0F58" w:rsidRPr="007C705C" w:rsidRDefault="008A1AE3" w:rsidP="008A1AE3">
      <w:pPr>
        <w:pStyle w:val="UZEIOdrky"/>
        <w:rPr>
          <w:rFonts w:eastAsiaTheme="minorEastAsia"/>
        </w:rPr>
      </w:pPr>
      <w:r>
        <w:rPr>
          <w:rFonts w:eastAsiaTheme="minorEastAsia"/>
        </w:rPr>
        <w:t xml:space="preserve">W1: </w:t>
      </w:r>
      <w:r w:rsidR="003E0F58" w:rsidRPr="007C705C">
        <w:rPr>
          <w:rFonts w:eastAsiaTheme="minorEastAsia"/>
        </w:rPr>
        <w:t>Převažující orientace na jednostranné využívání biomasy (úzké spektrum spotřebitelů, nadměrné pěstování kukuřice, energetický mix reprezentují téměř výhradně BPS a velké teplárny, obě jmenované technologie neefektivně využívají energii (teplo) z biomasy), viz. další body níže</w:t>
      </w:r>
    </w:p>
    <w:p w14:paraId="1F4C9983" w14:textId="414FC7DE" w:rsidR="003E0F58" w:rsidRPr="007C705C" w:rsidRDefault="008A1AE3" w:rsidP="008A1AE3">
      <w:pPr>
        <w:pStyle w:val="UZEIOdrky"/>
        <w:rPr>
          <w:rFonts w:eastAsiaTheme="minorEastAsia"/>
        </w:rPr>
      </w:pPr>
      <w:r>
        <w:rPr>
          <w:rFonts w:eastAsiaTheme="minorEastAsia"/>
        </w:rPr>
        <w:t xml:space="preserve">W2: </w:t>
      </w:r>
      <w:r w:rsidR="003E0F58" w:rsidRPr="007C705C">
        <w:rPr>
          <w:rFonts w:eastAsiaTheme="minorEastAsia"/>
        </w:rPr>
        <w:t>Nerovnoměrné rozložení lokálních spotřebitelských kapacit biomasy</w:t>
      </w:r>
    </w:p>
    <w:p w14:paraId="58A9FDEC" w14:textId="26BAE237" w:rsidR="003E0F58" w:rsidRPr="007C705C" w:rsidRDefault="008A1AE3" w:rsidP="008A1AE3">
      <w:pPr>
        <w:pStyle w:val="UZEIOdrky"/>
        <w:rPr>
          <w:rFonts w:eastAsiaTheme="minorEastAsia"/>
        </w:rPr>
      </w:pPr>
      <w:r>
        <w:rPr>
          <w:rFonts w:eastAsiaTheme="minorEastAsia"/>
        </w:rPr>
        <w:t xml:space="preserve">W3: </w:t>
      </w:r>
      <w:r w:rsidR="003E0F58" w:rsidRPr="007C705C">
        <w:rPr>
          <w:rFonts w:eastAsiaTheme="minorEastAsia"/>
        </w:rPr>
        <w:t>Orientace na způsoby využití biomasy s nízkou účinností (kondenzační elektrárny, BPS mimo nebo při spodní hranici KVET)</w:t>
      </w:r>
    </w:p>
    <w:p w14:paraId="0C7F1D94" w14:textId="32C4DB7B" w:rsidR="003E0F58" w:rsidRPr="007C705C" w:rsidRDefault="008A1AE3" w:rsidP="008A1AE3">
      <w:pPr>
        <w:pStyle w:val="UZEIOdrky"/>
        <w:rPr>
          <w:rFonts w:eastAsiaTheme="minorEastAsia"/>
        </w:rPr>
      </w:pPr>
      <w:r>
        <w:rPr>
          <w:rFonts w:eastAsiaTheme="minorEastAsia"/>
        </w:rPr>
        <w:t xml:space="preserve">W4: </w:t>
      </w:r>
      <w:r w:rsidR="003E0F58" w:rsidRPr="007C705C">
        <w:rPr>
          <w:rFonts w:eastAsiaTheme="minorEastAsia"/>
        </w:rPr>
        <w:t>Postupně budou bez modernizace dosluhovat zařízení pro výrobu energií z biomasy (např. cca 72 BPS do roku 2027)</w:t>
      </w:r>
    </w:p>
    <w:p w14:paraId="039E7E40" w14:textId="0F8EDD17" w:rsidR="003E0F58" w:rsidRPr="007C705C" w:rsidRDefault="008A1AE3" w:rsidP="008A1AE3">
      <w:pPr>
        <w:pStyle w:val="UZEIOdrky"/>
        <w:rPr>
          <w:rFonts w:eastAsiaTheme="minorEastAsia"/>
        </w:rPr>
      </w:pPr>
      <w:r>
        <w:rPr>
          <w:rFonts w:eastAsiaTheme="minorEastAsia"/>
        </w:rPr>
        <w:t xml:space="preserve">W5: </w:t>
      </w:r>
      <w:r w:rsidR="003E0F58" w:rsidRPr="007C705C">
        <w:rPr>
          <w:rFonts w:eastAsiaTheme="minorEastAsia"/>
        </w:rPr>
        <w:t>Zatímco se zvyšují cíle EU v oblasti výroby energií z OZE, výroba z biomasy, která v ČR tvoří cca 90 % výroby z OZE, v posledních letech stagnuje</w:t>
      </w:r>
    </w:p>
    <w:p w14:paraId="725E1BAA" w14:textId="381F2D77" w:rsidR="003E0F58" w:rsidRPr="007C705C" w:rsidRDefault="008A1AE3" w:rsidP="008A1AE3">
      <w:pPr>
        <w:pStyle w:val="UZEIOdrky"/>
        <w:rPr>
          <w:rFonts w:eastAsiaTheme="minorEastAsia"/>
        </w:rPr>
      </w:pPr>
      <w:r>
        <w:rPr>
          <w:rFonts w:eastAsiaTheme="minorEastAsia"/>
        </w:rPr>
        <w:t xml:space="preserve">W6: </w:t>
      </w:r>
      <w:r w:rsidR="003E0F58" w:rsidRPr="007C705C">
        <w:rPr>
          <w:rFonts w:eastAsiaTheme="minorEastAsia"/>
        </w:rPr>
        <w:t>Neochota zemědělců pěstovat biomasu s nízkým erozním rizikem (absence stabilních lokálních spotřebitelů, problém vlastnictví půdy, kratší pachtovní smlouvy než návratnost založených porostů, nedostatek vlastní půdy)</w:t>
      </w:r>
    </w:p>
    <w:p w14:paraId="1F582E5D" w14:textId="407701A6" w:rsidR="003E0F58" w:rsidRPr="007C705C" w:rsidRDefault="008A1AE3" w:rsidP="008A1AE3">
      <w:pPr>
        <w:pStyle w:val="UZEIOdrky"/>
        <w:rPr>
          <w:rFonts w:eastAsiaTheme="minorEastAsia"/>
        </w:rPr>
      </w:pPr>
      <w:r>
        <w:rPr>
          <w:rFonts w:eastAsiaTheme="minorEastAsia"/>
        </w:rPr>
        <w:t xml:space="preserve">W7: </w:t>
      </w:r>
      <w:r w:rsidR="003E0F58" w:rsidRPr="007C705C">
        <w:rPr>
          <w:rFonts w:eastAsiaTheme="minorEastAsia"/>
        </w:rPr>
        <w:t xml:space="preserve">Nevyužitý potenciál lesní dendromasy k výrobě energií související s absencí stabilních lokálních spotřebitelů </w:t>
      </w:r>
    </w:p>
    <w:p w14:paraId="1737BB02" w14:textId="1EC39F90" w:rsidR="003E0F58" w:rsidRPr="008A1AE3" w:rsidRDefault="008A1AE3" w:rsidP="008A1AE3">
      <w:pPr>
        <w:pStyle w:val="UZEIOdrky"/>
        <w:rPr>
          <w:rFonts w:eastAsiaTheme="minorEastAsia"/>
        </w:rPr>
      </w:pPr>
      <w:r>
        <w:rPr>
          <w:rFonts w:eastAsiaTheme="minorEastAsia"/>
        </w:rPr>
        <w:t xml:space="preserve">W8: </w:t>
      </w:r>
      <w:r w:rsidR="003E0F58" w:rsidRPr="007C705C">
        <w:rPr>
          <w:rFonts w:eastAsiaTheme="minorEastAsia"/>
        </w:rPr>
        <w:t>Absence statistiky využívání jednotlivých druhů biomasy</w:t>
      </w:r>
    </w:p>
    <w:p w14:paraId="500DEC94" w14:textId="77777777" w:rsidR="003E0F58" w:rsidRPr="008A1AE3" w:rsidRDefault="003E0F58" w:rsidP="008A1AE3">
      <w:pPr>
        <w:pStyle w:val="UZEINormaln"/>
        <w:rPr>
          <w:rFonts w:eastAsiaTheme="minorEastAsia"/>
          <w:b/>
          <w:bCs/>
        </w:rPr>
      </w:pPr>
      <w:r w:rsidRPr="008A1AE3">
        <w:rPr>
          <w:rFonts w:eastAsiaTheme="minorEastAsia"/>
          <w:b/>
          <w:bCs/>
        </w:rPr>
        <w:t>Příležitosti</w:t>
      </w:r>
    </w:p>
    <w:p w14:paraId="4139D417" w14:textId="77777777" w:rsidR="003E0F58" w:rsidRPr="007C705C" w:rsidRDefault="003E0F58" w:rsidP="003E0F58">
      <w:pPr>
        <w:rPr>
          <w:rFonts w:eastAsiaTheme="minorEastAsia" w:cs="Times New Roman"/>
          <w:b/>
          <w:bCs/>
          <w:lang w:val="cs-CZ"/>
        </w:rPr>
      </w:pPr>
      <w:r w:rsidRPr="007C705C">
        <w:rPr>
          <w:rFonts w:eastAsiaTheme="minorEastAsia" w:cs="Times New Roman"/>
          <w:b/>
          <w:bCs/>
          <w:lang w:val="cs-CZ"/>
        </w:rPr>
        <w:t>i.</w:t>
      </w:r>
      <w:r w:rsidRPr="007C705C">
        <w:rPr>
          <w:rFonts w:eastAsiaTheme="minorEastAsia" w:cs="Times New Roman"/>
          <w:b/>
          <w:bCs/>
          <w:lang w:val="cs-CZ"/>
        </w:rPr>
        <w:tab/>
        <w:t>Nízká odolnost zemědělských podniků vůči klimatickým změnám</w:t>
      </w:r>
    </w:p>
    <w:p w14:paraId="628A4687" w14:textId="43ABBDD9" w:rsidR="003E0F58" w:rsidRPr="007C705C" w:rsidRDefault="008A1AE3" w:rsidP="008A1AE3">
      <w:pPr>
        <w:pStyle w:val="UZEIOdrky"/>
        <w:rPr>
          <w:rFonts w:eastAsiaTheme="minorEastAsia"/>
        </w:rPr>
      </w:pPr>
      <w:r>
        <w:rPr>
          <w:rFonts w:eastAsiaTheme="minorEastAsia"/>
        </w:rPr>
        <w:t xml:space="preserve">O1: </w:t>
      </w:r>
      <w:r w:rsidR="003E0F58" w:rsidRPr="007C705C">
        <w:rPr>
          <w:rFonts w:eastAsiaTheme="minorEastAsia"/>
        </w:rPr>
        <w:t>Poptávka veřejnosti po komplexním řešení ochrany půdy a vody v rámci KPÚ i mimo ně</w:t>
      </w:r>
    </w:p>
    <w:p w14:paraId="6DC09084" w14:textId="00DAAB54" w:rsidR="003E0F58" w:rsidRPr="007C705C" w:rsidRDefault="008A1AE3" w:rsidP="008A1AE3">
      <w:pPr>
        <w:pStyle w:val="UZEIOdrky"/>
        <w:rPr>
          <w:rFonts w:eastAsiaTheme="minorEastAsia"/>
        </w:rPr>
      </w:pPr>
      <w:r>
        <w:rPr>
          <w:rFonts w:eastAsiaTheme="minorEastAsia"/>
        </w:rPr>
        <w:t xml:space="preserve">O2: </w:t>
      </w:r>
      <w:r w:rsidR="003E0F58" w:rsidRPr="007C705C">
        <w:rPr>
          <w:rFonts w:eastAsiaTheme="minorEastAsia"/>
        </w:rPr>
        <w:t>Zlepšování povědomí mezi veřejností o ochraně půdy, zájem sdělovacích prostředků a médií</w:t>
      </w:r>
    </w:p>
    <w:p w14:paraId="0F75123D" w14:textId="748F7B0A" w:rsidR="003E0F58" w:rsidRPr="007C705C" w:rsidRDefault="008A1AE3" w:rsidP="008A1AE3">
      <w:pPr>
        <w:pStyle w:val="UZEIOdrky"/>
        <w:rPr>
          <w:rFonts w:eastAsiaTheme="minorEastAsia"/>
        </w:rPr>
      </w:pPr>
      <w:r>
        <w:rPr>
          <w:rFonts w:eastAsiaTheme="minorEastAsia"/>
        </w:rPr>
        <w:t xml:space="preserve">O3: </w:t>
      </w:r>
      <w:r w:rsidR="003E0F58" w:rsidRPr="007C705C">
        <w:rPr>
          <w:rFonts w:eastAsiaTheme="minorEastAsia"/>
        </w:rPr>
        <w:t>Příprava vyhlášky MŽP na ochranu půdy před erozí (Protierozní vyhláška), úprava DZES</w:t>
      </w:r>
    </w:p>
    <w:p w14:paraId="1949726C" w14:textId="420E1017" w:rsidR="003E0F58" w:rsidRPr="007C705C" w:rsidRDefault="008A1AE3" w:rsidP="008A1AE3">
      <w:pPr>
        <w:pStyle w:val="UZEIOdrky"/>
        <w:rPr>
          <w:rFonts w:eastAsiaTheme="minorEastAsia"/>
        </w:rPr>
      </w:pPr>
      <w:r>
        <w:rPr>
          <w:rFonts w:eastAsiaTheme="minorEastAsia"/>
        </w:rPr>
        <w:t xml:space="preserve">O4: </w:t>
      </w:r>
      <w:r w:rsidR="003E0F58" w:rsidRPr="007C705C">
        <w:rPr>
          <w:rFonts w:eastAsiaTheme="minorEastAsia"/>
        </w:rPr>
        <w:t xml:space="preserve">9 % lidí považuje krajinu za národní bohatství </w:t>
      </w:r>
    </w:p>
    <w:p w14:paraId="31B75EEB" w14:textId="3DB0DF11" w:rsidR="003E0F58" w:rsidRPr="007C705C" w:rsidRDefault="008A1AE3" w:rsidP="008A1AE3">
      <w:pPr>
        <w:pStyle w:val="UZEIOdrky"/>
        <w:rPr>
          <w:rFonts w:eastAsiaTheme="minorEastAsia"/>
        </w:rPr>
      </w:pPr>
      <w:r>
        <w:rPr>
          <w:rFonts w:eastAsiaTheme="minorEastAsia"/>
        </w:rPr>
        <w:lastRenderedPageBreak/>
        <w:t xml:space="preserve">O5: </w:t>
      </w:r>
      <w:r w:rsidR="003E0F58" w:rsidRPr="007C705C">
        <w:rPr>
          <w:rFonts w:eastAsiaTheme="minorEastAsia"/>
        </w:rPr>
        <w:t xml:space="preserve">Možnost využít rostoucího zájmu společnosti o krajinu a půdu k širšímu uplatnění produkce pícnin na trhu se zemědělskými komoditami </w:t>
      </w:r>
    </w:p>
    <w:p w14:paraId="62C1345C" w14:textId="0F17890D" w:rsidR="003E0F58" w:rsidRPr="007C705C" w:rsidRDefault="008A1AE3" w:rsidP="008A1AE3">
      <w:pPr>
        <w:pStyle w:val="UZEIOdrky"/>
        <w:rPr>
          <w:rFonts w:eastAsiaTheme="minorEastAsia"/>
        </w:rPr>
      </w:pPr>
      <w:r>
        <w:rPr>
          <w:rFonts w:eastAsiaTheme="minorEastAsia"/>
        </w:rPr>
        <w:t xml:space="preserve">O6: </w:t>
      </w:r>
      <w:r w:rsidR="003E0F58" w:rsidRPr="007C705C">
        <w:rPr>
          <w:rFonts w:eastAsiaTheme="minorEastAsia"/>
        </w:rPr>
        <w:t>Adaptační a mitigační efekty zatravňování mohou posílit celospolečenské uznání role zemědělců v péči o přírodu a krajinu</w:t>
      </w:r>
    </w:p>
    <w:p w14:paraId="2902A935" w14:textId="2A0CEC85" w:rsidR="003E0F58" w:rsidRPr="007C705C" w:rsidRDefault="008A1AE3" w:rsidP="008A1AE3">
      <w:pPr>
        <w:pStyle w:val="UZEIOdrky"/>
        <w:rPr>
          <w:rFonts w:eastAsiaTheme="minorEastAsia"/>
        </w:rPr>
      </w:pPr>
      <w:r>
        <w:rPr>
          <w:rFonts w:eastAsiaTheme="minorEastAsia"/>
        </w:rPr>
        <w:t xml:space="preserve">O7:  </w:t>
      </w:r>
      <w:r w:rsidR="003E0F58" w:rsidRPr="007C705C">
        <w:rPr>
          <w:rFonts w:eastAsiaTheme="minorEastAsia"/>
        </w:rPr>
        <w:t>Zlepšování povědomí mezi veřejností o ochraně půdy, zájem sdělovacích prostředků a médií</w:t>
      </w:r>
    </w:p>
    <w:p w14:paraId="66220C6D" w14:textId="77777777" w:rsidR="003E0F58" w:rsidRPr="007C705C" w:rsidRDefault="003E0F58" w:rsidP="003E0F58">
      <w:pPr>
        <w:contextualSpacing/>
        <w:rPr>
          <w:rFonts w:eastAsiaTheme="minorEastAsia" w:cs="Times New Roman"/>
          <w:b/>
          <w:bCs/>
          <w:lang w:val="cs-CZ"/>
        </w:rPr>
      </w:pPr>
      <w:r w:rsidRPr="007C705C">
        <w:rPr>
          <w:rFonts w:eastAsiaTheme="minorEastAsia" w:cs="Times New Roman"/>
          <w:b/>
          <w:bCs/>
          <w:lang w:val="cs-CZ"/>
        </w:rPr>
        <w:t>ii.</w:t>
      </w:r>
      <w:r w:rsidRPr="007C705C">
        <w:rPr>
          <w:rFonts w:eastAsiaTheme="minorEastAsia" w:cs="Times New Roman"/>
          <w:b/>
          <w:bCs/>
          <w:lang w:val="cs-CZ"/>
        </w:rPr>
        <w:tab/>
        <w:t>Vysoké emise GHG a NH3 ze zemědělství</w:t>
      </w:r>
    </w:p>
    <w:p w14:paraId="434397F3" w14:textId="0AE153C3" w:rsidR="003E0F58" w:rsidRPr="007C705C" w:rsidRDefault="008A1AE3" w:rsidP="008A1AE3">
      <w:pPr>
        <w:pStyle w:val="UZEIOdrky"/>
        <w:rPr>
          <w:rFonts w:eastAsiaTheme="minorEastAsia"/>
        </w:rPr>
      </w:pPr>
      <w:r>
        <w:rPr>
          <w:rFonts w:eastAsiaTheme="minorEastAsia"/>
        </w:rPr>
        <w:t xml:space="preserve">O1: </w:t>
      </w:r>
      <w:r w:rsidR="003E0F58" w:rsidRPr="007C705C">
        <w:rPr>
          <w:rFonts w:eastAsiaTheme="minorEastAsia"/>
        </w:rPr>
        <w:t>Při výrazném nárůstu moderních technologií uplatnění pracovníků s vyšší kvalifikací – stabilizace obyvatelstva na venkově</w:t>
      </w:r>
    </w:p>
    <w:p w14:paraId="132923C4" w14:textId="270B88C5" w:rsidR="003E0F58" w:rsidRPr="007C705C" w:rsidRDefault="008A1AE3" w:rsidP="008A1AE3">
      <w:pPr>
        <w:pStyle w:val="UZEIOdrky"/>
        <w:rPr>
          <w:rFonts w:eastAsiaTheme="minorEastAsia"/>
        </w:rPr>
      </w:pPr>
      <w:r>
        <w:rPr>
          <w:rFonts w:eastAsiaTheme="minorEastAsia"/>
        </w:rPr>
        <w:t xml:space="preserve">O2: </w:t>
      </w:r>
      <w:r w:rsidR="003E0F58" w:rsidRPr="007C705C">
        <w:rPr>
          <w:rFonts w:eastAsiaTheme="minorEastAsia"/>
        </w:rPr>
        <w:t>Příležitost ekonomického růstu pro firmy dodávající technologie pro živočišnou a rostlinnou výrobu a možnost uplatnění firem, které budou provádět aplikaci hnojiv formou služeb s využitím prostředků pro precizní zemědělství a nízkoemisní aplikace statkových hnojiv (např. hadicové aplikátory).</w:t>
      </w:r>
    </w:p>
    <w:p w14:paraId="2C4DCB8E" w14:textId="7EB8E2F7" w:rsidR="003E0F58" w:rsidRPr="007C705C" w:rsidRDefault="008A1AE3" w:rsidP="008A1AE3">
      <w:pPr>
        <w:pStyle w:val="UZEIOdrky"/>
        <w:rPr>
          <w:rFonts w:eastAsiaTheme="minorEastAsia"/>
        </w:rPr>
      </w:pPr>
      <w:r>
        <w:rPr>
          <w:rFonts w:eastAsiaTheme="minorEastAsia"/>
        </w:rPr>
        <w:t xml:space="preserve">O3:  </w:t>
      </w:r>
      <w:r w:rsidR="003E0F58" w:rsidRPr="007C705C">
        <w:rPr>
          <w:rFonts w:eastAsiaTheme="minorEastAsia"/>
        </w:rPr>
        <w:t>Se zvyšující se teplotou možnost pěstovat teplotně náročnější druhy (ovoce, zeleninu) v regionech s dosud suboptimálními podmínkami – některé mohou snižovat riziko nebezpečného povrchového odtoku a erozní riziko (vinice, sady)</w:t>
      </w:r>
    </w:p>
    <w:p w14:paraId="3F86C6A6" w14:textId="001706C9" w:rsidR="003E0F58" w:rsidRPr="007C705C" w:rsidRDefault="008A1AE3" w:rsidP="008A1AE3">
      <w:pPr>
        <w:pStyle w:val="UZEIOdrky"/>
        <w:rPr>
          <w:rFonts w:eastAsiaTheme="minorEastAsia"/>
        </w:rPr>
      </w:pPr>
      <w:r>
        <w:rPr>
          <w:rFonts w:eastAsiaTheme="minorEastAsia"/>
        </w:rPr>
        <w:t xml:space="preserve">O4:  </w:t>
      </w:r>
      <w:r w:rsidR="003E0F58" w:rsidRPr="007C705C">
        <w:rPr>
          <w:rFonts w:eastAsiaTheme="minorEastAsia"/>
        </w:rPr>
        <w:t>Poptávka po zlepšení vodního režimu a stavu krajiny</w:t>
      </w:r>
    </w:p>
    <w:p w14:paraId="307FB3C2" w14:textId="1822C23D" w:rsidR="003E0F58" w:rsidRPr="007C705C" w:rsidRDefault="008A1AE3" w:rsidP="008A1AE3">
      <w:pPr>
        <w:pStyle w:val="UZEIOdrky"/>
        <w:rPr>
          <w:rFonts w:eastAsiaTheme="minorEastAsia"/>
        </w:rPr>
      </w:pPr>
      <w:r>
        <w:rPr>
          <w:rFonts w:eastAsiaTheme="minorEastAsia"/>
        </w:rPr>
        <w:t xml:space="preserve">O5: </w:t>
      </w:r>
      <w:r w:rsidR="003E0F58" w:rsidRPr="007C705C">
        <w:rPr>
          <w:rFonts w:eastAsiaTheme="minorEastAsia"/>
        </w:rPr>
        <w:t>Dlouhodobá zkušenost a kladné přijímání opatření adaptačních opatření veřejností</w:t>
      </w:r>
    </w:p>
    <w:p w14:paraId="2E1FF112" w14:textId="77777777" w:rsidR="003E0F58" w:rsidRPr="007C705C" w:rsidRDefault="003E0F58" w:rsidP="003E0F58">
      <w:pPr>
        <w:contextualSpacing/>
        <w:rPr>
          <w:rFonts w:eastAsiaTheme="minorEastAsia" w:cs="Times New Roman"/>
          <w:b/>
          <w:bCs/>
          <w:lang w:val="cs-CZ"/>
        </w:rPr>
      </w:pPr>
      <w:r w:rsidRPr="007C705C">
        <w:rPr>
          <w:rFonts w:eastAsiaTheme="minorEastAsia" w:cs="Times New Roman"/>
          <w:b/>
          <w:bCs/>
          <w:lang w:val="cs-CZ"/>
        </w:rPr>
        <w:t>iii.</w:t>
      </w:r>
      <w:r w:rsidRPr="007C705C">
        <w:rPr>
          <w:rFonts w:eastAsiaTheme="minorEastAsia" w:cs="Times New Roman"/>
          <w:b/>
          <w:bCs/>
          <w:lang w:val="cs-CZ"/>
        </w:rPr>
        <w:tab/>
        <w:t>Nízký obsah organického uhlíku v půdě</w:t>
      </w:r>
    </w:p>
    <w:p w14:paraId="1A6FFFFB" w14:textId="7B569DF6" w:rsidR="003E0F58" w:rsidRPr="007C705C" w:rsidRDefault="008A1AE3" w:rsidP="008A1AE3">
      <w:pPr>
        <w:pStyle w:val="UZEIOdrky"/>
        <w:rPr>
          <w:rFonts w:eastAsiaTheme="minorEastAsia"/>
        </w:rPr>
      </w:pPr>
      <w:r>
        <w:rPr>
          <w:rFonts w:eastAsiaTheme="minorEastAsia"/>
        </w:rPr>
        <w:t xml:space="preserve">O1:  </w:t>
      </w:r>
      <w:r w:rsidR="003E0F58" w:rsidRPr="007C705C">
        <w:rPr>
          <w:rFonts w:eastAsiaTheme="minorEastAsia"/>
        </w:rPr>
        <w:t>Další snížování podílu zornění půdy povede k snížení emisí GHG ze zemědělství</w:t>
      </w:r>
    </w:p>
    <w:p w14:paraId="55BBFBC0" w14:textId="77777777" w:rsidR="003E0F58" w:rsidRPr="007C705C" w:rsidRDefault="003E0F58" w:rsidP="003E0F58">
      <w:pPr>
        <w:contextualSpacing/>
        <w:rPr>
          <w:rFonts w:eastAsiaTheme="minorEastAsia" w:cs="Times New Roman"/>
          <w:b/>
          <w:bCs/>
          <w:lang w:val="cs-CZ"/>
        </w:rPr>
      </w:pPr>
      <w:r w:rsidRPr="007C705C">
        <w:rPr>
          <w:rFonts w:eastAsiaTheme="minorEastAsia" w:cs="Times New Roman"/>
          <w:b/>
          <w:bCs/>
          <w:lang w:val="cs-CZ"/>
        </w:rPr>
        <w:t>iv.</w:t>
      </w:r>
      <w:r w:rsidRPr="007C705C">
        <w:rPr>
          <w:rFonts w:eastAsiaTheme="minorEastAsia" w:cs="Times New Roman"/>
          <w:b/>
          <w:bCs/>
          <w:lang w:val="cs-CZ"/>
        </w:rPr>
        <w:tab/>
        <w:t>Nevyužitý potenciál a neefektivní výroba energií z OZE v zemědělství a lesnictví</w:t>
      </w:r>
    </w:p>
    <w:p w14:paraId="27B5DE1A" w14:textId="46C73BB1" w:rsidR="003E0F58" w:rsidRPr="007C705C" w:rsidRDefault="008A1AE3" w:rsidP="008A1AE3">
      <w:pPr>
        <w:pStyle w:val="UZEIOdrky"/>
        <w:rPr>
          <w:rFonts w:eastAsiaTheme="minorEastAsia"/>
        </w:rPr>
      </w:pPr>
      <w:r>
        <w:rPr>
          <w:rFonts w:eastAsiaTheme="minorEastAsia"/>
        </w:rPr>
        <w:t xml:space="preserve">O1: </w:t>
      </w:r>
      <w:r w:rsidR="003E0F58" w:rsidRPr="007C705C">
        <w:rPr>
          <w:rFonts w:eastAsiaTheme="minorEastAsia"/>
        </w:rPr>
        <w:t>„Utopené“ náklady na vybudované kapacity a infrastrukturu pro využití neobnovitelné energie</w:t>
      </w:r>
    </w:p>
    <w:p w14:paraId="07164DC3" w14:textId="64AB2752" w:rsidR="003E0F58" w:rsidRPr="007C705C" w:rsidRDefault="008A1AE3" w:rsidP="008A1AE3">
      <w:pPr>
        <w:pStyle w:val="UZEIOdrky"/>
        <w:rPr>
          <w:rFonts w:eastAsiaTheme="minorEastAsia"/>
        </w:rPr>
      </w:pPr>
      <w:r>
        <w:rPr>
          <w:rFonts w:eastAsiaTheme="minorEastAsia"/>
        </w:rPr>
        <w:t xml:space="preserve">O2: </w:t>
      </w:r>
      <w:r w:rsidR="003E0F58" w:rsidRPr="007C705C">
        <w:rPr>
          <w:rFonts w:eastAsiaTheme="minorEastAsia"/>
        </w:rPr>
        <w:t>Nové technologie pro využití OZE s vyšší účinností získání energie</w:t>
      </w:r>
    </w:p>
    <w:p w14:paraId="7DB1DBCC" w14:textId="5AC0A448" w:rsidR="003E0F58" w:rsidRPr="007C705C" w:rsidRDefault="008A1AE3" w:rsidP="008A1AE3">
      <w:pPr>
        <w:pStyle w:val="UZEIOdrky"/>
        <w:rPr>
          <w:rFonts w:eastAsiaTheme="minorEastAsia"/>
        </w:rPr>
      </w:pPr>
      <w:r>
        <w:rPr>
          <w:rFonts w:eastAsiaTheme="minorEastAsia"/>
        </w:rPr>
        <w:t xml:space="preserve">O3: </w:t>
      </w:r>
      <w:r w:rsidR="003E0F58" w:rsidRPr="007C705C">
        <w:rPr>
          <w:rFonts w:eastAsiaTheme="minorEastAsia"/>
        </w:rPr>
        <w:t>Navýšení cílů na využívání biomasy v energetickém mixu</w:t>
      </w:r>
    </w:p>
    <w:p w14:paraId="2B4A1686" w14:textId="62FB079E" w:rsidR="003E0F58" w:rsidRPr="007C705C" w:rsidRDefault="008A1AE3" w:rsidP="008A1AE3">
      <w:pPr>
        <w:pStyle w:val="UZEIOdrky"/>
        <w:rPr>
          <w:rFonts w:eastAsiaTheme="minorEastAsia"/>
        </w:rPr>
      </w:pPr>
      <w:r>
        <w:rPr>
          <w:rFonts w:eastAsiaTheme="minorEastAsia"/>
        </w:rPr>
        <w:t xml:space="preserve">O4: </w:t>
      </w:r>
      <w:r w:rsidR="003E0F58" w:rsidRPr="007C705C">
        <w:rPr>
          <w:rFonts w:eastAsiaTheme="minorEastAsia"/>
        </w:rPr>
        <w:t xml:space="preserve">Zavedení kritérií udržitelnosti pro pevnou biomasu a bioplyn ve větších výrobnách na základě požadavků aktualizované směrnice o obnovitelných zdrojích (RED II) </w:t>
      </w:r>
    </w:p>
    <w:p w14:paraId="544EDE6E" w14:textId="4A79C47D" w:rsidR="003E0F58" w:rsidRPr="007C705C" w:rsidRDefault="008A1AE3" w:rsidP="008A1AE3">
      <w:pPr>
        <w:pStyle w:val="UZEIOdrky"/>
        <w:rPr>
          <w:rFonts w:eastAsiaTheme="minorEastAsia"/>
        </w:rPr>
      </w:pPr>
      <w:r>
        <w:rPr>
          <w:rFonts w:eastAsiaTheme="minorEastAsia"/>
        </w:rPr>
        <w:t xml:space="preserve">O5: </w:t>
      </w:r>
      <w:r w:rsidR="003E0F58" w:rsidRPr="007C705C">
        <w:rPr>
          <w:rFonts w:eastAsiaTheme="minorEastAsia"/>
        </w:rPr>
        <w:t xml:space="preserve">Nadprodukce obilovin a vysoký export s nízkou přidanou hodnotou představuje potenciální volné plochy pro produkci biomasy s nízkým erozním rizikem </w:t>
      </w:r>
    </w:p>
    <w:p w14:paraId="70B8144D" w14:textId="197FC62F" w:rsidR="003E0F58" w:rsidRPr="007C705C" w:rsidRDefault="008A1AE3" w:rsidP="008A1AE3">
      <w:pPr>
        <w:pStyle w:val="UZEIOdrky"/>
        <w:rPr>
          <w:rFonts w:eastAsiaTheme="minorEastAsia"/>
        </w:rPr>
      </w:pPr>
      <w:r>
        <w:rPr>
          <w:rFonts w:eastAsiaTheme="minorEastAsia"/>
        </w:rPr>
        <w:t xml:space="preserve">O6: </w:t>
      </w:r>
      <w:r w:rsidR="003E0F58" w:rsidRPr="007C705C">
        <w:rPr>
          <w:rFonts w:eastAsiaTheme="minorEastAsia"/>
        </w:rPr>
        <w:t>Rostoucí ceny konvenčních zdrojů energie, rychlý úbytek jejich zdrojů</w:t>
      </w:r>
    </w:p>
    <w:p w14:paraId="60EFAEDA" w14:textId="20B7434A" w:rsidR="003E0F58" w:rsidRPr="007C705C" w:rsidRDefault="008A1AE3" w:rsidP="008A1AE3">
      <w:pPr>
        <w:pStyle w:val="UZEIOdrky"/>
        <w:rPr>
          <w:rFonts w:eastAsiaTheme="minorEastAsia"/>
        </w:rPr>
      </w:pPr>
      <w:r>
        <w:rPr>
          <w:rFonts w:eastAsiaTheme="minorEastAsia"/>
        </w:rPr>
        <w:t xml:space="preserve">O7:  </w:t>
      </w:r>
      <w:r w:rsidR="003E0F58" w:rsidRPr="007C705C">
        <w:rPr>
          <w:rFonts w:eastAsiaTheme="minorEastAsia"/>
        </w:rPr>
        <w:t>Rozvoj inteligentních sítí pro zapojení většího počtu decentralizovaných výrobců a snížení transakčních nákladů na připojení</w:t>
      </w:r>
    </w:p>
    <w:p w14:paraId="22F1A0C8" w14:textId="7598BBFB" w:rsidR="003E0F58" w:rsidRPr="008A1AE3" w:rsidRDefault="008A1AE3" w:rsidP="008A1AE3">
      <w:pPr>
        <w:pStyle w:val="UZEIOdrky"/>
        <w:rPr>
          <w:rFonts w:eastAsiaTheme="minorEastAsia"/>
        </w:rPr>
      </w:pPr>
      <w:r>
        <w:rPr>
          <w:rFonts w:eastAsiaTheme="minorEastAsia"/>
        </w:rPr>
        <w:t xml:space="preserve">O8: </w:t>
      </w:r>
      <w:r w:rsidR="003E0F58" w:rsidRPr="007C705C">
        <w:rPr>
          <w:rFonts w:eastAsiaTheme="minorEastAsia"/>
        </w:rPr>
        <w:t>Rozvinutý trh s technologiemi ke zpracování a energetickému využívání biomasy</w:t>
      </w:r>
    </w:p>
    <w:p w14:paraId="16047925" w14:textId="77CD67A6" w:rsidR="003E0F58" w:rsidRPr="008A1AE3" w:rsidRDefault="008A1AE3" w:rsidP="008A1AE3">
      <w:pPr>
        <w:pStyle w:val="UZEIOdrky"/>
        <w:rPr>
          <w:rFonts w:eastAsiaTheme="minorEastAsia"/>
        </w:rPr>
      </w:pPr>
      <w:r>
        <w:rPr>
          <w:rFonts w:eastAsiaTheme="minorEastAsia"/>
        </w:rPr>
        <w:t xml:space="preserve">O9: </w:t>
      </w:r>
      <w:r w:rsidR="003E0F58" w:rsidRPr="007C705C">
        <w:rPr>
          <w:rFonts w:eastAsiaTheme="minorEastAsia"/>
        </w:rPr>
        <w:t>Rostoucí zájem o obnovitelné zdroje energie, včetně biomasy a bioplynu</w:t>
      </w:r>
    </w:p>
    <w:p w14:paraId="05386066" w14:textId="2DFD15E7" w:rsidR="003E0F58" w:rsidRPr="008A1AE3" w:rsidRDefault="008A1AE3" w:rsidP="008A1AE3">
      <w:pPr>
        <w:pStyle w:val="UZEIOdrky"/>
        <w:rPr>
          <w:rFonts w:eastAsiaTheme="minorEastAsia"/>
        </w:rPr>
      </w:pPr>
      <w:r>
        <w:rPr>
          <w:rFonts w:eastAsiaTheme="minorEastAsia"/>
        </w:rPr>
        <w:t xml:space="preserve">O10: </w:t>
      </w:r>
      <w:r w:rsidR="003E0F58" w:rsidRPr="007C705C">
        <w:rPr>
          <w:rFonts w:eastAsiaTheme="minorEastAsia"/>
        </w:rPr>
        <w:t>Diverzifikace zemědělské výroby</w:t>
      </w:r>
    </w:p>
    <w:p w14:paraId="5ED6DC27" w14:textId="77777777" w:rsidR="003E0F58" w:rsidRPr="008A1AE3" w:rsidRDefault="003E0F58" w:rsidP="008A1AE3">
      <w:pPr>
        <w:pStyle w:val="UZEINormaln"/>
        <w:rPr>
          <w:rFonts w:eastAsiaTheme="minorEastAsia"/>
          <w:b/>
          <w:bCs/>
        </w:rPr>
      </w:pPr>
      <w:r w:rsidRPr="008A1AE3">
        <w:rPr>
          <w:rFonts w:eastAsiaTheme="minorEastAsia"/>
          <w:b/>
          <w:bCs/>
        </w:rPr>
        <w:t>Hrozby:</w:t>
      </w:r>
    </w:p>
    <w:p w14:paraId="73C8BFB9" w14:textId="77777777" w:rsidR="003E0F58" w:rsidRPr="007C705C" w:rsidRDefault="003E0F58" w:rsidP="003E0F58">
      <w:pPr>
        <w:rPr>
          <w:rFonts w:eastAsiaTheme="minorEastAsia" w:cs="Times New Roman"/>
          <w:b/>
          <w:bCs/>
          <w:lang w:val="cs-CZ"/>
        </w:rPr>
      </w:pPr>
      <w:r w:rsidRPr="007C705C">
        <w:rPr>
          <w:rFonts w:eastAsiaTheme="minorEastAsia" w:cs="Times New Roman"/>
          <w:b/>
          <w:bCs/>
          <w:lang w:val="cs-CZ"/>
        </w:rPr>
        <w:t>i.</w:t>
      </w:r>
      <w:r w:rsidRPr="007C705C">
        <w:rPr>
          <w:rFonts w:eastAsiaTheme="minorEastAsia" w:cs="Times New Roman"/>
          <w:b/>
          <w:bCs/>
          <w:lang w:val="cs-CZ"/>
        </w:rPr>
        <w:tab/>
        <w:t>Nízká odolnost zemědělských podniků vůči klimatickým změnám</w:t>
      </w:r>
    </w:p>
    <w:p w14:paraId="77700A33" w14:textId="7079C285" w:rsidR="003E0F58" w:rsidRPr="007C705C" w:rsidRDefault="008A1AE3" w:rsidP="008A1AE3">
      <w:pPr>
        <w:pStyle w:val="UZEIOdrky"/>
        <w:rPr>
          <w:rFonts w:eastAsiaTheme="minorEastAsia"/>
        </w:rPr>
      </w:pPr>
      <w:r>
        <w:rPr>
          <w:rFonts w:eastAsiaTheme="minorEastAsia"/>
        </w:rPr>
        <w:t xml:space="preserve">T1: </w:t>
      </w:r>
      <w:r w:rsidR="003E0F58" w:rsidRPr="007C705C">
        <w:rPr>
          <w:rFonts w:eastAsiaTheme="minorEastAsia"/>
        </w:rPr>
        <w:t>Absence podpory plánů Smart Cities (návrhy funkčního využití krajiny, maximální využití místních materiálových zdrojů apod.)</w:t>
      </w:r>
    </w:p>
    <w:p w14:paraId="2044393F" w14:textId="557A470E" w:rsidR="003E0F58" w:rsidRPr="007C705C" w:rsidRDefault="008A1AE3" w:rsidP="008A1AE3">
      <w:pPr>
        <w:pStyle w:val="UZEIOdrky"/>
        <w:rPr>
          <w:rFonts w:eastAsiaTheme="minorEastAsia"/>
        </w:rPr>
      </w:pPr>
      <w:r>
        <w:rPr>
          <w:rFonts w:eastAsiaTheme="minorEastAsia"/>
        </w:rPr>
        <w:t xml:space="preserve">T2: </w:t>
      </w:r>
      <w:r w:rsidR="003E0F58" w:rsidRPr="007C705C">
        <w:rPr>
          <w:rFonts w:eastAsiaTheme="minorEastAsia"/>
        </w:rPr>
        <w:t>Prodej státní (i obecní) půdy vhodné pro realizaci zelené infrastruktury, tlaky na jiné využití ploch (urbanizace)</w:t>
      </w:r>
    </w:p>
    <w:p w14:paraId="7454DCF5" w14:textId="10F1CDEF" w:rsidR="003E0F58" w:rsidRPr="007C705C" w:rsidRDefault="008A1AE3" w:rsidP="008A1AE3">
      <w:pPr>
        <w:pStyle w:val="UZEIOdrky"/>
        <w:rPr>
          <w:rFonts w:eastAsiaTheme="minorEastAsia"/>
        </w:rPr>
      </w:pPr>
      <w:r>
        <w:rPr>
          <w:rFonts w:eastAsiaTheme="minorEastAsia"/>
        </w:rPr>
        <w:t xml:space="preserve">T3: </w:t>
      </w:r>
      <w:r w:rsidR="003E0F58" w:rsidRPr="007C705C">
        <w:rPr>
          <w:rFonts w:eastAsiaTheme="minorEastAsia"/>
        </w:rPr>
        <w:t>Nedostatečné financování socioekonomického výzkumu</w:t>
      </w:r>
    </w:p>
    <w:p w14:paraId="76AD903F" w14:textId="49852814" w:rsidR="003E0F58" w:rsidRPr="007C705C" w:rsidRDefault="008A1AE3" w:rsidP="008A1AE3">
      <w:pPr>
        <w:pStyle w:val="UZEIOdrky"/>
        <w:rPr>
          <w:rFonts w:eastAsiaTheme="minorEastAsia"/>
        </w:rPr>
      </w:pPr>
      <w:r>
        <w:rPr>
          <w:rFonts w:eastAsiaTheme="minorEastAsia"/>
        </w:rPr>
        <w:lastRenderedPageBreak/>
        <w:t xml:space="preserve">T4: </w:t>
      </w:r>
      <w:r w:rsidR="003E0F58" w:rsidRPr="007C705C">
        <w:rPr>
          <w:rFonts w:eastAsiaTheme="minorEastAsia"/>
        </w:rPr>
        <w:t>Odchod zejména mladých, kvalifikovaných a technicky vzdělaných pracovníků z venkova do měst (vyšší výdělky, standardní pracovní doba)</w:t>
      </w:r>
    </w:p>
    <w:p w14:paraId="7B83BACB" w14:textId="578E3DEE" w:rsidR="003E0F58" w:rsidRPr="007C705C" w:rsidRDefault="008A1AE3" w:rsidP="008A1AE3">
      <w:pPr>
        <w:pStyle w:val="UZEIOdrky"/>
        <w:rPr>
          <w:rFonts w:eastAsiaTheme="minorEastAsia"/>
        </w:rPr>
      </w:pPr>
      <w:r>
        <w:rPr>
          <w:rFonts w:eastAsiaTheme="minorEastAsia"/>
        </w:rPr>
        <w:t xml:space="preserve">T5: </w:t>
      </w:r>
      <w:r w:rsidR="003E0F58" w:rsidRPr="007C705C">
        <w:rPr>
          <w:rFonts w:eastAsiaTheme="minorEastAsia"/>
        </w:rPr>
        <w:t>Nízké povědomí o regionálních dopadech změn klimatu a možnostech, jak se jim přizpůsobit</w:t>
      </w:r>
    </w:p>
    <w:p w14:paraId="07A1EBF8" w14:textId="68C5E022" w:rsidR="003E0F58" w:rsidRPr="007C705C" w:rsidRDefault="008A1AE3" w:rsidP="008A1AE3">
      <w:pPr>
        <w:pStyle w:val="UZEIOdrky"/>
        <w:rPr>
          <w:rFonts w:eastAsiaTheme="minorEastAsia"/>
        </w:rPr>
      </w:pPr>
      <w:r>
        <w:rPr>
          <w:rFonts w:eastAsiaTheme="minorEastAsia"/>
        </w:rPr>
        <w:t xml:space="preserve">T6: </w:t>
      </w:r>
      <w:r w:rsidR="003E0F58" w:rsidRPr="007C705C">
        <w:rPr>
          <w:rFonts w:eastAsiaTheme="minorEastAsia"/>
        </w:rPr>
        <w:t>Vlastnické vztahy</w:t>
      </w:r>
    </w:p>
    <w:p w14:paraId="69E6440F" w14:textId="63EEC573" w:rsidR="003E0F58" w:rsidRPr="007C705C" w:rsidRDefault="008A1AE3" w:rsidP="008A1AE3">
      <w:pPr>
        <w:pStyle w:val="UZEIOdrky"/>
        <w:rPr>
          <w:rFonts w:eastAsiaTheme="minorEastAsia"/>
        </w:rPr>
      </w:pPr>
      <w:r>
        <w:rPr>
          <w:rFonts w:eastAsiaTheme="minorEastAsia"/>
        </w:rPr>
        <w:t xml:space="preserve">T7: </w:t>
      </w:r>
      <w:r w:rsidR="003E0F58" w:rsidRPr="007C705C">
        <w:rPr>
          <w:rFonts w:eastAsiaTheme="minorEastAsia"/>
        </w:rPr>
        <w:t>Růst poptávky po potravinách v Evropě/ČR, a tím vysoká konkurence na půdě</w:t>
      </w:r>
    </w:p>
    <w:p w14:paraId="41CDF1C7" w14:textId="3F2D01D0" w:rsidR="003E0F58" w:rsidRPr="007C705C" w:rsidRDefault="008A1AE3" w:rsidP="008A1AE3">
      <w:pPr>
        <w:pStyle w:val="UZEIOdrky"/>
        <w:rPr>
          <w:rFonts w:eastAsiaTheme="minorEastAsia"/>
        </w:rPr>
      </w:pPr>
      <w:r>
        <w:rPr>
          <w:rFonts w:eastAsiaTheme="minorEastAsia"/>
        </w:rPr>
        <w:t xml:space="preserve">T8: </w:t>
      </w:r>
      <w:r w:rsidR="003E0F58" w:rsidRPr="007C705C">
        <w:rPr>
          <w:rFonts w:eastAsiaTheme="minorEastAsia"/>
        </w:rPr>
        <w:t>Období sucha a vysokých teplot mohou zásadně snížit využitelnost dusíku plodinami</w:t>
      </w:r>
    </w:p>
    <w:p w14:paraId="14C14293" w14:textId="67CFC461" w:rsidR="003E0F58" w:rsidRPr="007C705C" w:rsidRDefault="008A1AE3" w:rsidP="008A1AE3">
      <w:pPr>
        <w:pStyle w:val="UZEIOdrky"/>
        <w:rPr>
          <w:rFonts w:eastAsiaTheme="minorEastAsia"/>
        </w:rPr>
      </w:pPr>
      <w:r>
        <w:rPr>
          <w:rFonts w:eastAsiaTheme="minorEastAsia"/>
        </w:rPr>
        <w:t xml:space="preserve">T9: </w:t>
      </w:r>
      <w:r w:rsidR="003E0F58" w:rsidRPr="007C705C">
        <w:rPr>
          <w:rFonts w:eastAsiaTheme="minorEastAsia"/>
        </w:rPr>
        <w:t>Narůstající stres vysokými teplotami RV i ŽV</w:t>
      </w:r>
    </w:p>
    <w:p w14:paraId="5523CEBA" w14:textId="369204C6" w:rsidR="003E0F58" w:rsidRPr="007C705C" w:rsidRDefault="008A1AE3" w:rsidP="008A1AE3">
      <w:pPr>
        <w:pStyle w:val="UZEIOdrky"/>
        <w:rPr>
          <w:rFonts w:eastAsiaTheme="minorEastAsia"/>
        </w:rPr>
      </w:pPr>
      <w:r>
        <w:rPr>
          <w:rFonts w:eastAsiaTheme="minorEastAsia"/>
        </w:rPr>
        <w:t xml:space="preserve">T10: </w:t>
      </w:r>
      <w:r w:rsidR="003E0F58" w:rsidRPr="007C705C">
        <w:rPr>
          <w:rFonts w:eastAsiaTheme="minorEastAsia"/>
        </w:rPr>
        <w:t>Výkyvy počasí (extrémní lokální srážky, sucho), klimatické změny</w:t>
      </w:r>
    </w:p>
    <w:p w14:paraId="59BEA0CB" w14:textId="2916D9A2" w:rsidR="003E0F58" w:rsidRPr="007C705C" w:rsidRDefault="008A1AE3" w:rsidP="008A1AE3">
      <w:pPr>
        <w:pStyle w:val="UZEIOdrky"/>
        <w:rPr>
          <w:rFonts w:eastAsiaTheme="minorEastAsia"/>
        </w:rPr>
      </w:pPr>
      <w:r>
        <w:rPr>
          <w:rFonts w:eastAsiaTheme="minorEastAsia"/>
        </w:rPr>
        <w:t xml:space="preserve">T11: </w:t>
      </w:r>
      <w:r w:rsidR="003E0F58" w:rsidRPr="007C705C">
        <w:rPr>
          <w:rFonts w:eastAsiaTheme="minorEastAsia"/>
        </w:rPr>
        <w:t>Ztráta půdy pro jiné účely (zastavění ploch)</w:t>
      </w:r>
    </w:p>
    <w:p w14:paraId="012B62D1" w14:textId="5A6E6BB5" w:rsidR="003E0F58" w:rsidRPr="007C705C" w:rsidRDefault="008A1AE3" w:rsidP="008A1AE3">
      <w:pPr>
        <w:pStyle w:val="UZEIOdrky"/>
        <w:rPr>
          <w:rFonts w:eastAsiaTheme="minorEastAsia"/>
        </w:rPr>
      </w:pPr>
      <w:r>
        <w:rPr>
          <w:rFonts w:eastAsiaTheme="minorEastAsia"/>
        </w:rPr>
        <w:t xml:space="preserve">T12: </w:t>
      </w:r>
      <w:r w:rsidR="003E0F58" w:rsidRPr="007C705C">
        <w:rPr>
          <w:rFonts w:eastAsiaTheme="minorEastAsia"/>
        </w:rPr>
        <w:t>Posun lesních vegetačních stupňů vlivem klimatické změny</w:t>
      </w:r>
    </w:p>
    <w:p w14:paraId="787AA1F2" w14:textId="066CDD5D" w:rsidR="003E0F58" w:rsidRPr="007C705C" w:rsidRDefault="008A1AE3" w:rsidP="008A1AE3">
      <w:pPr>
        <w:pStyle w:val="UZEIOdrky"/>
        <w:rPr>
          <w:rFonts w:eastAsiaTheme="minorEastAsia"/>
        </w:rPr>
      </w:pPr>
      <w:r>
        <w:rPr>
          <w:rFonts w:eastAsiaTheme="minorEastAsia"/>
        </w:rPr>
        <w:t xml:space="preserve">T13: </w:t>
      </w:r>
      <w:r w:rsidR="003E0F58" w:rsidRPr="007C705C">
        <w:rPr>
          <w:rFonts w:eastAsiaTheme="minorEastAsia"/>
        </w:rPr>
        <w:t xml:space="preserve">Nutná obměna pěstovaných kultur </w:t>
      </w:r>
    </w:p>
    <w:p w14:paraId="13A3BFB2" w14:textId="19B78878" w:rsidR="003E0F58" w:rsidRPr="007C705C" w:rsidRDefault="008A1AE3" w:rsidP="008A1AE3">
      <w:pPr>
        <w:pStyle w:val="UZEIOdrky"/>
        <w:rPr>
          <w:rFonts w:eastAsiaTheme="minorEastAsia"/>
        </w:rPr>
      </w:pPr>
      <w:r>
        <w:rPr>
          <w:rFonts w:eastAsiaTheme="minorEastAsia"/>
        </w:rPr>
        <w:t xml:space="preserve">T14: </w:t>
      </w:r>
      <w:r w:rsidR="003E0F58" w:rsidRPr="007C705C">
        <w:rPr>
          <w:rFonts w:eastAsiaTheme="minorEastAsia"/>
        </w:rPr>
        <w:t>Šíření invazních druhů (živočichů a rostlin)</w:t>
      </w:r>
    </w:p>
    <w:p w14:paraId="0BFDDB92" w14:textId="71AF6CBD" w:rsidR="003E0F58" w:rsidRPr="007C705C" w:rsidRDefault="008A1AE3" w:rsidP="008A1AE3">
      <w:pPr>
        <w:pStyle w:val="UZEIOdrky"/>
        <w:rPr>
          <w:rFonts w:eastAsiaTheme="minorEastAsia"/>
        </w:rPr>
      </w:pPr>
      <w:r>
        <w:rPr>
          <w:rFonts w:eastAsiaTheme="minorEastAsia"/>
        </w:rPr>
        <w:t xml:space="preserve">T15: </w:t>
      </w:r>
      <w:r w:rsidR="003E0F58" w:rsidRPr="007C705C">
        <w:rPr>
          <w:rFonts w:eastAsiaTheme="minorEastAsia"/>
        </w:rPr>
        <w:t>Vysoká variabilita až extremita průběhu počasí (např. přívalové deště – riziko vodní eroze, riziko povrchového odtoku)</w:t>
      </w:r>
    </w:p>
    <w:p w14:paraId="24DD2397" w14:textId="6A940414" w:rsidR="003E0F58" w:rsidRPr="007C705C" w:rsidRDefault="008A1AE3" w:rsidP="008A1AE3">
      <w:pPr>
        <w:pStyle w:val="UZEIOdrky"/>
        <w:rPr>
          <w:rFonts w:eastAsiaTheme="minorEastAsia"/>
        </w:rPr>
      </w:pPr>
      <w:r>
        <w:rPr>
          <w:rFonts w:eastAsiaTheme="minorEastAsia"/>
        </w:rPr>
        <w:t xml:space="preserve">T16: </w:t>
      </w:r>
      <w:r w:rsidR="003E0F58" w:rsidRPr="007C705C">
        <w:rPr>
          <w:rFonts w:eastAsiaTheme="minorEastAsia"/>
        </w:rPr>
        <w:t>Suché počasí v době zakládání porostů</w:t>
      </w:r>
    </w:p>
    <w:p w14:paraId="52AB307F" w14:textId="52892078" w:rsidR="003E0F58" w:rsidRPr="007C705C" w:rsidRDefault="008A1AE3" w:rsidP="008A1AE3">
      <w:pPr>
        <w:pStyle w:val="UZEIOdrky"/>
        <w:rPr>
          <w:rFonts w:eastAsiaTheme="minorEastAsia"/>
        </w:rPr>
      </w:pPr>
      <w:r>
        <w:rPr>
          <w:rFonts w:eastAsiaTheme="minorEastAsia"/>
        </w:rPr>
        <w:t xml:space="preserve">T17: </w:t>
      </w:r>
      <w:r w:rsidR="003E0F58" w:rsidRPr="007C705C">
        <w:rPr>
          <w:rFonts w:eastAsiaTheme="minorEastAsia"/>
        </w:rPr>
        <w:t>Četnější a intenzivnější epizody sucha s dopady na produkci RV, ŽV (krmení), dostupnost vodních zdrojů a krajinu (usychání stromů).</w:t>
      </w:r>
    </w:p>
    <w:p w14:paraId="0C704D69" w14:textId="1E06C9CA" w:rsidR="003E0F58" w:rsidRPr="007C705C" w:rsidRDefault="008A1AE3" w:rsidP="008A1AE3">
      <w:pPr>
        <w:pStyle w:val="UZEIOdrky"/>
        <w:rPr>
          <w:rFonts w:eastAsiaTheme="minorEastAsia"/>
        </w:rPr>
      </w:pPr>
      <w:r>
        <w:rPr>
          <w:rFonts w:eastAsiaTheme="minorEastAsia"/>
        </w:rPr>
        <w:t xml:space="preserve">T18: </w:t>
      </w:r>
      <w:r w:rsidR="003E0F58" w:rsidRPr="007C705C">
        <w:rPr>
          <w:rFonts w:eastAsiaTheme="minorEastAsia"/>
        </w:rPr>
        <w:t>Rizika požárů</w:t>
      </w:r>
    </w:p>
    <w:p w14:paraId="4B565D61" w14:textId="2BB91DBB" w:rsidR="003E0F58" w:rsidRPr="007C705C" w:rsidRDefault="008A1AE3" w:rsidP="008A1AE3">
      <w:pPr>
        <w:pStyle w:val="UZEIOdrky"/>
        <w:rPr>
          <w:rFonts w:eastAsiaTheme="minorEastAsia"/>
        </w:rPr>
      </w:pPr>
      <w:r>
        <w:rPr>
          <w:rFonts w:eastAsiaTheme="minorEastAsia"/>
        </w:rPr>
        <w:t xml:space="preserve">T19: </w:t>
      </w:r>
      <w:r w:rsidR="003E0F58" w:rsidRPr="007C705C">
        <w:rPr>
          <w:rFonts w:eastAsiaTheme="minorEastAsia"/>
        </w:rPr>
        <w:t>Klimatická změna - Nepravidelnost hodnot srážkových úhrnů a teplot, častější výkyvy povětrnostních podmínek – bořivé větry (důsledky klimatické změny)</w:t>
      </w:r>
    </w:p>
    <w:p w14:paraId="4B4940D5" w14:textId="4D63D287" w:rsidR="003E0F58" w:rsidRPr="007C705C" w:rsidRDefault="008A1AE3" w:rsidP="008A1AE3">
      <w:pPr>
        <w:pStyle w:val="UZEIOdrky"/>
        <w:rPr>
          <w:rFonts w:eastAsiaTheme="minorEastAsia"/>
        </w:rPr>
      </w:pPr>
      <w:r>
        <w:rPr>
          <w:rFonts w:eastAsiaTheme="minorEastAsia"/>
        </w:rPr>
        <w:t xml:space="preserve">T20: </w:t>
      </w:r>
      <w:r w:rsidR="003E0F58" w:rsidRPr="007C705C">
        <w:rPr>
          <w:rFonts w:eastAsiaTheme="minorEastAsia"/>
        </w:rPr>
        <w:t>Nevyrovnanost věkových tříd – nárůst holin v důsledku klimatické změny</w:t>
      </w:r>
    </w:p>
    <w:p w14:paraId="5449091D" w14:textId="77777777" w:rsidR="003E0F58" w:rsidRPr="007C705C" w:rsidRDefault="003E0F58" w:rsidP="003E0F58">
      <w:pPr>
        <w:contextualSpacing/>
        <w:rPr>
          <w:rFonts w:eastAsiaTheme="minorEastAsia" w:cs="Times New Roman"/>
          <w:b/>
          <w:bCs/>
          <w:lang w:val="cs-CZ"/>
        </w:rPr>
      </w:pPr>
      <w:r w:rsidRPr="007C705C">
        <w:rPr>
          <w:rFonts w:eastAsiaTheme="minorEastAsia" w:cs="Times New Roman"/>
          <w:b/>
          <w:bCs/>
          <w:lang w:val="cs-CZ"/>
        </w:rPr>
        <w:t>ii.</w:t>
      </w:r>
      <w:r w:rsidRPr="007C705C">
        <w:rPr>
          <w:rFonts w:eastAsiaTheme="minorEastAsia" w:cs="Times New Roman"/>
          <w:b/>
          <w:bCs/>
          <w:lang w:val="cs-CZ"/>
        </w:rPr>
        <w:tab/>
        <w:t>Vysoké emise GHG a NH3 ze zemědělství</w:t>
      </w:r>
    </w:p>
    <w:p w14:paraId="10EF804B" w14:textId="6C022A1F" w:rsidR="003E0F58" w:rsidRPr="007C705C" w:rsidRDefault="008A1AE3" w:rsidP="008A1AE3">
      <w:pPr>
        <w:pStyle w:val="UZEIOdrky"/>
        <w:rPr>
          <w:rFonts w:eastAsiaTheme="minorEastAsia"/>
          <w:b/>
          <w:bCs/>
        </w:rPr>
      </w:pPr>
      <w:r>
        <w:rPr>
          <w:rFonts w:eastAsiaTheme="minorEastAsia"/>
        </w:rPr>
        <w:t xml:space="preserve">T1: </w:t>
      </w:r>
      <w:r w:rsidR="003E0F58" w:rsidRPr="007C705C">
        <w:rPr>
          <w:rFonts w:eastAsiaTheme="minorEastAsia"/>
        </w:rPr>
        <w:t>Nejistota dlouhodobého výhledu výkupních cen produktů zejména v živočišné výrobě a s tím spojená obezřetnost při investování do moderních technologií</w:t>
      </w:r>
    </w:p>
    <w:p w14:paraId="4F198028" w14:textId="2DCC4D2F" w:rsidR="003E0F58" w:rsidRPr="007C705C" w:rsidRDefault="008A1AE3" w:rsidP="008A1AE3">
      <w:pPr>
        <w:pStyle w:val="UZEIOdrky"/>
        <w:rPr>
          <w:rFonts w:eastAsiaTheme="minorEastAsia"/>
          <w:b/>
          <w:bCs/>
        </w:rPr>
      </w:pPr>
      <w:r>
        <w:rPr>
          <w:rFonts w:eastAsiaTheme="minorEastAsia"/>
        </w:rPr>
        <w:t xml:space="preserve">T2: </w:t>
      </w:r>
      <w:r w:rsidR="003E0F58" w:rsidRPr="007C705C">
        <w:rPr>
          <w:rFonts w:eastAsiaTheme="minorEastAsia"/>
        </w:rPr>
        <w:t>Prudké poklesy propadů ukládání CO2 v lesnictví v důsledku kůrovcové kalamity</w:t>
      </w:r>
    </w:p>
    <w:p w14:paraId="2056603D" w14:textId="77777777" w:rsidR="003E0F58" w:rsidRPr="007C705C" w:rsidRDefault="003E0F58" w:rsidP="003E0F58">
      <w:pPr>
        <w:contextualSpacing/>
        <w:rPr>
          <w:rFonts w:eastAsiaTheme="minorEastAsia" w:cs="Times New Roman"/>
          <w:b/>
          <w:bCs/>
          <w:lang w:val="cs-CZ"/>
        </w:rPr>
      </w:pPr>
      <w:r w:rsidRPr="007C705C">
        <w:rPr>
          <w:rFonts w:eastAsiaTheme="minorEastAsia" w:cs="Times New Roman"/>
          <w:b/>
          <w:bCs/>
          <w:lang w:val="cs-CZ"/>
        </w:rPr>
        <w:t>iii.</w:t>
      </w:r>
      <w:r w:rsidRPr="007C705C">
        <w:rPr>
          <w:rFonts w:eastAsiaTheme="minorEastAsia" w:cs="Times New Roman"/>
          <w:b/>
          <w:bCs/>
          <w:lang w:val="cs-CZ"/>
        </w:rPr>
        <w:tab/>
        <w:t>Nízký obsah organického uhlíku v půdě</w:t>
      </w:r>
    </w:p>
    <w:p w14:paraId="2CB6D89B" w14:textId="5208128D" w:rsidR="003E0F58" w:rsidRPr="007C705C" w:rsidRDefault="008A1AE3" w:rsidP="008A1AE3">
      <w:pPr>
        <w:pStyle w:val="UZEIOdrky"/>
        <w:rPr>
          <w:rFonts w:eastAsiaTheme="minorEastAsia"/>
        </w:rPr>
      </w:pPr>
      <w:r>
        <w:rPr>
          <w:rFonts w:eastAsiaTheme="minorEastAsia"/>
        </w:rPr>
        <w:t xml:space="preserve">T1: </w:t>
      </w:r>
      <w:r w:rsidR="003E0F58" w:rsidRPr="007C705C">
        <w:rPr>
          <w:rFonts w:eastAsiaTheme="minorEastAsia"/>
        </w:rPr>
        <w:t>Zvyšování koncentrace oxidu uhličitého v atmosféře</w:t>
      </w:r>
    </w:p>
    <w:p w14:paraId="7DA080FB" w14:textId="526B9836" w:rsidR="003E0F58" w:rsidRPr="007C705C" w:rsidRDefault="008A1AE3" w:rsidP="008A1AE3">
      <w:pPr>
        <w:pStyle w:val="UZEIOdrky"/>
        <w:rPr>
          <w:rFonts w:eastAsiaTheme="minorEastAsia"/>
        </w:rPr>
      </w:pPr>
      <w:r>
        <w:rPr>
          <w:rFonts w:eastAsiaTheme="minorEastAsia"/>
        </w:rPr>
        <w:t xml:space="preserve">T2: </w:t>
      </w:r>
      <w:r w:rsidR="003E0F58" w:rsidRPr="007C705C">
        <w:rPr>
          <w:rFonts w:eastAsiaTheme="minorEastAsia"/>
        </w:rPr>
        <w:t>Zvýšení rizika ostatních degradačních faktorů půdy</w:t>
      </w:r>
    </w:p>
    <w:p w14:paraId="118112C0" w14:textId="7EF4ED43" w:rsidR="003E0F58" w:rsidRPr="007C705C" w:rsidRDefault="008A1AE3" w:rsidP="008A1AE3">
      <w:pPr>
        <w:pStyle w:val="UZEIOdrky"/>
        <w:rPr>
          <w:rFonts w:eastAsiaTheme="minorEastAsia"/>
          <w:b/>
          <w:bCs/>
        </w:rPr>
      </w:pPr>
      <w:r>
        <w:rPr>
          <w:rFonts w:eastAsiaTheme="minorEastAsia"/>
        </w:rPr>
        <w:t xml:space="preserve">T3: </w:t>
      </w:r>
      <w:r w:rsidR="003E0F58" w:rsidRPr="007C705C">
        <w:rPr>
          <w:rFonts w:eastAsiaTheme="minorEastAsia"/>
        </w:rPr>
        <w:t>Snížení výnosů, kvality a ziskovosti výroby, zvýšení nákladů na chemickou ochranu před intenzivnějším výskytem škodlivých organizmů</w:t>
      </w:r>
    </w:p>
    <w:p w14:paraId="033313A3" w14:textId="552C5253" w:rsidR="003E0F58" w:rsidRPr="008A1AE3" w:rsidRDefault="003E0F58" w:rsidP="008A1AE3">
      <w:pPr>
        <w:contextualSpacing/>
        <w:rPr>
          <w:rFonts w:eastAsiaTheme="minorEastAsia" w:cs="Times New Roman"/>
          <w:b/>
          <w:bCs/>
          <w:lang w:val="cs-CZ"/>
        </w:rPr>
      </w:pPr>
      <w:r w:rsidRPr="007C705C">
        <w:rPr>
          <w:rFonts w:eastAsiaTheme="minorEastAsia" w:cs="Times New Roman"/>
          <w:b/>
          <w:bCs/>
          <w:lang w:val="cs-CZ"/>
        </w:rPr>
        <w:t>iv.</w:t>
      </w:r>
      <w:r w:rsidRPr="007C705C">
        <w:rPr>
          <w:rFonts w:eastAsiaTheme="minorEastAsia" w:cs="Times New Roman"/>
          <w:b/>
          <w:bCs/>
          <w:lang w:val="cs-CZ"/>
        </w:rPr>
        <w:tab/>
        <w:t>Nevyužitý potenciál a neefektivní výroba energií z OZE v zemědělství a lesnictví</w:t>
      </w:r>
    </w:p>
    <w:p w14:paraId="5DAA9850" w14:textId="37722571" w:rsidR="003E0F58" w:rsidRPr="008A1AE3" w:rsidRDefault="008A1AE3" w:rsidP="008A1AE3">
      <w:pPr>
        <w:pStyle w:val="UZEIOdrky"/>
        <w:rPr>
          <w:rFonts w:eastAsiaTheme="minorEastAsia"/>
        </w:rPr>
      </w:pPr>
      <w:r>
        <w:rPr>
          <w:rFonts w:eastAsiaTheme="minorEastAsia"/>
        </w:rPr>
        <w:t xml:space="preserve">T1: </w:t>
      </w:r>
      <w:r w:rsidR="003E0F58" w:rsidRPr="007C705C">
        <w:rPr>
          <w:rFonts w:eastAsiaTheme="minorEastAsia"/>
        </w:rPr>
        <w:t>Nízká důvěra spotřebitelů vůči jakémukoli centralizovanému způsobu dodávky tepla</w:t>
      </w:r>
    </w:p>
    <w:p w14:paraId="74A21AE3" w14:textId="754839C0" w:rsidR="003E0F58" w:rsidRPr="007C705C" w:rsidRDefault="008A1AE3" w:rsidP="008A1AE3">
      <w:pPr>
        <w:pStyle w:val="UZEIOdrky"/>
        <w:rPr>
          <w:rFonts w:eastAsiaTheme="minorEastAsia"/>
        </w:rPr>
      </w:pPr>
      <w:r>
        <w:rPr>
          <w:rFonts w:eastAsiaTheme="minorEastAsia"/>
        </w:rPr>
        <w:t xml:space="preserve">T2: </w:t>
      </w:r>
      <w:r w:rsidR="003E0F58" w:rsidRPr="007C705C">
        <w:rPr>
          <w:rFonts w:eastAsiaTheme="minorEastAsia"/>
        </w:rPr>
        <w:t xml:space="preserve">Nedostatečně budovaná energetická přenosová síť </w:t>
      </w:r>
    </w:p>
    <w:p w14:paraId="1B6DF9E7" w14:textId="73731737" w:rsidR="003E0F58" w:rsidRPr="008A1AE3" w:rsidRDefault="008A1AE3" w:rsidP="008A1AE3">
      <w:pPr>
        <w:pStyle w:val="UZEIOdrky"/>
        <w:rPr>
          <w:rFonts w:eastAsiaTheme="minorEastAsia"/>
        </w:rPr>
      </w:pPr>
      <w:r>
        <w:rPr>
          <w:rFonts w:eastAsiaTheme="minorEastAsia"/>
        </w:rPr>
        <w:t xml:space="preserve">T3: </w:t>
      </w:r>
      <w:r w:rsidR="003E0F58" w:rsidRPr="007C705C">
        <w:rPr>
          <w:rFonts w:eastAsiaTheme="minorEastAsia"/>
        </w:rPr>
        <w:t>Prosazování podpory do infrastruktury preferující neobnovitelné zdroje (např. plynofikace obcí)</w:t>
      </w:r>
    </w:p>
    <w:p w14:paraId="5AED48DD" w14:textId="4F556D24" w:rsidR="003E0F58" w:rsidRPr="008A1AE3" w:rsidRDefault="008A1AE3" w:rsidP="008A1AE3">
      <w:pPr>
        <w:pStyle w:val="UZEIOdrky"/>
        <w:rPr>
          <w:rFonts w:eastAsiaTheme="minorEastAsia"/>
        </w:rPr>
      </w:pPr>
      <w:r>
        <w:rPr>
          <w:rFonts w:eastAsiaTheme="minorEastAsia"/>
        </w:rPr>
        <w:t xml:space="preserve">T4: </w:t>
      </w:r>
      <w:r w:rsidR="003E0F58" w:rsidRPr="007C705C">
        <w:rPr>
          <w:rFonts w:eastAsiaTheme="minorEastAsia"/>
        </w:rPr>
        <w:t>Protikladné zájmy rezortů ve vztahu k biomase</w:t>
      </w:r>
    </w:p>
    <w:p w14:paraId="79E41B73" w14:textId="45E6934D" w:rsidR="003E0F58" w:rsidRPr="008A1AE3" w:rsidRDefault="008A1AE3" w:rsidP="008A1AE3">
      <w:pPr>
        <w:pStyle w:val="UZEIOdrky"/>
        <w:rPr>
          <w:rFonts w:eastAsiaTheme="minorEastAsia"/>
        </w:rPr>
      </w:pPr>
      <w:r>
        <w:rPr>
          <w:rFonts w:eastAsiaTheme="minorEastAsia"/>
        </w:rPr>
        <w:t xml:space="preserve">T5: </w:t>
      </w:r>
      <w:r w:rsidR="003E0F58" w:rsidRPr="007C705C">
        <w:rPr>
          <w:rFonts w:eastAsiaTheme="minorEastAsia"/>
        </w:rPr>
        <w:t>Zvýšení nákladů na biomasu pro energetické využití vlivem zavedení kritérií udržitelnosti podle směrnice o obnovitelných zdrojích (RED II)</w:t>
      </w:r>
    </w:p>
    <w:p w14:paraId="03020E37" w14:textId="77777777" w:rsidR="00647056" w:rsidRDefault="00647056" w:rsidP="008A1AE3">
      <w:pPr>
        <w:pStyle w:val="UZEINormaln"/>
        <w:rPr>
          <w:rFonts w:eastAsia="Calibri"/>
          <w:b/>
          <w:bCs/>
          <w:u w:val="single"/>
        </w:rPr>
      </w:pPr>
    </w:p>
    <w:p w14:paraId="3EFDF7A6" w14:textId="2A5110E6" w:rsidR="003E0F58" w:rsidRPr="008A1AE3" w:rsidRDefault="003E0F58" w:rsidP="008A1AE3">
      <w:pPr>
        <w:pStyle w:val="UZEINormaln"/>
        <w:rPr>
          <w:rFonts w:eastAsia="Calibri"/>
          <w:b/>
          <w:bCs/>
          <w:u w:val="single"/>
        </w:rPr>
      </w:pPr>
      <w:r w:rsidRPr="008A1AE3">
        <w:rPr>
          <w:rFonts w:eastAsia="Calibri"/>
          <w:b/>
          <w:bCs/>
          <w:u w:val="single"/>
        </w:rPr>
        <w:lastRenderedPageBreak/>
        <w:t>LESY:</w:t>
      </w:r>
    </w:p>
    <w:p w14:paraId="3012724C" w14:textId="77777777" w:rsidR="003E0F58" w:rsidRPr="008A1AE3" w:rsidRDefault="003E0F58" w:rsidP="008A1AE3">
      <w:pPr>
        <w:pStyle w:val="UZEINormaln"/>
        <w:rPr>
          <w:rFonts w:eastAsiaTheme="minorEastAsia"/>
          <w:b/>
          <w:bCs/>
        </w:rPr>
      </w:pPr>
      <w:r w:rsidRPr="008A1AE3">
        <w:rPr>
          <w:rFonts w:eastAsiaTheme="minorEastAsia"/>
          <w:b/>
          <w:bCs/>
        </w:rPr>
        <w:t>Silné stránky:</w:t>
      </w:r>
    </w:p>
    <w:p w14:paraId="4EB7A307" w14:textId="647E6D9B" w:rsidR="003E0F58" w:rsidRPr="007C705C" w:rsidRDefault="008A1AE3" w:rsidP="008A1AE3">
      <w:pPr>
        <w:pStyle w:val="UZEIOdrky"/>
        <w:rPr>
          <w:rFonts w:eastAsiaTheme="minorEastAsia"/>
        </w:rPr>
      </w:pPr>
      <w:r>
        <w:rPr>
          <w:rFonts w:eastAsiaTheme="minorEastAsia"/>
        </w:rPr>
        <w:t xml:space="preserve">S1: </w:t>
      </w:r>
      <w:r w:rsidR="003E0F58" w:rsidRPr="007C705C">
        <w:rPr>
          <w:rFonts w:eastAsiaTheme="minorEastAsia"/>
        </w:rPr>
        <w:t>Erudovanost a dlouholetost lesnického výzkumu v ČR</w:t>
      </w:r>
    </w:p>
    <w:p w14:paraId="75F62014" w14:textId="118E7E02" w:rsidR="003E0F58" w:rsidRPr="007C705C" w:rsidRDefault="008A1AE3" w:rsidP="008A1AE3">
      <w:pPr>
        <w:pStyle w:val="UZEIOdrky"/>
        <w:rPr>
          <w:rFonts w:eastAsiaTheme="minorEastAsia"/>
        </w:rPr>
      </w:pPr>
      <w:r>
        <w:rPr>
          <w:rFonts w:eastAsiaTheme="minorEastAsia"/>
        </w:rPr>
        <w:t xml:space="preserve">S2: </w:t>
      </w:r>
      <w:r w:rsidR="003E0F58" w:rsidRPr="007C705C">
        <w:rPr>
          <w:rFonts w:eastAsiaTheme="minorEastAsia"/>
        </w:rPr>
        <w:t>Rozmanitost druhů lesních dřevin a existence druhů s širokou ekologickou valencí</w:t>
      </w:r>
    </w:p>
    <w:p w14:paraId="7E39859D" w14:textId="40BB3580" w:rsidR="003E0F58" w:rsidRPr="007C705C" w:rsidRDefault="008A1AE3" w:rsidP="008A1AE3">
      <w:pPr>
        <w:pStyle w:val="UZEIOdrky"/>
        <w:rPr>
          <w:rFonts w:eastAsiaTheme="minorEastAsia"/>
        </w:rPr>
      </w:pPr>
      <w:r>
        <w:rPr>
          <w:rFonts w:eastAsiaTheme="minorEastAsia"/>
        </w:rPr>
        <w:t xml:space="preserve">S3: </w:t>
      </w:r>
      <w:r w:rsidR="003E0F58" w:rsidRPr="007C705C">
        <w:rPr>
          <w:rFonts w:eastAsiaTheme="minorEastAsia"/>
        </w:rPr>
        <w:t>Existence podrobných a funkčních nástrojů a metodik k provádění ochrany lesa</w:t>
      </w:r>
    </w:p>
    <w:p w14:paraId="7FC7DD08" w14:textId="7EBCF767" w:rsidR="003E0F58" w:rsidRPr="007C705C" w:rsidRDefault="008A1AE3" w:rsidP="008A1AE3">
      <w:pPr>
        <w:pStyle w:val="UZEIOdrky"/>
        <w:rPr>
          <w:rFonts w:eastAsiaTheme="minorEastAsia"/>
        </w:rPr>
      </w:pPr>
      <w:r>
        <w:rPr>
          <w:rFonts w:eastAsiaTheme="minorEastAsia"/>
        </w:rPr>
        <w:t xml:space="preserve">S4: </w:t>
      </w:r>
      <w:r w:rsidR="003E0F58" w:rsidRPr="007C705C">
        <w:rPr>
          <w:rFonts w:eastAsiaTheme="minorEastAsia"/>
        </w:rPr>
        <w:t>Lesnicko-hospodářské plánování</w:t>
      </w:r>
    </w:p>
    <w:p w14:paraId="317765A2" w14:textId="2CD97B67" w:rsidR="003E0F58" w:rsidRPr="007C705C" w:rsidRDefault="008A1AE3" w:rsidP="008A1AE3">
      <w:pPr>
        <w:pStyle w:val="UZEIOdrky"/>
        <w:rPr>
          <w:rFonts w:eastAsiaTheme="minorEastAsia"/>
        </w:rPr>
      </w:pPr>
      <w:r>
        <w:rPr>
          <w:rFonts w:eastAsiaTheme="minorEastAsia"/>
        </w:rPr>
        <w:t xml:space="preserve">S5: </w:t>
      </w:r>
      <w:r w:rsidR="003E0F58" w:rsidRPr="007C705C">
        <w:rPr>
          <w:rFonts w:eastAsiaTheme="minorEastAsia"/>
        </w:rPr>
        <w:t>Dlouhodobě podchycený Genofond lesních dřevin a uznaných porostů</w:t>
      </w:r>
    </w:p>
    <w:p w14:paraId="4C82B6B7" w14:textId="3BAD8208" w:rsidR="003E0F58" w:rsidRPr="007C705C" w:rsidRDefault="008A1AE3" w:rsidP="008A1AE3">
      <w:pPr>
        <w:pStyle w:val="UZEIOdrky"/>
        <w:rPr>
          <w:rFonts w:eastAsiaTheme="minorEastAsia"/>
        </w:rPr>
      </w:pPr>
      <w:r>
        <w:rPr>
          <w:rFonts w:eastAsiaTheme="minorEastAsia"/>
        </w:rPr>
        <w:t xml:space="preserve">S6: </w:t>
      </w:r>
      <w:r w:rsidR="003E0F58" w:rsidRPr="007C705C">
        <w:rPr>
          <w:rFonts w:eastAsiaTheme="minorEastAsia"/>
        </w:rPr>
        <w:t>Využívání širokého spektra melioračních zpevňujících dřevin</w:t>
      </w:r>
    </w:p>
    <w:p w14:paraId="4DA87388" w14:textId="33BA16F9" w:rsidR="003E0F58" w:rsidRPr="007C705C" w:rsidRDefault="008A1AE3" w:rsidP="008A1AE3">
      <w:pPr>
        <w:pStyle w:val="UZEIOdrky"/>
        <w:rPr>
          <w:rFonts w:eastAsiaTheme="minorEastAsia"/>
        </w:rPr>
      </w:pPr>
      <w:r>
        <w:rPr>
          <w:rFonts w:eastAsiaTheme="minorEastAsia"/>
        </w:rPr>
        <w:t xml:space="preserve">S7: </w:t>
      </w:r>
      <w:r w:rsidR="003E0F58" w:rsidRPr="007C705C">
        <w:rPr>
          <w:rFonts w:eastAsiaTheme="minorEastAsia"/>
        </w:rPr>
        <w:t>Poskytování poradenských služeb v rámci podpory hospodaření v lesích</w:t>
      </w:r>
    </w:p>
    <w:p w14:paraId="061FD311" w14:textId="68F3B0B6" w:rsidR="003E0F58" w:rsidRPr="008A1AE3" w:rsidRDefault="008A1AE3" w:rsidP="003E0F58">
      <w:pPr>
        <w:pStyle w:val="UZEIOdrky"/>
        <w:rPr>
          <w:rFonts w:eastAsiaTheme="minorEastAsia"/>
        </w:rPr>
      </w:pPr>
      <w:r>
        <w:rPr>
          <w:rFonts w:eastAsiaTheme="minorEastAsia"/>
        </w:rPr>
        <w:t xml:space="preserve">S8: </w:t>
      </w:r>
      <w:r w:rsidR="003E0F58" w:rsidRPr="007C705C">
        <w:rPr>
          <w:rFonts w:eastAsiaTheme="minorEastAsia"/>
        </w:rPr>
        <w:t>Odborné zázemí oboru staveb pro plnění funkcí lesa</w:t>
      </w:r>
    </w:p>
    <w:p w14:paraId="0DF0DA5E" w14:textId="77777777" w:rsidR="003E0F58" w:rsidRPr="008A1AE3" w:rsidRDefault="003E0F58" w:rsidP="008A1AE3">
      <w:pPr>
        <w:pStyle w:val="UZEINormaln"/>
        <w:rPr>
          <w:rFonts w:eastAsiaTheme="minorEastAsia"/>
          <w:b/>
          <w:bCs/>
        </w:rPr>
      </w:pPr>
      <w:r w:rsidRPr="008A1AE3">
        <w:rPr>
          <w:rFonts w:eastAsiaTheme="minorEastAsia"/>
          <w:b/>
          <w:bCs/>
        </w:rPr>
        <w:t xml:space="preserve">Slabé stránky: </w:t>
      </w:r>
    </w:p>
    <w:p w14:paraId="6BF5FB8C" w14:textId="716F49E3" w:rsidR="003E0F58" w:rsidRPr="007C705C" w:rsidRDefault="008A1AE3" w:rsidP="008A1AE3">
      <w:pPr>
        <w:pStyle w:val="UZEIOdrky"/>
        <w:rPr>
          <w:rFonts w:eastAsiaTheme="minorEastAsia"/>
        </w:rPr>
      </w:pPr>
      <w:r>
        <w:rPr>
          <w:rFonts w:eastAsiaTheme="minorEastAsia"/>
        </w:rPr>
        <w:t xml:space="preserve">W1: </w:t>
      </w:r>
      <w:r w:rsidR="003E0F58" w:rsidRPr="007C705C">
        <w:rPr>
          <w:rFonts w:eastAsiaTheme="minorEastAsia"/>
        </w:rPr>
        <w:t>Absence efektivních nástrojů a postupů pro asanaci kalamitního dříví</w:t>
      </w:r>
    </w:p>
    <w:p w14:paraId="56C01AED" w14:textId="78A32813" w:rsidR="003E0F58" w:rsidRPr="007C705C" w:rsidRDefault="008A1AE3" w:rsidP="008A1AE3">
      <w:pPr>
        <w:pStyle w:val="UZEIOdrky"/>
        <w:rPr>
          <w:rFonts w:eastAsiaTheme="minorEastAsia"/>
        </w:rPr>
      </w:pPr>
      <w:r>
        <w:rPr>
          <w:rFonts w:eastAsiaTheme="minorEastAsia"/>
        </w:rPr>
        <w:t xml:space="preserve">W2: </w:t>
      </w:r>
      <w:r w:rsidR="003E0F58" w:rsidRPr="007C705C">
        <w:rPr>
          <w:rFonts w:eastAsiaTheme="minorEastAsia"/>
        </w:rPr>
        <w:t xml:space="preserve">Nevhodná stávající dřevinná skladba ve vazbě na změnu klimatu a stanovištních podmínek </w:t>
      </w:r>
    </w:p>
    <w:p w14:paraId="22D5D3AF" w14:textId="0B55A00B" w:rsidR="003E0F58" w:rsidRPr="007C705C" w:rsidRDefault="008A1AE3" w:rsidP="008A1AE3">
      <w:pPr>
        <w:pStyle w:val="UZEIOdrky"/>
        <w:rPr>
          <w:rFonts w:eastAsiaTheme="minorEastAsia"/>
        </w:rPr>
      </w:pPr>
      <w:r>
        <w:rPr>
          <w:rFonts w:eastAsiaTheme="minorEastAsia"/>
        </w:rPr>
        <w:t xml:space="preserve">W3: </w:t>
      </w:r>
      <w:r w:rsidR="003E0F58" w:rsidRPr="007C705C">
        <w:rPr>
          <w:rFonts w:eastAsiaTheme="minorEastAsia"/>
        </w:rPr>
        <w:t>Legislativní zábrany k aktivnímu přístupu především drobných vlastníků v ochraně lesa</w:t>
      </w:r>
    </w:p>
    <w:p w14:paraId="0026B566" w14:textId="6906ADCD" w:rsidR="003E0F58" w:rsidRPr="007C705C" w:rsidRDefault="008A1AE3" w:rsidP="008A1AE3">
      <w:pPr>
        <w:pStyle w:val="UZEIOdrky"/>
        <w:rPr>
          <w:rFonts w:eastAsiaTheme="minorEastAsia"/>
        </w:rPr>
      </w:pPr>
      <w:r>
        <w:rPr>
          <w:rFonts w:eastAsiaTheme="minorEastAsia"/>
        </w:rPr>
        <w:t xml:space="preserve">W4: </w:t>
      </w:r>
      <w:r w:rsidR="003E0F58" w:rsidRPr="007C705C">
        <w:rPr>
          <w:rFonts w:eastAsiaTheme="minorEastAsia"/>
        </w:rPr>
        <w:t>Relativně nízké využití potenciálu retence lesních povodí v případě přívalových srážek</w:t>
      </w:r>
    </w:p>
    <w:p w14:paraId="6809AED8" w14:textId="649E9502" w:rsidR="003E0F58" w:rsidRPr="007C705C" w:rsidRDefault="008A1AE3" w:rsidP="008A1AE3">
      <w:pPr>
        <w:pStyle w:val="UZEIOdrky"/>
        <w:rPr>
          <w:rFonts w:eastAsiaTheme="minorEastAsia"/>
        </w:rPr>
      </w:pPr>
      <w:r>
        <w:rPr>
          <w:rFonts w:eastAsiaTheme="minorEastAsia"/>
        </w:rPr>
        <w:t xml:space="preserve">W5: </w:t>
      </w:r>
      <w:r w:rsidR="003E0F58" w:rsidRPr="007C705C">
        <w:rPr>
          <w:rFonts w:eastAsiaTheme="minorEastAsia"/>
        </w:rPr>
        <w:t>Chybějící motivace vlastníků lesů k provádění protierozních a protipovodňových opatření v lesích</w:t>
      </w:r>
    </w:p>
    <w:p w14:paraId="5685756D" w14:textId="52C01883" w:rsidR="003E0F58" w:rsidRPr="007C705C" w:rsidRDefault="008A1AE3" w:rsidP="008A1AE3">
      <w:pPr>
        <w:pStyle w:val="UZEIOdrky"/>
        <w:rPr>
          <w:rFonts w:eastAsiaTheme="minorEastAsia"/>
        </w:rPr>
      </w:pPr>
      <w:r>
        <w:rPr>
          <w:rFonts w:eastAsiaTheme="minorEastAsia"/>
        </w:rPr>
        <w:t xml:space="preserve">W6: </w:t>
      </w:r>
      <w:r w:rsidR="003E0F58" w:rsidRPr="007C705C">
        <w:rPr>
          <w:rFonts w:eastAsiaTheme="minorEastAsia"/>
        </w:rPr>
        <w:t>Zhoršující se funkce sítě ochranných lesních pásů</w:t>
      </w:r>
    </w:p>
    <w:p w14:paraId="58F6C078" w14:textId="5EC03B62" w:rsidR="003E0F58" w:rsidRPr="007C705C" w:rsidRDefault="008A1AE3" w:rsidP="008A1AE3">
      <w:pPr>
        <w:pStyle w:val="UZEIOdrky"/>
        <w:rPr>
          <w:rFonts w:eastAsiaTheme="minorEastAsia"/>
        </w:rPr>
      </w:pPr>
      <w:r>
        <w:rPr>
          <w:rFonts w:eastAsiaTheme="minorEastAsia"/>
        </w:rPr>
        <w:t xml:space="preserve">W7: </w:t>
      </w:r>
      <w:r w:rsidR="003E0F58" w:rsidRPr="007C705C">
        <w:rPr>
          <w:rFonts w:eastAsiaTheme="minorEastAsia"/>
        </w:rPr>
        <w:t>Utužování lesních půd mechanizací</w:t>
      </w:r>
    </w:p>
    <w:p w14:paraId="0D42AEB0" w14:textId="351D176A" w:rsidR="003E0F58" w:rsidRPr="007C705C" w:rsidRDefault="008A1AE3" w:rsidP="008A1AE3">
      <w:pPr>
        <w:pStyle w:val="UZEIOdrky"/>
        <w:rPr>
          <w:rFonts w:eastAsiaTheme="minorEastAsia"/>
        </w:rPr>
      </w:pPr>
      <w:r>
        <w:rPr>
          <w:rFonts w:eastAsiaTheme="minorEastAsia"/>
        </w:rPr>
        <w:t xml:space="preserve">W8: </w:t>
      </w:r>
      <w:r w:rsidR="003E0F58" w:rsidRPr="007C705C">
        <w:rPr>
          <w:rFonts w:eastAsiaTheme="minorEastAsia"/>
        </w:rPr>
        <w:t>Nízké využití potenciálu introdukovaných a zdomácnělých dřevin.</w:t>
      </w:r>
    </w:p>
    <w:p w14:paraId="5234496A" w14:textId="1F03A0C4" w:rsidR="003E0F58" w:rsidRPr="007C705C" w:rsidRDefault="008A1AE3" w:rsidP="008A1AE3">
      <w:pPr>
        <w:pStyle w:val="UZEIOdrky"/>
        <w:rPr>
          <w:rFonts w:eastAsiaTheme="minorEastAsia"/>
        </w:rPr>
      </w:pPr>
      <w:r>
        <w:rPr>
          <w:rFonts w:eastAsiaTheme="minorEastAsia"/>
        </w:rPr>
        <w:t xml:space="preserve">W9: </w:t>
      </w:r>
      <w:r w:rsidR="003E0F58" w:rsidRPr="007C705C">
        <w:rPr>
          <w:rFonts w:eastAsiaTheme="minorEastAsia"/>
        </w:rPr>
        <w:t>Velký počet malých vlastníků lesa a fragmentace lesních majetků</w:t>
      </w:r>
    </w:p>
    <w:p w14:paraId="3AF1392E" w14:textId="55BCACC3" w:rsidR="003E0F58" w:rsidRPr="007C705C" w:rsidRDefault="008A1AE3" w:rsidP="008A1AE3">
      <w:pPr>
        <w:pStyle w:val="UZEIOdrky"/>
        <w:rPr>
          <w:rFonts w:eastAsiaTheme="minorEastAsia"/>
        </w:rPr>
      </w:pPr>
      <w:r>
        <w:rPr>
          <w:rFonts w:eastAsiaTheme="minorEastAsia"/>
        </w:rPr>
        <w:t xml:space="preserve">W10: </w:t>
      </w:r>
      <w:r w:rsidR="003E0F58" w:rsidRPr="007C705C">
        <w:rPr>
          <w:rFonts w:eastAsiaTheme="minorEastAsia"/>
        </w:rPr>
        <w:t>Racionalizace a zefektivnění produkce sadebního materiálu lesních dřevin</w:t>
      </w:r>
    </w:p>
    <w:p w14:paraId="18CDE43D" w14:textId="5C0EF987" w:rsidR="003E0F58" w:rsidRPr="008A1AE3" w:rsidRDefault="008A1AE3" w:rsidP="008A1AE3">
      <w:pPr>
        <w:pStyle w:val="UZEIOdrky"/>
      </w:pPr>
      <w:r>
        <w:rPr>
          <w:rFonts w:eastAsiaTheme="minorEastAsia"/>
        </w:rPr>
        <w:t xml:space="preserve">W11: </w:t>
      </w:r>
      <w:r w:rsidR="003E0F58" w:rsidRPr="007C705C">
        <w:rPr>
          <w:rFonts w:eastAsiaTheme="minorEastAsia"/>
        </w:rPr>
        <w:t>Nadměrné stavy spárkaté zvěře a způsobované škody na lesních porostech zejména listnáčích a jedlích.</w:t>
      </w:r>
    </w:p>
    <w:p w14:paraId="2DB9C424" w14:textId="4587889C" w:rsidR="003E0F58" w:rsidRPr="008A1AE3" w:rsidRDefault="003E0F58" w:rsidP="008A1AE3">
      <w:pPr>
        <w:pStyle w:val="UZEINormaln"/>
        <w:rPr>
          <w:rFonts w:eastAsiaTheme="minorEastAsia"/>
          <w:b/>
          <w:bCs/>
        </w:rPr>
      </w:pPr>
      <w:r w:rsidRPr="008A1AE3">
        <w:rPr>
          <w:rFonts w:eastAsiaTheme="minorEastAsia"/>
          <w:b/>
          <w:bCs/>
        </w:rPr>
        <w:t>Příležitosti</w:t>
      </w:r>
      <w:r w:rsidR="008A1AE3">
        <w:rPr>
          <w:rFonts w:eastAsiaTheme="minorEastAsia"/>
          <w:b/>
          <w:bCs/>
        </w:rPr>
        <w:t>:</w:t>
      </w:r>
    </w:p>
    <w:p w14:paraId="4AA65399" w14:textId="0FED01B2" w:rsidR="003E0F58" w:rsidRPr="007C705C" w:rsidRDefault="008A1AE3" w:rsidP="008A1AE3">
      <w:pPr>
        <w:pStyle w:val="UZEIOdrky"/>
        <w:rPr>
          <w:rFonts w:eastAsiaTheme="minorEastAsia"/>
        </w:rPr>
      </w:pPr>
      <w:r>
        <w:rPr>
          <w:rFonts w:eastAsiaTheme="minorEastAsia"/>
        </w:rPr>
        <w:t xml:space="preserve">O1: </w:t>
      </w:r>
      <w:r w:rsidR="003E0F58" w:rsidRPr="007C705C">
        <w:rPr>
          <w:rFonts w:eastAsiaTheme="minorEastAsia"/>
        </w:rPr>
        <w:t>Ochlazování krajiny za předpokladu dobrého zdravotního stavu lesních ekosystémů</w:t>
      </w:r>
    </w:p>
    <w:p w14:paraId="69E1E919" w14:textId="2A2E86DA" w:rsidR="003E0F58" w:rsidRPr="007C705C" w:rsidRDefault="008A1AE3" w:rsidP="008A1AE3">
      <w:pPr>
        <w:pStyle w:val="UZEIOdrky"/>
        <w:rPr>
          <w:rFonts w:eastAsiaTheme="minorEastAsia"/>
        </w:rPr>
      </w:pPr>
      <w:r>
        <w:rPr>
          <w:rFonts w:eastAsiaTheme="minorEastAsia"/>
        </w:rPr>
        <w:t xml:space="preserve">O2: </w:t>
      </w:r>
      <w:r w:rsidR="003E0F58" w:rsidRPr="007C705C">
        <w:rPr>
          <w:rFonts w:eastAsiaTheme="minorEastAsia"/>
        </w:rPr>
        <w:t>Stabilizace pracovních míst na venkově</w:t>
      </w:r>
    </w:p>
    <w:p w14:paraId="1AB86017" w14:textId="5872E9AB" w:rsidR="003E0F58" w:rsidRPr="007C705C" w:rsidRDefault="008A1AE3" w:rsidP="008A1AE3">
      <w:pPr>
        <w:pStyle w:val="UZEIOdrky"/>
        <w:rPr>
          <w:rFonts w:eastAsiaTheme="minorEastAsia"/>
        </w:rPr>
      </w:pPr>
      <w:r>
        <w:rPr>
          <w:rFonts w:eastAsiaTheme="minorEastAsia"/>
        </w:rPr>
        <w:t xml:space="preserve">O3: </w:t>
      </w:r>
      <w:r w:rsidR="003E0F58" w:rsidRPr="007C705C">
        <w:rPr>
          <w:rFonts w:eastAsiaTheme="minorEastAsia"/>
        </w:rPr>
        <w:t>Využít stávající rozsáhlé kalamity k změně druhové a prostorové skladby našich lesů</w:t>
      </w:r>
    </w:p>
    <w:p w14:paraId="2E4B1D6F" w14:textId="7339BBEF" w:rsidR="003E0F58" w:rsidRPr="007C705C" w:rsidRDefault="008A1AE3" w:rsidP="008A1AE3">
      <w:pPr>
        <w:pStyle w:val="UZEIOdrky"/>
        <w:rPr>
          <w:rFonts w:eastAsiaTheme="minorEastAsia"/>
        </w:rPr>
      </w:pPr>
      <w:r>
        <w:rPr>
          <w:rFonts w:eastAsiaTheme="minorEastAsia"/>
        </w:rPr>
        <w:t xml:space="preserve">O4: </w:t>
      </w:r>
      <w:r w:rsidR="003E0F58" w:rsidRPr="007C705C">
        <w:rPr>
          <w:rFonts w:eastAsiaTheme="minorEastAsia"/>
        </w:rPr>
        <w:t>Vysoký potenciál využití introdukovaných a zdomácnělých dřevin ČR k obnově lesních ekosystémů.</w:t>
      </w:r>
    </w:p>
    <w:p w14:paraId="12B50551" w14:textId="7B9096F8" w:rsidR="003E0F58" w:rsidRPr="008A1AE3" w:rsidRDefault="003E0F58" w:rsidP="008A1AE3">
      <w:pPr>
        <w:pStyle w:val="UZEINormaln"/>
        <w:rPr>
          <w:rFonts w:eastAsiaTheme="minorEastAsia"/>
          <w:b/>
          <w:bCs/>
        </w:rPr>
      </w:pPr>
      <w:r w:rsidRPr="008A1AE3">
        <w:rPr>
          <w:rFonts w:eastAsiaTheme="minorEastAsia"/>
          <w:b/>
          <w:bCs/>
        </w:rPr>
        <w:t>Hrozby</w:t>
      </w:r>
      <w:r w:rsidR="008A1AE3">
        <w:rPr>
          <w:rFonts w:eastAsiaTheme="minorEastAsia"/>
          <w:b/>
          <w:bCs/>
        </w:rPr>
        <w:t>:</w:t>
      </w:r>
    </w:p>
    <w:p w14:paraId="4599ADAC" w14:textId="41085F2D" w:rsidR="003E0F58" w:rsidRPr="007C705C" w:rsidRDefault="008A1AE3" w:rsidP="008A1AE3">
      <w:pPr>
        <w:pStyle w:val="UZEIOdrky"/>
        <w:rPr>
          <w:rFonts w:eastAsiaTheme="minorEastAsia"/>
        </w:rPr>
      </w:pPr>
      <w:r>
        <w:rPr>
          <w:rFonts w:eastAsiaTheme="minorEastAsia"/>
        </w:rPr>
        <w:t xml:space="preserve">T1: </w:t>
      </w:r>
      <w:r w:rsidR="003E0F58" w:rsidRPr="007C705C">
        <w:rPr>
          <w:rFonts w:eastAsiaTheme="minorEastAsia"/>
        </w:rPr>
        <w:t>Nevyrovnaná vláhová bilance lesních ekosystémů</w:t>
      </w:r>
    </w:p>
    <w:p w14:paraId="33A870A2" w14:textId="3D49DD8F" w:rsidR="003E0F58" w:rsidRPr="007C705C" w:rsidRDefault="008A1AE3" w:rsidP="008A1AE3">
      <w:pPr>
        <w:pStyle w:val="UZEIOdrky"/>
        <w:rPr>
          <w:rFonts w:eastAsiaTheme="minorEastAsia"/>
        </w:rPr>
      </w:pPr>
      <w:r>
        <w:rPr>
          <w:rFonts w:eastAsiaTheme="minorEastAsia"/>
        </w:rPr>
        <w:t xml:space="preserve">T2: </w:t>
      </w:r>
      <w:r w:rsidR="003E0F58" w:rsidRPr="007C705C">
        <w:rPr>
          <w:rFonts w:eastAsiaTheme="minorEastAsia"/>
        </w:rPr>
        <w:t>Klimatická změna - Nepravidelnost hodnot srážkových úhrnů a teplot, častější výkyvy povětrnostních podmínek – bořivé větry (důsledky klimatické změny)</w:t>
      </w:r>
    </w:p>
    <w:p w14:paraId="5FF5C5D3" w14:textId="313D7FF4" w:rsidR="003E0F58" w:rsidRPr="007C705C" w:rsidRDefault="008A1AE3" w:rsidP="008A1AE3">
      <w:pPr>
        <w:pStyle w:val="UZEIOdrky"/>
        <w:rPr>
          <w:rFonts w:eastAsiaTheme="minorEastAsia"/>
        </w:rPr>
      </w:pPr>
      <w:r>
        <w:rPr>
          <w:rFonts w:eastAsiaTheme="minorEastAsia"/>
        </w:rPr>
        <w:t xml:space="preserve">T3: </w:t>
      </w:r>
      <w:r w:rsidR="003E0F58" w:rsidRPr="007C705C">
        <w:rPr>
          <w:rFonts w:eastAsiaTheme="minorEastAsia"/>
        </w:rPr>
        <w:t>Nevyrovnanost věkových tříd – nárůst holin v důsledku klimatické změny</w:t>
      </w:r>
    </w:p>
    <w:p w14:paraId="72B31AB9" w14:textId="2FF2BDD3" w:rsidR="003E0F58" w:rsidRPr="007C705C" w:rsidRDefault="008A1AE3" w:rsidP="008A1AE3">
      <w:pPr>
        <w:pStyle w:val="UZEIOdrky"/>
        <w:rPr>
          <w:rFonts w:eastAsiaTheme="minorEastAsia"/>
        </w:rPr>
      </w:pPr>
      <w:r>
        <w:rPr>
          <w:rFonts w:eastAsiaTheme="minorEastAsia"/>
        </w:rPr>
        <w:t xml:space="preserve">T4: </w:t>
      </w:r>
      <w:r w:rsidR="003E0F58" w:rsidRPr="007C705C">
        <w:rPr>
          <w:rFonts w:eastAsiaTheme="minorEastAsia"/>
        </w:rPr>
        <w:t>Stupňující úroveň defoliace lesních dřevin</w:t>
      </w:r>
    </w:p>
    <w:p w14:paraId="5C151AB3" w14:textId="17EA4142" w:rsidR="003E0F58" w:rsidRPr="007C705C" w:rsidRDefault="008A1AE3" w:rsidP="008A1AE3">
      <w:pPr>
        <w:pStyle w:val="UZEIOdrky"/>
        <w:rPr>
          <w:rFonts w:eastAsiaTheme="minorEastAsia"/>
        </w:rPr>
      </w:pPr>
      <w:r>
        <w:rPr>
          <w:rFonts w:eastAsiaTheme="minorEastAsia"/>
        </w:rPr>
        <w:lastRenderedPageBreak/>
        <w:t xml:space="preserve">T5: </w:t>
      </w:r>
      <w:r w:rsidR="003E0F58" w:rsidRPr="007C705C">
        <w:rPr>
          <w:rFonts w:eastAsiaTheme="minorEastAsia"/>
        </w:rPr>
        <w:t>Trvající gradace podkorního hmyzu</w:t>
      </w:r>
    </w:p>
    <w:p w14:paraId="30AE29A8" w14:textId="4C767B07" w:rsidR="003E0F58" w:rsidRPr="007C705C" w:rsidRDefault="008A1AE3" w:rsidP="008A1AE3">
      <w:pPr>
        <w:pStyle w:val="UZEIOdrky"/>
        <w:rPr>
          <w:rFonts w:eastAsiaTheme="minorEastAsia"/>
        </w:rPr>
      </w:pPr>
      <w:r>
        <w:rPr>
          <w:rFonts w:eastAsiaTheme="minorEastAsia"/>
        </w:rPr>
        <w:t xml:space="preserve">T6: </w:t>
      </w:r>
      <w:r w:rsidR="003E0F58" w:rsidRPr="007C705C">
        <w:rPr>
          <w:rFonts w:eastAsiaTheme="minorEastAsia"/>
        </w:rPr>
        <w:t>Rozvoj dalších biotických činitelů</w:t>
      </w:r>
    </w:p>
    <w:p w14:paraId="2480E9B3" w14:textId="2923462F" w:rsidR="003E0F58" w:rsidRPr="007C705C" w:rsidRDefault="008A1AE3" w:rsidP="008A1AE3">
      <w:pPr>
        <w:pStyle w:val="UZEIOdrky"/>
        <w:rPr>
          <w:rFonts w:eastAsiaTheme="minorEastAsia"/>
        </w:rPr>
      </w:pPr>
      <w:r>
        <w:rPr>
          <w:rFonts w:eastAsiaTheme="minorEastAsia"/>
        </w:rPr>
        <w:t xml:space="preserve">T7: </w:t>
      </w:r>
      <w:r w:rsidR="003E0F58" w:rsidRPr="007C705C">
        <w:rPr>
          <w:rFonts w:eastAsiaTheme="minorEastAsia"/>
        </w:rPr>
        <w:t>Nízká ujímavost sazenic vlivem změny klimatu</w:t>
      </w:r>
    </w:p>
    <w:p w14:paraId="00923F70" w14:textId="0DCE4282" w:rsidR="003E0F58" w:rsidRPr="007C705C" w:rsidRDefault="008A1AE3" w:rsidP="008A1AE3">
      <w:pPr>
        <w:pStyle w:val="UZEIOdrky"/>
        <w:rPr>
          <w:rFonts w:eastAsiaTheme="minorEastAsia"/>
        </w:rPr>
      </w:pPr>
      <w:r>
        <w:rPr>
          <w:rFonts w:eastAsiaTheme="minorEastAsia"/>
        </w:rPr>
        <w:t xml:space="preserve">T8: </w:t>
      </w:r>
      <w:r w:rsidR="003E0F58" w:rsidRPr="007C705C">
        <w:rPr>
          <w:rFonts w:eastAsiaTheme="minorEastAsia"/>
        </w:rPr>
        <w:t>Šíření invazních druhů (živočichů a rostlin)</w:t>
      </w:r>
    </w:p>
    <w:p w14:paraId="05986323" w14:textId="2C15A30B" w:rsidR="003E0F58" w:rsidRPr="007C705C" w:rsidRDefault="008A1AE3" w:rsidP="008A1AE3">
      <w:pPr>
        <w:pStyle w:val="UZEIOdrky"/>
        <w:rPr>
          <w:rFonts w:eastAsiaTheme="minorEastAsia"/>
        </w:rPr>
      </w:pPr>
      <w:r>
        <w:rPr>
          <w:rFonts w:eastAsiaTheme="minorEastAsia"/>
        </w:rPr>
        <w:t xml:space="preserve">T9: </w:t>
      </w:r>
      <w:r w:rsidR="003E0F58" w:rsidRPr="007C705C">
        <w:rPr>
          <w:rFonts w:eastAsiaTheme="minorEastAsia"/>
        </w:rPr>
        <w:t>Šíření geograficky nepůvodních druhů dřevin v lesích s jinou než hospodářskou funkcí</w:t>
      </w:r>
    </w:p>
    <w:p w14:paraId="421FF914" w14:textId="4C3D5FA4" w:rsidR="003E0F58" w:rsidRPr="007C705C" w:rsidRDefault="008A1AE3" w:rsidP="008A1AE3">
      <w:pPr>
        <w:pStyle w:val="UZEIOdrky"/>
        <w:rPr>
          <w:rFonts w:eastAsiaTheme="minorEastAsia"/>
        </w:rPr>
      </w:pPr>
      <w:r>
        <w:rPr>
          <w:rFonts w:eastAsiaTheme="minorEastAsia"/>
        </w:rPr>
        <w:t xml:space="preserve">T10: </w:t>
      </w:r>
      <w:r w:rsidR="003E0F58" w:rsidRPr="007C705C">
        <w:rPr>
          <w:rFonts w:eastAsiaTheme="minorEastAsia"/>
        </w:rPr>
        <w:t>Dopady na půdu, vodu a biodiverzitu při zpracování biomasy z nevhodných lokalit</w:t>
      </w:r>
    </w:p>
    <w:p w14:paraId="5FA33E8D" w14:textId="639D732F" w:rsidR="003E0F58" w:rsidRPr="007C705C" w:rsidRDefault="008A1AE3" w:rsidP="008A1AE3">
      <w:pPr>
        <w:pStyle w:val="UZEIOdrky"/>
        <w:rPr>
          <w:rFonts w:eastAsiaTheme="minorEastAsia"/>
        </w:rPr>
      </w:pPr>
      <w:r>
        <w:rPr>
          <w:rFonts w:eastAsiaTheme="minorEastAsia"/>
        </w:rPr>
        <w:t xml:space="preserve">T11: </w:t>
      </w:r>
      <w:r w:rsidR="003E0F58" w:rsidRPr="007C705C">
        <w:rPr>
          <w:rFonts w:eastAsiaTheme="minorEastAsia"/>
        </w:rPr>
        <w:t>Nepředvídatelný výskyt povodňových situací</w:t>
      </w:r>
    </w:p>
    <w:p w14:paraId="1E4067AA" w14:textId="77777777" w:rsidR="00071BB5" w:rsidRDefault="00071BB5" w:rsidP="003E0F58">
      <w:pPr>
        <w:jc w:val="left"/>
        <w:rPr>
          <w:rFonts w:eastAsiaTheme="minorEastAsia" w:cs="Times New Roman"/>
          <w:b/>
          <w:bCs/>
          <w:lang w:val="cs-CZ"/>
        </w:rPr>
      </w:pPr>
      <w:bookmarkStart w:id="548" w:name="_Toc23324602"/>
      <w:bookmarkStart w:id="549" w:name="_Toc23326662"/>
      <w:bookmarkStart w:id="550" w:name="_Toc23324603"/>
      <w:bookmarkStart w:id="551" w:name="_Toc23326663"/>
      <w:bookmarkStart w:id="552" w:name="_Toc23324604"/>
      <w:bookmarkStart w:id="553" w:name="_Toc23326664"/>
      <w:bookmarkStart w:id="554" w:name="_Toc23324605"/>
      <w:bookmarkStart w:id="555" w:name="_Toc23326665"/>
      <w:bookmarkStart w:id="556" w:name="_Toc23324606"/>
      <w:bookmarkStart w:id="557" w:name="_Toc23326666"/>
      <w:bookmarkStart w:id="558" w:name="_Toc23324607"/>
      <w:bookmarkStart w:id="559" w:name="_Toc23326667"/>
      <w:bookmarkStart w:id="560" w:name="_Toc23324608"/>
      <w:bookmarkStart w:id="561" w:name="_Toc23326668"/>
      <w:bookmarkStart w:id="562" w:name="_Toc23324609"/>
      <w:bookmarkStart w:id="563" w:name="_Toc23326669"/>
      <w:bookmarkStart w:id="564" w:name="_Toc23324610"/>
      <w:bookmarkStart w:id="565" w:name="_Toc23326670"/>
      <w:bookmarkStart w:id="566" w:name="_Toc23324611"/>
      <w:bookmarkStart w:id="567" w:name="_Toc23326671"/>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4D3A4E0C" w14:textId="77777777" w:rsidR="00071BB5" w:rsidRDefault="00071BB5" w:rsidP="003E0F58">
      <w:pPr>
        <w:jc w:val="left"/>
        <w:rPr>
          <w:rFonts w:eastAsiaTheme="minorEastAsia" w:cs="Times New Roman"/>
          <w:b/>
          <w:bCs/>
          <w:lang w:val="cs-CZ"/>
        </w:rPr>
      </w:pPr>
    </w:p>
    <w:p w14:paraId="68D7165E" w14:textId="50D10770" w:rsidR="003E0F58" w:rsidRPr="007C705C" w:rsidRDefault="003E0F58">
      <w:pPr>
        <w:pStyle w:val="UZEINadpis1stbezsla"/>
      </w:pPr>
      <w:bookmarkStart w:id="568" w:name="_Toc81343108"/>
      <w:bookmarkStart w:id="569" w:name="_Toc81343171"/>
      <w:bookmarkStart w:id="570" w:name="_Toc81343240"/>
      <w:bookmarkStart w:id="571" w:name="_Toc94181689"/>
      <w:r w:rsidRPr="007C705C">
        <w:lastRenderedPageBreak/>
        <w:t>Reference</w:t>
      </w:r>
      <w:bookmarkEnd w:id="568"/>
      <w:bookmarkEnd w:id="569"/>
      <w:bookmarkEnd w:id="570"/>
      <w:bookmarkEnd w:id="571"/>
    </w:p>
    <w:p w14:paraId="1E82037F" w14:textId="77777777" w:rsidR="003E0F58" w:rsidRPr="00071BB5" w:rsidRDefault="003E0F58" w:rsidP="00071BB5">
      <w:pPr>
        <w:pStyle w:val="UZEINormaln"/>
        <w:rPr>
          <w:rFonts w:eastAsiaTheme="minorEastAsia"/>
          <w:b/>
          <w:bCs/>
        </w:rPr>
      </w:pPr>
      <w:r w:rsidRPr="00071BB5">
        <w:rPr>
          <w:rFonts w:eastAsiaTheme="minorEastAsia"/>
          <w:b/>
          <w:bCs/>
        </w:rPr>
        <w:t>KLIMA:</w:t>
      </w:r>
    </w:p>
    <w:p w14:paraId="7CCCCF76" w14:textId="77777777" w:rsidR="003E0F58" w:rsidRPr="007C705C" w:rsidRDefault="003E0F58" w:rsidP="00071BB5">
      <w:pPr>
        <w:pStyle w:val="UZEINormaln"/>
        <w:rPr>
          <w:rFonts w:eastAsiaTheme="minorEastAsia"/>
        </w:rPr>
      </w:pPr>
      <w:r w:rsidRPr="007C705C">
        <w:rPr>
          <w:rFonts w:eastAsiaTheme="minorEastAsia"/>
        </w:rPr>
        <w:t>ČHMÚ, 2018. Suché období 2014–2017 (vyhodnocení, dopady a opatření), Sborník příspěvků. Vydalo nakladatelství Český hydrometeorologický ústav, Praha 2018, ISBN 978-80-87577-81-3.</w:t>
      </w:r>
    </w:p>
    <w:p w14:paraId="583FE823" w14:textId="77777777" w:rsidR="003E0F58" w:rsidRPr="007C705C" w:rsidRDefault="003E0F58" w:rsidP="00071BB5">
      <w:pPr>
        <w:pStyle w:val="UZEINormaln"/>
        <w:rPr>
          <w:rFonts w:eastAsiaTheme="minorEastAsia"/>
        </w:rPr>
      </w:pPr>
      <w:r w:rsidRPr="007C705C">
        <w:rPr>
          <w:rFonts w:eastAsiaTheme="minorEastAsia"/>
        </w:rPr>
        <w:t>ČHMÚ, 2018. Suché období 2014–2017 (vyhodnocení, dopady a opatření), Sborník příspěvků. Vydalo nakladatelství Český hydrometeorologický ústav, Praha 2018, ISBN 978-80-87577-81-3.</w:t>
      </w:r>
    </w:p>
    <w:p w14:paraId="26B973BD" w14:textId="77777777" w:rsidR="003E0F58" w:rsidRPr="007C705C" w:rsidRDefault="003E0F58" w:rsidP="00071BB5">
      <w:pPr>
        <w:pStyle w:val="UZEINormaln"/>
        <w:rPr>
          <w:rFonts w:eastAsiaTheme="minorEastAsia"/>
        </w:rPr>
      </w:pPr>
      <w:r w:rsidRPr="007C705C">
        <w:rPr>
          <w:rFonts w:eastAsiaTheme="minorEastAsia"/>
        </w:rPr>
        <w:t>MŽP, 2015. Strategie přizpůsobení se změně klimatu v podmínkách České republiky. Usnesení vlády ČR č. 861 ze dne 26. října 2015.</w:t>
      </w:r>
    </w:p>
    <w:p w14:paraId="3399D827" w14:textId="77777777" w:rsidR="003E0F58" w:rsidRPr="007C705C" w:rsidRDefault="003E0F58" w:rsidP="00071BB5">
      <w:pPr>
        <w:pStyle w:val="UZEINormaln"/>
      </w:pPr>
      <w:r w:rsidRPr="007C705C">
        <w:t>Brázdil, R., Trnka, M., Dobrovolný, P., Chromá, K., Hlavinka, P., Žalud, Z., 2008. Variability of droughts in the Czech Republic, 1881–2006. Theor. Appl. Climatol. 97, 297–315. doi:10.1007/s00704-008-0065-x</w:t>
      </w:r>
    </w:p>
    <w:p w14:paraId="30061661" w14:textId="77777777" w:rsidR="003E0F58" w:rsidRPr="007C705C" w:rsidRDefault="003E0F58" w:rsidP="00071BB5">
      <w:pPr>
        <w:pStyle w:val="UZEINormaln"/>
      </w:pPr>
      <w:r w:rsidRPr="007C705C">
        <w:t>HLAVINKA, Petr, Miroslav TRNKA, Daniela SEMERÁDOVÁ, Jan BALEK, Kurt Christian KERSEBAUM, Lenka BARTOŠOVÁ, Eva POHANKOVÁ a Zdeněk ŽALUD. Výnos vybraných polních plodin v očekávaných klimatických podmínkách: specializovaná mapa s odborným obsahem.</w:t>
      </w:r>
    </w:p>
    <w:p w14:paraId="74954247" w14:textId="77777777" w:rsidR="003E0F58" w:rsidRPr="007C705C" w:rsidRDefault="003E0F58" w:rsidP="00071BB5">
      <w:pPr>
        <w:pStyle w:val="UZEINormaln"/>
      </w:pPr>
      <w:r w:rsidRPr="007C705C">
        <w:t>ISBN: 9788075094728</w:t>
      </w:r>
    </w:p>
    <w:p w14:paraId="1D1CA318" w14:textId="77777777" w:rsidR="003E0F58" w:rsidRPr="007C705C" w:rsidRDefault="003E0F58" w:rsidP="00071BB5">
      <w:pPr>
        <w:pStyle w:val="UZEINormaln"/>
      </w:pPr>
      <w:r w:rsidRPr="007C705C">
        <w:t>HLAVINKA, P., TRNKA, M., SEMERÁDOVÁ, D., DUBROVSKÝ, M., ŽALUD, Z., MOŽNÝ, M. 2009. Effect of drought on yield variability of key crops in Czech Republic. Agricultural and Forest Meteorology 149: 431-442.</w:t>
      </w:r>
    </w:p>
    <w:p w14:paraId="6EA98896" w14:textId="77777777" w:rsidR="003E0F58" w:rsidRPr="007C705C" w:rsidRDefault="003E0F58" w:rsidP="00071BB5">
      <w:pPr>
        <w:pStyle w:val="UZEINormaln"/>
      </w:pPr>
      <w:r w:rsidRPr="007C705C">
        <w:t>TRNKA, M., BRÁZDIL, R., OLESEN, J.E., EITZINGER, J., ZAHRADNÍČEK, P., KOCMÁNKOVÁ, E., DOBROVOLNÝ, P., ŠTĚPÁNEK, P., MOŽNÝ, M., BARTOŠOVÁ, L., HLAVINKA, P., SEMERÁDOVÁ, D., VALÁŠEK, H., HAVLÍČEK, M., HORÁKOVÁ, V., FISCHER, M., ŽALUD, Z., 2012. Could the changes in regional crop yields be a pointer of climatic change? Agricultural and Forest Meteorology 166: 62-71.</w:t>
      </w:r>
    </w:p>
    <w:p w14:paraId="78E9DD85" w14:textId="77777777" w:rsidR="003E0F58" w:rsidRPr="007C705C" w:rsidRDefault="003E0F58" w:rsidP="00071BB5">
      <w:pPr>
        <w:pStyle w:val="UZEINormaln"/>
      </w:pPr>
      <w:r w:rsidRPr="007C705C">
        <w:t>Hodnocení dopadů sucha na kukuřici a trvalé travní porosty v roce 2015</w:t>
      </w:r>
    </w:p>
    <w:p w14:paraId="3EE44169" w14:textId="77777777" w:rsidR="003E0F58" w:rsidRPr="007C705C" w:rsidRDefault="003E0F58" w:rsidP="00071BB5">
      <w:pPr>
        <w:pStyle w:val="UZEINormaln"/>
      </w:pPr>
      <w:r w:rsidRPr="007C705C">
        <w:t>Žalud, Zdeněk -- Semerádová, Daniela -- Klír, Jan -- Čermák, Pavel -- Loučka, Radko -- Hlavinka, Petr -- Bartošová, Lenka -- Balek, Jan -- Trnka, Miroslav</w:t>
      </w:r>
    </w:p>
    <w:p w14:paraId="55AE29FE" w14:textId="77777777" w:rsidR="003E0F58" w:rsidRPr="007C705C" w:rsidRDefault="003E0F58" w:rsidP="00071BB5">
      <w:pPr>
        <w:pStyle w:val="UZEINormaln"/>
      </w:pPr>
      <w:r w:rsidRPr="007C705C">
        <w:t>Hodnocení dopadů sucha na kukuřici a trvalé travní porosty v roce 2015. In Půdní a zemědělské sucho. 1. vyd. Výzkumný ústav meliorací a ochrany půdy, 2016, s. 567--581. ISBN 978-80-87361-55-9.</w:t>
      </w:r>
    </w:p>
    <w:p w14:paraId="158DCEBE" w14:textId="77777777" w:rsidR="003E0F58" w:rsidRPr="007C705C" w:rsidRDefault="003E0F58" w:rsidP="00071BB5">
      <w:pPr>
        <w:pStyle w:val="UZEINormaln"/>
      </w:pPr>
      <w:r w:rsidRPr="007C705C">
        <w:t>MZe, 2018. SITUAČNÍ A VÝHLEDOVÁ ZPRÁVA PŮDA, listopad 2018, Mze, Praha, ISBN 978-80-7434-476-3</w:t>
      </w:r>
    </w:p>
    <w:p w14:paraId="7C40FDDA" w14:textId="77777777" w:rsidR="003E0F58" w:rsidRPr="007C705C" w:rsidRDefault="003E0F58" w:rsidP="00071BB5">
      <w:pPr>
        <w:pStyle w:val="UZEINormaln"/>
      </w:pPr>
      <w:r w:rsidRPr="007C705C">
        <w:t>HŮLA, Josef a Blanka PROCHÁZKOVÁ. Minimalizace zpracování půdy. 1. vyd. Praha: Profi Press, 2008. 248 s. ISBN 9788086726281.</w:t>
      </w:r>
    </w:p>
    <w:p w14:paraId="64578230" w14:textId="77777777" w:rsidR="003E0F58" w:rsidRPr="007C705C" w:rsidRDefault="003E0F58" w:rsidP="00071BB5">
      <w:pPr>
        <w:pStyle w:val="UZEINormaln"/>
      </w:pPr>
      <w:r w:rsidRPr="007C705C">
        <w:t>VUMOP, 2017. LIMITY VYUŽITÍ PŮDY. VUMOP/Mze, Praha 2017, ISBN 978-80-7434-364-3</w:t>
      </w:r>
    </w:p>
    <w:p w14:paraId="0C2A5E28" w14:textId="77777777" w:rsidR="003E0F58" w:rsidRPr="007C705C" w:rsidRDefault="003E0F58" w:rsidP="00071BB5">
      <w:pPr>
        <w:pStyle w:val="UZEINormaln"/>
      </w:pPr>
      <w:r w:rsidRPr="007C705C">
        <w:t>NV 335/2009. Nařízení vlády č. 335/2009 Sb. Nařízení vlády o stanovení druhů krajinných prvků v aktuálním znění č. 307/2014 Sb.</w:t>
      </w:r>
    </w:p>
    <w:p w14:paraId="506ADB87" w14:textId="77777777" w:rsidR="003E0F58" w:rsidRPr="007C705C" w:rsidRDefault="003E0F58" w:rsidP="00071BB5">
      <w:pPr>
        <w:pStyle w:val="UZEINormaln"/>
      </w:pPr>
      <w:r w:rsidRPr="007C705C">
        <w:t>VÁŠKA, Jiří, Pavel DVOŘÁK, Pavel KOVÁŘ, František HRÁDEK, František KULHAVÝ a Václav KURÁŽ. Hydromeliorace. 1. Praha: Česká komora autorizovaných inženýrů a techniků, 2000. ISBN 80-86426-01-7.</w:t>
      </w:r>
    </w:p>
    <w:p w14:paraId="2E74B052" w14:textId="77777777" w:rsidR="003E0F58" w:rsidRPr="007C705C" w:rsidRDefault="003E0F58" w:rsidP="00071BB5">
      <w:pPr>
        <w:pStyle w:val="UZEINormaln"/>
      </w:pPr>
      <w:r w:rsidRPr="007C705C">
        <w:lastRenderedPageBreak/>
        <w:t>VOPRAVIL, J., ROŽNOVSKÝ J. A KOL. 2012. Možnosti řešení degradace půdy a její ovlivnění změnou klimatu na příkladu aridních oblastí ZÁVĚREČNÁ ZPRÁVA, VUMOP, 2012. 31 str.</w:t>
      </w:r>
    </w:p>
    <w:p w14:paraId="4D9D114E" w14:textId="77777777" w:rsidR="003E0F58" w:rsidRPr="007C705C" w:rsidRDefault="003E0F58" w:rsidP="00071BB5">
      <w:pPr>
        <w:pStyle w:val="UZEINormaln"/>
      </w:pPr>
      <w:r w:rsidRPr="007C705C">
        <w:t>VOPRAVIL, J., KHEL, T., ŘEHÁČEK, D., 2017. Výstupní zpráva veřejné zakázky MZe: Komplexní systém stabilizace organické hmoty v půdě ve vazbě na jakost vod - etapa II. 86 str.</w:t>
      </w:r>
    </w:p>
    <w:p w14:paraId="1DADBD2C" w14:textId="77777777" w:rsidR="003E0F58" w:rsidRPr="007C705C" w:rsidRDefault="003E0F58" w:rsidP="00071BB5">
      <w:pPr>
        <w:pStyle w:val="UZEINormaln"/>
      </w:pPr>
      <w:r w:rsidRPr="007C705C">
        <w:t>MIKESKA, M., 2003. Zalesňování nelesních půd v praxi. LESNICKÁ PRÁCE 10, 19–21.</w:t>
      </w:r>
    </w:p>
    <w:p w14:paraId="2D3F00AD" w14:textId="77777777" w:rsidR="003E0F58" w:rsidRPr="007C705C" w:rsidRDefault="003E0F58" w:rsidP="00071BB5">
      <w:pPr>
        <w:pStyle w:val="UZEINormaln"/>
      </w:pPr>
      <w:r w:rsidRPr="007C705C">
        <w:t>WELTE E., 1963: Der Ab-, Auf- und Umbau der Humusstoffeimbodenund seine Bedeutung fur die Bodenfruchtbarkeit. Bodenkultur 14, 1963, č. 2: 97–111.</w:t>
      </w:r>
    </w:p>
    <w:p w14:paraId="6509AF75" w14:textId="77777777" w:rsidR="003E0F58" w:rsidRPr="007C705C" w:rsidRDefault="003E0F58" w:rsidP="00071BB5">
      <w:pPr>
        <w:pStyle w:val="UZEINormaln"/>
      </w:pPr>
      <w:r w:rsidRPr="007C705C">
        <w:t>GEISSELER, D., AND K.M. SCOW. 2014. Long-term effects of mineral fertilizers on soil microorganisms-A review. Soil Biol. Biochem.75: 54-63</w:t>
      </w:r>
    </w:p>
    <w:p w14:paraId="3F9D07B3" w14:textId="77777777" w:rsidR="003E0F58" w:rsidRPr="007C705C" w:rsidRDefault="003E0F58" w:rsidP="00071BB5">
      <w:pPr>
        <w:pStyle w:val="UZEINormaln"/>
      </w:pPr>
      <w:r w:rsidRPr="007C705C">
        <w:t>DICK, W.A., AND E.G. GREGORICH. 2004. Developing and maintaining soil organic matter levels. pp 103-120. In P. Schjonning, S. Elmholt and B.T. Christenson (Eds.). Managing soil quality: Challenges in modern agriculture CAB Int’l.</w:t>
      </w:r>
    </w:p>
    <w:p w14:paraId="063D42F6" w14:textId="77777777" w:rsidR="003E0F58" w:rsidRPr="007C705C" w:rsidRDefault="003E0F58" w:rsidP="00071BB5">
      <w:pPr>
        <w:pStyle w:val="UZEINormaln"/>
      </w:pPr>
      <w:r w:rsidRPr="007C705C">
        <w:t>DEB, S.P, B.S. BHADORIA, B. MANDAL, A. RAKSHIT, AND H.B. SINGH. 2015. Soil organic carbon towards better soil health, productivity and climate change mitigation. Change Environ Sust. 3:26-34. doi: 10.5958/2320-642X.2015.000034.</w:t>
      </w:r>
    </w:p>
    <w:p w14:paraId="773E7E2D" w14:textId="77777777" w:rsidR="003E0F58" w:rsidRPr="007C705C" w:rsidRDefault="003E0F58" w:rsidP="00071BB5">
      <w:pPr>
        <w:pStyle w:val="UZEINormaln"/>
      </w:pPr>
      <w:r w:rsidRPr="007C705C">
        <w:t>FANTA J., 2014. Krajina pro 21. století. In: Fanta J. &amp; P. Petřík (eds.), Povodně a sucho – krajina jako základ řešení. BÚ AV ČR, Průhonice, s. 123</w:t>
      </w:r>
      <w:r w:rsidRPr="007C705C">
        <w:rPr>
          <w:rFonts w:eastAsia="Cambria Math"/>
        </w:rPr>
        <w:t>‐</w:t>
      </w:r>
      <w:r w:rsidRPr="007C705C">
        <w:t>129.</w:t>
      </w:r>
    </w:p>
    <w:p w14:paraId="337B87FF" w14:textId="77777777" w:rsidR="003E0F58" w:rsidRPr="007C705C" w:rsidRDefault="003E0F58" w:rsidP="00071BB5">
      <w:pPr>
        <w:pStyle w:val="UZEINormaln"/>
      </w:pPr>
      <w:r w:rsidRPr="007C705C">
        <w:t>MORGAN R.P.C. (2005): Soil Erosion and Conservation. 3rd Ed. Oxford, Blackwell Publishing.</w:t>
      </w:r>
    </w:p>
    <w:p w14:paraId="251D2106" w14:textId="77777777" w:rsidR="003E0F58" w:rsidRPr="007C705C" w:rsidRDefault="003E0F58" w:rsidP="00071BB5">
      <w:pPr>
        <w:pStyle w:val="UZEINormaln"/>
      </w:pPr>
      <w:r w:rsidRPr="007C705C">
        <w:t>JANEČEK, M., DOSTÁL T., KOZLOVSKY DUFKOVÁ J., et al. Ochrana zemědělské půdy před erozí. Praha: Powerprint, 2012. ISBN 978-80-87415-42-9.</w:t>
      </w:r>
    </w:p>
    <w:p w14:paraId="69889F6B" w14:textId="77777777" w:rsidR="003E0F58" w:rsidRPr="007C705C" w:rsidRDefault="003E0F58" w:rsidP="00071BB5">
      <w:pPr>
        <w:pStyle w:val="UZEINormaln"/>
      </w:pPr>
      <w:r w:rsidRPr="007C705C">
        <w:t>BRADY, N.C., WEIL, R.R. The nature and properties of Soils. Simon &amp; Schuster, New Persey, 1999. s. 880. ISBN 0- 13 – 016763-0</w:t>
      </w:r>
    </w:p>
    <w:p w14:paraId="3958CD93" w14:textId="77777777" w:rsidR="003E0F58" w:rsidRPr="007C705C" w:rsidRDefault="003E0F58" w:rsidP="00071BB5">
      <w:pPr>
        <w:pStyle w:val="UZEINormaln"/>
      </w:pPr>
      <w:r w:rsidRPr="007C705C">
        <w:t>IPCC, 2014. Climate Change 2014: Mitigation of Climate Change... Cambridge University Press, Cambridge, United Kingdom and New York, NY, USA. ISBN 978-1-107-05821-7.</w:t>
      </w:r>
    </w:p>
    <w:p w14:paraId="1ED343FD" w14:textId="77777777" w:rsidR="003E0F58" w:rsidRPr="007C705C" w:rsidRDefault="003E0F58" w:rsidP="00071BB5">
      <w:pPr>
        <w:pStyle w:val="UZEINormaln"/>
      </w:pPr>
      <w:r w:rsidRPr="007C705C">
        <w:t>BRONICK C.J., LAL R. (2005): Soil structure and management: A review. Geoderma, 124: 3–22.</w:t>
      </w:r>
    </w:p>
    <w:p w14:paraId="29E4149B" w14:textId="77777777" w:rsidR="003E0F58" w:rsidRPr="007C705C" w:rsidRDefault="003E0F58" w:rsidP="00071BB5">
      <w:pPr>
        <w:pStyle w:val="UZEINormaln"/>
      </w:pPr>
      <w:r w:rsidRPr="007C705C">
        <w:t>ČERNÝ, Z., NERUDA, J., PROCHÁZKA, O., LOKVENC, T., 1995. Zalesňování nelesních půd. Institut výchovy a vzdělávání ministerstva zemědělství České republiky.</w:t>
      </w:r>
    </w:p>
    <w:p w14:paraId="2DF75407" w14:textId="77777777" w:rsidR="003E0F58" w:rsidRPr="007C705C" w:rsidRDefault="003E0F58" w:rsidP="00071BB5">
      <w:pPr>
        <w:pStyle w:val="UZEINormaln"/>
      </w:pPr>
      <w:r w:rsidRPr="007C705C">
        <w:t>KOM (2010)66, 2010. ZELENÁ KNIHA, Ochrana lesů a související informace v EU – příprava lesů na změnu klimatu. (No. SEK(2010)163 final). Brusel.</w:t>
      </w:r>
    </w:p>
    <w:p w14:paraId="045F6298" w14:textId="77777777" w:rsidR="003E0F58" w:rsidRPr="007C705C" w:rsidRDefault="003E0F58" w:rsidP="00071BB5">
      <w:pPr>
        <w:pStyle w:val="UZEINormaln"/>
      </w:pPr>
      <w:r w:rsidRPr="007C705C">
        <w:t xml:space="preserve">MCPFE, 2007. STATE OF EUROPE’S FORESTS 2007 The MCPFE Report on Sustainable Forest Management in Europe MCPFE Liasion Unit Warsaw </w:t>
      </w:r>
      <w:r w:rsidRPr="007C705C">
        <w:rPr>
          <w:rStyle w:val="Hypertextovodkaz"/>
          <w:rFonts w:cs="Times New Roman"/>
        </w:rPr>
        <w:t>www.mcpfe.org</w:t>
      </w:r>
      <w:r w:rsidRPr="007C705C">
        <w:t>. Ministerial Conference on the Protection of Forests in Europe Liaison Unit Warsaw, Warsav.</w:t>
      </w:r>
      <w:r w:rsidRPr="007C705C" w:rsidDel="00E01C8C">
        <w:t xml:space="preserve"> </w:t>
      </w:r>
    </w:p>
    <w:p w14:paraId="5A5610B9" w14:textId="77777777" w:rsidR="003E0F58" w:rsidRPr="007C705C" w:rsidRDefault="003E0F58" w:rsidP="00071BB5">
      <w:pPr>
        <w:pStyle w:val="UZEINormaln"/>
      </w:pPr>
      <w:r w:rsidRPr="007C705C">
        <w:t>VOPRAVIL J., PODRÁZSKÝ V., HOLUBÍK O., VACEK S., BEITLEROVÁ, H., VACEK Z., Principy zakládání porostů na bývalé zemědělské půdě v rámci ploch vymezených k zalesnění, VUMOP, 2017. ISBN 978-80-87361-69-6.</w:t>
      </w:r>
    </w:p>
    <w:p w14:paraId="32CC6931" w14:textId="77777777" w:rsidR="003E0F58" w:rsidRPr="007C705C" w:rsidRDefault="003E0F58" w:rsidP="00071BB5">
      <w:pPr>
        <w:pStyle w:val="UZEINormaln"/>
      </w:pPr>
      <w:r w:rsidRPr="007C705C">
        <w:t>VOPRAVIL, J., KHEL, T., VRABCOVÁ, T. et al. Půda a její hodnocení v ČR díl I. 2. vyd. Praha: Výzkumný ústav meliorací a ochrany půdy,v.v.i, 2010. ISBN 978-80-87361-05-4.</w:t>
      </w:r>
    </w:p>
    <w:p w14:paraId="66EC4A6D" w14:textId="77777777" w:rsidR="003E0F58" w:rsidRPr="007C705C" w:rsidRDefault="003E0F58" w:rsidP="00071BB5">
      <w:pPr>
        <w:pStyle w:val="UZEINormaln"/>
        <w:rPr>
          <w:rStyle w:val="Hypertextovodkaz"/>
          <w:rFonts w:cs="Times New Roman"/>
        </w:rPr>
      </w:pPr>
      <w:r w:rsidRPr="007C705C">
        <w:t xml:space="preserve">VUMOP, 2018. Mapy hydrologických funkcí půdy. </w:t>
      </w:r>
      <w:hyperlink r:id="rId48">
        <w:r w:rsidRPr="007C705C">
          <w:rPr>
            <w:rStyle w:val="Hypertextovodkaz"/>
            <w:rFonts w:cs="Times New Roman"/>
          </w:rPr>
          <w:t>https://www.vumop.cz/nove-mapy-hydrologickych-funkci-pud</w:t>
        </w:r>
      </w:hyperlink>
    </w:p>
    <w:p w14:paraId="11F01855" w14:textId="77777777" w:rsidR="003E0F58" w:rsidRPr="007C705C" w:rsidRDefault="003E0F58" w:rsidP="00071BB5">
      <w:pPr>
        <w:pStyle w:val="UZEINormaln"/>
      </w:pPr>
      <w:r w:rsidRPr="007C705C">
        <w:lastRenderedPageBreak/>
        <w:t>de Brogniez D., C. Ballabio, A. Stevens, R. J. A. Jones, L. Montanarella and B. van Wesemael (2014). A map of the topsoil organic carbon content of Europe generated by a generalized additive model. European Journal of Soil Science. 66(1): 121-134 . doi: 10.1111/ejss.12193</w:t>
      </w:r>
    </w:p>
    <w:p w14:paraId="42E23B76" w14:textId="77777777" w:rsidR="003E0F58" w:rsidRPr="007C705C" w:rsidRDefault="003E0F58" w:rsidP="00071BB5">
      <w:pPr>
        <w:pStyle w:val="UZEINormaln"/>
      </w:pPr>
      <w:r w:rsidRPr="007C705C">
        <w:t>Jones, R.J.A, R. Hiederer, E. Rusco, P.J. Loveland and L. Montanarella (2005). Estimating organic carbon in the soils of Europe for policy support. European Journal of Soil Science, October 2005, 56, p.655-671.</w:t>
      </w:r>
    </w:p>
    <w:p w14:paraId="7C0FFBC0" w14:textId="77777777" w:rsidR="003E0F58" w:rsidRPr="007C705C" w:rsidRDefault="003E0F58" w:rsidP="00071BB5">
      <w:pPr>
        <w:pStyle w:val="UZEINormaln"/>
      </w:pPr>
      <w:r w:rsidRPr="007C705C">
        <w:t>Louwagie G., S. H. Gay, and A. Burrell, Final report on the project ‘Sustainable Agriculture and Soil Conservation (SoCo)’ JRC Scientific and Technical Reports (Luxembourg: European Commission, Joint Research Centre, 2009).</w:t>
      </w:r>
    </w:p>
    <w:p w14:paraId="24240116" w14:textId="6009FF16" w:rsidR="003E0F58" w:rsidRPr="007C705C" w:rsidRDefault="003E0F58" w:rsidP="00071BB5">
      <w:pPr>
        <w:pStyle w:val="UZEINormaln"/>
      </w:pPr>
      <w:r w:rsidRPr="007C705C">
        <w:t>Stevenson, F. J. Cycles of soil. Carbon, Nitrogen, Phosporus, Sulfur, Micronutrients. John Wiley &amp; Sons, Inc. 1985. p. 380.</w:t>
      </w:r>
    </w:p>
    <w:p w14:paraId="144A6516" w14:textId="77777777" w:rsidR="003E0F58" w:rsidRPr="007C705C" w:rsidRDefault="003E0F58" w:rsidP="00071BB5">
      <w:pPr>
        <w:pStyle w:val="UZEINormaln"/>
      </w:pPr>
      <w:r w:rsidRPr="007C705C">
        <w:t xml:space="preserve">http://eagri.cz/public/web/mze/tiskovy-servis/tiskove-zpravy/x2016_ministr-zemedelstvi-splnili-jsme-slib.html </w:t>
      </w:r>
    </w:p>
    <w:p w14:paraId="6410D0A2" w14:textId="77777777" w:rsidR="00647056" w:rsidRPr="00B96B9F" w:rsidRDefault="00647056" w:rsidP="00647056">
      <w:pPr>
        <w:pStyle w:val="UZEINormaln"/>
      </w:pPr>
      <w:r w:rsidRPr="00B96B9F">
        <w:t>Národní program snižování emisí České republiky, schválen dne 2. prosince 2015 usnesením vlády České republiky č. 978. Praha: Ministerstvo životního prostřední ČR a související Aktualizace Národního programu snižování emisí ČR 2019.</w:t>
      </w:r>
    </w:p>
    <w:p w14:paraId="7420C764" w14:textId="77777777" w:rsidR="00647056" w:rsidRPr="00B96B9F" w:rsidRDefault="00647056" w:rsidP="00647056">
      <w:pPr>
        <w:pStyle w:val="UZEINormaln"/>
      </w:pPr>
      <w:r w:rsidRPr="00B96B9F">
        <w:t xml:space="preserve">National Inventory Submissions 2019. United Nations Framework Convention on Climate Change [online]. 12. 4. 2019 [cit. 2019-06-06]. Dostupné z: </w:t>
      </w:r>
      <w:hyperlink r:id="rId49" w:history="1">
        <w:r w:rsidRPr="00B96B9F">
          <w:rPr>
            <w:rStyle w:val="Hypertextovodkaz"/>
          </w:rPr>
          <w:t>https://1url.cz/@NIS_2019</w:t>
        </w:r>
      </w:hyperlink>
    </w:p>
    <w:p w14:paraId="288E40CA" w14:textId="77777777" w:rsidR="00647056" w:rsidRPr="00B96B9F" w:rsidRDefault="00647056" w:rsidP="00647056">
      <w:pPr>
        <w:pStyle w:val="UZEINormaln"/>
      </w:pPr>
      <w:r w:rsidRPr="00B96B9F">
        <w:t>Nitrátová směrnice (předpis Evropské unie 91/676/EHS – uplatněna v § 33 vodního zákona č. 254/2001 Sb.) Prováděcím předpisem je nařízení vlády č. 262/2012 Sb., o stanovení zranitelných oblastí a akčním programu, ve znění pozdějších předpisů a všechny navazující předpisy</w:t>
      </w:r>
    </w:p>
    <w:p w14:paraId="1EBC3F93" w14:textId="77777777" w:rsidR="00647056" w:rsidRPr="00B96B9F" w:rsidRDefault="00647056" w:rsidP="00647056">
      <w:pPr>
        <w:pStyle w:val="UZEINormaln"/>
      </w:pPr>
      <w:r w:rsidRPr="00B96B9F">
        <w:t>OTRUBOVÁ, M. Zemědělství jako hlavní producent amoniaku. In: Agropress.cz: Zemědělství, živočišná výroba, články, reportáže a rozhovory [online]. 7. 12. 2017 [cit. 2019-06-03]. Dostupné z: &lt;</w:t>
      </w:r>
      <w:hyperlink r:id="rId50" w:history="1">
        <w:r w:rsidRPr="00B96B9F">
          <w:rPr>
            <w:rStyle w:val="Hypertextovodkaz"/>
            <w:rFonts w:eastAsiaTheme="minorEastAsia"/>
          </w:rPr>
          <w:t>http://www.agropress.cz/snizovani-amoniaku-ve-staji/</w:t>
        </w:r>
      </w:hyperlink>
      <w:r w:rsidRPr="00B96B9F">
        <w:t>&gt;.</w:t>
      </w:r>
    </w:p>
    <w:p w14:paraId="36DFA36C" w14:textId="77777777" w:rsidR="00647056" w:rsidRPr="00B96B9F" w:rsidRDefault="00647056" w:rsidP="00647056">
      <w:pPr>
        <w:pStyle w:val="UZEINormaln"/>
      </w:pPr>
      <w:r w:rsidRPr="00B96B9F">
        <w:t>Pařížská dohoda (prosinec 2015)</w:t>
      </w:r>
    </w:p>
    <w:p w14:paraId="3FCFB162" w14:textId="77777777" w:rsidR="00647056" w:rsidRPr="00B96B9F" w:rsidRDefault="00647056" w:rsidP="00647056">
      <w:pPr>
        <w:pStyle w:val="UZEINormaln"/>
      </w:pPr>
      <w:r w:rsidRPr="00B96B9F">
        <w:t>Prováděcí rozhodnutí Komise (EU) 2017/302 ze dne 15. února 2017, kterým se stanoví závěry o nejlepších dostupných technikách (BAT) podle směrnice Evropského parlamentu a Rady 2010/75/EU pro intenzivní chov drůbeže nebo prasat (oznámeno pod číslem C(2017) 688)</w:t>
      </w:r>
    </w:p>
    <w:p w14:paraId="1DD4CEA7" w14:textId="77777777" w:rsidR="00647056" w:rsidRPr="00B96B9F" w:rsidRDefault="00647056" w:rsidP="00647056">
      <w:pPr>
        <w:pStyle w:val="UZEINormaln"/>
      </w:pPr>
      <w:r w:rsidRPr="00B96B9F">
        <w:t>Průběžná hodnotící zpráva Naviga4, 31. 12. 2017</w:t>
      </w:r>
    </w:p>
    <w:p w14:paraId="4DB8598C" w14:textId="77777777" w:rsidR="00647056" w:rsidRPr="00B96B9F" w:rsidRDefault="00647056" w:rsidP="00647056">
      <w:pPr>
        <w:pStyle w:val="UZEINormaln"/>
      </w:pPr>
      <w:r w:rsidRPr="00B96B9F">
        <w:t>Snižování emisí amoniaku: Seznam ověřených biotechnologických přípravků pro snížení emisí amoniaku a snížení zápachu. Výzkumný ústav zemědělské techniky, v. v. i. [online]. [cit. 2019-06-06]. Dostupné z: &lt;</w:t>
      </w:r>
      <w:hyperlink r:id="rId51" w:history="1">
        <w:r w:rsidRPr="00B96B9F">
          <w:rPr>
            <w:rStyle w:val="Hypertextovodkaz"/>
            <w:rFonts w:eastAsiaTheme="minorEastAsia"/>
          </w:rPr>
          <w:t>http://www.vuzt.cz/index.php?I=A91</w:t>
        </w:r>
      </w:hyperlink>
      <w:r w:rsidRPr="00B96B9F">
        <w:t>&gt;.</w:t>
      </w:r>
    </w:p>
    <w:p w14:paraId="14510B63" w14:textId="77777777" w:rsidR="00647056" w:rsidRPr="00B96B9F" w:rsidRDefault="00647056" w:rsidP="00647056">
      <w:pPr>
        <w:pStyle w:val="UZEINormaln"/>
      </w:pPr>
      <w:r w:rsidRPr="00B96B9F">
        <w:t>Soupis hospodářských zvířat – k 1. 4. 2019. Český statistický úřad [online]. 1. 4. 2019 [cit. 2019-06-06]. Dostupné z: &lt;</w:t>
      </w:r>
      <w:hyperlink r:id="rId52" w:tgtFrame="blank" w:history="1">
        <w:r w:rsidRPr="00B96B9F">
          <w:rPr>
            <w:rStyle w:val="Hypertextovodkaz"/>
            <w:rFonts w:eastAsiaTheme="minorEastAsia"/>
          </w:rPr>
          <w:t>https://1url.cz/@CSU_soupis_HZ</w:t>
        </w:r>
      </w:hyperlink>
      <w:r w:rsidRPr="00B96B9F">
        <w:t>&gt;.</w:t>
      </w:r>
    </w:p>
    <w:p w14:paraId="042E98DB" w14:textId="77777777" w:rsidR="00647056" w:rsidRPr="00B96B9F" w:rsidRDefault="00647056" w:rsidP="00647056">
      <w:pPr>
        <w:pStyle w:val="UZEINormaln"/>
      </w:pPr>
      <w:r w:rsidRPr="00B96B9F">
        <w:t>Spotřeba hnojiv za hospodářský rok. ČESKÝ STATISTICKÝ ÚŘAD [online]. Vygenerováno 06.06.2019 15:42:12 [cit. 2019-06-06]. Dostupné z: &lt;</w:t>
      </w:r>
      <w:hyperlink r:id="rId53" w:history="1">
        <w:r w:rsidRPr="00B96B9F">
          <w:rPr>
            <w:rStyle w:val="Hypertextovodkaz"/>
            <w:rFonts w:eastAsiaTheme="minorEastAsia"/>
          </w:rPr>
          <w:t>https://1url.cz/@CSU_hnojiva</w:t>
        </w:r>
      </w:hyperlink>
      <w:r w:rsidRPr="00B96B9F">
        <w:t>&gt;.</w:t>
      </w:r>
    </w:p>
    <w:p w14:paraId="0AAAAC67" w14:textId="77777777" w:rsidR="00647056" w:rsidRPr="00B96B9F" w:rsidRDefault="00647056" w:rsidP="00647056">
      <w:pPr>
        <w:pStyle w:val="UZEINormaln"/>
      </w:pPr>
      <w:r w:rsidRPr="00B96B9F">
        <w:t>Statistická šetření ekologického zemědělství (každoroční výstupy z tematického úkolu 4212), ÚZEI</w:t>
      </w:r>
    </w:p>
    <w:p w14:paraId="45EC7E21" w14:textId="77777777" w:rsidR="00647056" w:rsidRPr="00B96B9F" w:rsidRDefault="00647056" w:rsidP="00647056">
      <w:pPr>
        <w:pStyle w:val="UZEINormaln"/>
      </w:pPr>
      <w:r w:rsidRPr="00B96B9F">
        <w:t>Střednědobá strategie (do roku 2020) zlepšení kvality ovzduší v České republice. Praha: Ministerstvo zemědělství České republiky, 2017</w:t>
      </w:r>
    </w:p>
    <w:p w14:paraId="1DC32FE3" w14:textId="77777777" w:rsidR="00647056" w:rsidRDefault="00647056" w:rsidP="00071BB5">
      <w:pPr>
        <w:pStyle w:val="UZEINormaln"/>
      </w:pPr>
    </w:p>
    <w:p w14:paraId="0514CA66" w14:textId="7798034A" w:rsidR="003E0F58" w:rsidRPr="007C705C" w:rsidRDefault="003E0F58" w:rsidP="00071BB5">
      <w:pPr>
        <w:pStyle w:val="UZEINormaln"/>
      </w:pPr>
      <w:r w:rsidRPr="007C705C">
        <w:lastRenderedPageBreak/>
        <w:t>metodika pro praxi:</w:t>
      </w:r>
    </w:p>
    <w:p w14:paraId="09A55086" w14:textId="77777777" w:rsidR="003E0F58" w:rsidRPr="007C705C" w:rsidRDefault="003E0F58" w:rsidP="00071BB5">
      <w:pPr>
        <w:pStyle w:val="UZEINormaln"/>
      </w:pPr>
      <w:r w:rsidRPr="007C705C">
        <w:t>Využití růstových modelů k hodnocení způsobů hospodaření při pěstování polních plodin</w:t>
      </w:r>
    </w:p>
    <w:p w14:paraId="260ED144" w14:textId="77777777" w:rsidR="003E0F58" w:rsidRPr="007C705C" w:rsidRDefault="003E0F58" w:rsidP="00071BB5">
      <w:pPr>
        <w:pStyle w:val="UZEINormaln"/>
      </w:pPr>
      <w:r w:rsidRPr="007C705C">
        <w:t>a vlivu na půdní procesy, ISBN 978-80-7509-531-2</w:t>
      </w:r>
    </w:p>
    <w:p w14:paraId="217ED41A" w14:textId="77777777" w:rsidR="003E0F58" w:rsidRPr="007C705C" w:rsidRDefault="003E0F58" w:rsidP="00071BB5">
      <w:pPr>
        <w:pStyle w:val="UZEINormaln"/>
      </w:pPr>
      <w:r w:rsidRPr="007C705C">
        <w:t>Strategie financování implementace směrnice Rady 91/676/EHS o ochraně vod před znečištěním dusičnany ze zemědělských zdrojů (nitrátová směrnice)</w:t>
      </w:r>
    </w:p>
    <w:p w14:paraId="199BBE57" w14:textId="77777777" w:rsidR="003E0F58" w:rsidRPr="007C705C" w:rsidRDefault="00DD15F0" w:rsidP="00071BB5">
      <w:pPr>
        <w:pStyle w:val="UZEINormaln"/>
      </w:pPr>
      <w:hyperlink r:id="rId54" w:history="1">
        <w:r w:rsidR="003E0F58" w:rsidRPr="007C705C">
          <w:rPr>
            <w:rStyle w:val="Hypertextovodkaz"/>
            <w:rFonts w:cs="Times New Roman"/>
          </w:rPr>
          <w:t>https://www.zscr.cz/clanek/zemedelci-si-rekli-zhruba-o-pulku-sumy-na-odskodneni-za-sucho-3842</w:t>
        </w:r>
      </w:hyperlink>
    </w:p>
    <w:p w14:paraId="06E1E1BB" w14:textId="77777777" w:rsidR="003E0F58" w:rsidRPr="007C705C" w:rsidRDefault="00DD15F0" w:rsidP="00071BB5">
      <w:pPr>
        <w:pStyle w:val="UZEINormaln"/>
      </w:pPr>
      <w:hyperlink r:id="rId55" w:history="1">
        <w:r w:rsidR="003E0F58" w:rsidRPr="007C705C">
          <w:rPr>
            <w:rStyle w:val="Hypertextovodkaz"/>
            <w:rFonts w:cs="Times New Roman"/>
          </w:rPr>
          <w:t>https://www.esrl.noaa.gov/gmd/ccgg/trends/index.html</w:t>
        </w:r>
      </w:hyperlink>
    </w:p>
    <w:p w14:paraId="0E4766A6" w14:textId="291900AD" w:rsidR="003E0F58" w:rsidRPr="007C705C" w:rsidRDefault="00DD15F0" w:rsidP="00071BB5">
      <w:pPr>
        <w:pStyle w:val="UZEINormaln"/>
        <w:rPr>
          <w:rStyle w:val="Hypertextovodkaz"/>
          <w:rFonts w:cs="Times New Roman"/>
        </w:rPr>
      </w:pPr>
      <w:hyperlink r:id="rId56" w:history="1">
        <w:r w:rsidR="003E0F58" w:rsidRPr="007C705C">
          <w:rPr>
            <w:rStyle w:val="Hypertextovodkaz"/>
            <w:rFonts w:cs="Times New Roman"/>
          </w:rPr>
          <w:t>http://portal.chmi.cz/historicka-data/pocasi/uzemni-teploty</w:t>
        </w:r>
      </w:hyperlink>
    </w:p>
    <w:p w14:paraId="643995F1" w14:textId="77777777" w:rsidR="003E0F58" w:rsidRPr="00071BB5" w:rsidRDefault="003E0F58" w:rsidP="00071BB5">
      <w:pPr>
        <w:pStyle w:val="UZEINormaln"/>
        <w:rPr>
          <w:rFonts w:eastAsiaTheme="minorEastAsia"/>
          <w:b/>
          <w:bCs/>
        </w:rPr>
      </w:pPr>
      <w:r w:rsidRPr="00071BB5">
        <w:rPr>
          <w:rFonts w:eastAsiaTheme="minorEastAsia"/>
          <w:b/>
          <w:bCs/>
        </w:rPr>
        <w:t>LESY:</w:t>
      </w:r>
    </w:p>
    <w:p w14:paraId="103A1BC4" w14:textId="77777777" w:rsidR="003E0F58" w:rsidRPr="007C705C" w:rsidRDefault="003E0F58" w:rsidP="00071BB5">
      <w:pPr>
        <w:pStyle w:val="UZEINormaln"/>
      </w:pPr>
      <w:r w:rsidRPr="007C705C">
        <w:t>Fabiánek, P. 2018: Monitoring zdravotního stavu lesa. In: Knížek M., Liška J. (Eds.) 2018: Výskyt lesních škodlivých činitelů v roce 2017 a jejich očekávaný stav v roce 2018. Strnady, Výzkumný ústav lesního hospodářství a myslivosti, v. v. i., Zpravodaj ochrany lesa. Supplementum 2018, 72 p.,</w:t>
      </w:r>
    </w:p>
    <w:p w14:paraId="2047E02F" w14:textId="77777777" w:rsidR="003E0F58" w:rsidRPr="007C705C" w:rsidRDefault="003E0F58" w:rsidP="00071BB5">
      <w:pPr>
        <w:pStyle w:val="UZEINormaln"/>
        <w:rPr>
          <w:rFonts w:eastAsia="Calibri"/>
        </w:rPr>
      </w:pPr>
      <w:r w:rsidRPr="007C705C">
        <w:rPr>
          <w:rFonts w:eastAsia="Calibri"/>
        </w:rPr>
        <w:t>Fabiánek P., Neudertová Hellebrandová K., 2020: Výsledky plošného monitoringu zdravotního stavu lesa v systematické síti ploch ICP Forests. Lesnická práce (3) 172 – 175.,</w:t>
      </w:r>
    </w:p>
    <w:p w14:paraId="00702479" w14:textId="77777777" w:rsidR="003E0F58" w:rsidRPr="007C705C" w:rsidRDefault="003E0F58" w:rsidP="00071BB5">
      <w:pPr>
        <w:pStyle w:val="UZEINormaln"/>
      </w:pPr>
      <w:r w:rsidRPr="007C705C">
        <w:t>Kacálek D., Mauer O., Podrázský V., Slodičák M. (eds.) 2017: Meliorační a zpevňující funkce lesních dřevin. Výzkumný ústav lesního hospodářství a myslivosti v nakladatelství Lesnická práce, 300 p.,</w:t>
      </w:r>
    </w:p>
    <w:p w14:paraId="6933EEAD" w14:textId="77777777" w:rsidR="003E0F58" w:rsidRPr="007C705C" w:rsidRDefault="003E0F58" w:rsidP="00071BB5">
      <w:pPr>
        <w:pStyle w:val="UZEINormaln"/>
        <w:rPr>
          <w:rFonts w:eastAsia="Calibri"/>
        </w:rPr>
      </w:pPr>
      <w:r w:rsidRPr="007C705C">
        <w:rPr>
          <w:rFonts w:eastAsia="Calibri"/>
        </w:rPr>
        <w:t>Knížek M., Liška J. (eds.) 2020: Výskyt lesních škodlivých činitelů v roce 2019 a jejich očekávaný stav v roce 2020. Strnady, Výzkumný ústav lesního hospodářství a myslivosti, v. v. i., 76 s. Zpravodaj ochrany lesa. Supplementum 2020.,</w:t>
      </w:r>
    </w:p>
    <w:p w14:paraId="08584FF3" w14:textId="77777777" w:rsidR="003E0F58" w:rsidRPr="007C705C" w:rsidRDefault="003E0F58" w:rsidP="00071BB5">
      <w:pPr>
        <w:pStyle w:val="UZEINormaln"/>
      </w:pPr>
      <w:r w:rsidRPr="007C705C">
        <w:t>Liška J., Lubojacký J., Knížek M. 2018: Kalamitní přemnožení lýkožrouta smrkového. Lesnická práce, 97 (9): 88-90.,</w:t>
      </w:r>
    </w:p>
    <w:p w14:paraId="3EFFC7D6" w14:textId="77777777" w:rsidR="003E0F58" w:rsidRPr="007C705C" w:rsidRDefault="003E0F58" w:rsidP="00071BB5">
      <w:pPr>
        <w:pStyle w:val="UZEINormaln"/>
      </w:pPr>
      <w:r w:rsidRPr="007C705C">
        <w:t>Lubojacký J. 2018: Kůrovcová kalamita na severovýchodě Česka. pp. 51-55. In: Knížek M. (ed.): Škodliví činitelé v lesích Česka 2017/2018 – Kůrovcová kalamita a možnosti řešení. Sborník referátů z celostátního semináře s mezinárodní účastí. Průhonice, 19. 4. 2018. Lesní ochranná služba, VÚLHM, v. v. i., Zpravodaj ochrany lesa 21, 63 p.,</w:t>
      </w:r>
    </w:p>
    <w:p w14:paraId="75A23D2C" w14:textId="77777777" w:rsidR="003E0F58" w:rsidRPr="007C705C" w:rsidRDefault="003E0F58" w:rsidP="00071BB5">
      <w:pPr>
        <w:pStyle w:val="UZEINormaln"/>
      </w:pPr>
      <w:r w:rsidRPr="007C705C">
        <w:t>Lubojacký J., Knížek M. 2016: Podkorní hmyz. pp. 19–28. In: Knížek M., Liška J., Modlinger R. (Eds.): Výskyt lesních škodlivých činitelů v roce 2015 a jejich očekávaný stav v roce 2016. Strnady, Výzkumný ústav lesního hospodářství a myslivosti, v. v. i., Zpravodaj ochrany lesa. Supplementum 2016, 66 p.,</w:t>
      </w:r>
    </w:p>
    <w:p w14:paraId="7EDCCF63" w14:textId="77777777" w:rsidR="003E0F58" w:rsidRPr="007C705C" w:rsidRDefault="003E0F58" w:rsidP="00071BB5">
      <w:pPr>
        <w:pStyle w:val="UZEINormaln"/>
        <w:rPr>
          <w:rFonts w:eastAsia="Calibri"/>
        </w:rPr>
      </w:pPr>
      <w:r w:rsidRPr="007C705C">
        <w:rPr>
          <w:rFonts w:eastAsia="Calibri"/>
        </w:rPr>
        <w:t>Lubojacký J., Knížek M., Zahradník P. 2019a: Podkorní hmyz. pp. 19-31. In: Knížek M., Liška J. (Eds.): Výskyt lesních škodlivých činitelů v roce 2018 a jejich očekávaný stav v roce 2019. Strnady, Výzkumný ústav lesního hospodářství a myslivosti, v. v. i., Zpravodaj ochrany lesa. Supplementum 2019, 74 p.,</w:t>
      </w:r>
    </w:p>
    <w:p w14:paraId="780D062B" w14:textId="77777777" w:rsidR="003E0F58" w:rsidRPr="007C705C" w:rsidRDefault="003E0F58" w:rsidP="00071BB5">
      <w:pPr>
        <w:pStyle w:val="UZEINormaln"/>
      </w:pPr>
    </w:p>
    <w:p w14:paraId="26B28D8B" w14:textId="77777777" w:rsidR="003E0F58" w:rsidRPr="007C705C" w:rsidRDefault="003E0F58" w:rsidP="00071BB5">
      <w:pPr>
        <w:pStyle w:val="UZEINormaln"/>
      </w:pPr>
      <w:r w:rsidRPr="007C705C">
        <w:t>Lubojacký J., Knížek M., Zahradník P. 2018: Podkorní hmyz. pp. 21–34. In: Knížek M., Liška J. (Eds.): Výskyt lesních škodlivých činitelů v roce 2017 a jejich očekávaný stav v roce 2018. Strnady, Výzkumný ústav lesního hospodářství a myslivosti, v. v. i., Zpravodaj ochrany lesa. Supplementum 2018, 72 p.,</w:t>
      </w:r>
    </w:p>
    <w:p w14:paraId="2AECD2F5" w14:textId="77777777" w:rsidR="003E0F58" w:rsidRPr="007C705C" w:rsidRDefault="003E0F58" w:rsidP="00071BB5">
      <w:pPr>
        <w:pStyle w:val="UZEINormaln"/>
      </w:pPr>
      <w:r w:rsidRPr="007C705C">
        <w:lastRenderedPageBreak/>
        <w:t>Lubojacký J., Lorenc F., Liška J., Knížek M. 2019: Hlavní problémy v ochraně lesa v Česku v roce 2018 a prognóza na rok 2019. In: Knížek M., Liška J. (eds.): Škodliví činitelé v lesích Česka 2018/2019 – Historie a současnost kůrovcových kalamit ve střední Evropě. Sborník referátů z celostátního semináře s mezinárodní účastí. Průhonice, 16. 4. 2019. Lesní ochranná služba, VÚLHM, v. v. i., Zpravodaj ochrany lesa 22,.</w:t>
      </w:r>
    </w:p>
    <w:p w14:paraId="5A65C317" w14:textId="77777777" w:rsidR="003E0F58" w:rsidRPr="007C705C" w:rsidRDefault="003E0F58" w:rsidP="00071BB5">
      <w:pPr>
        <w:pStyle w:val="UZEINormaln"/>
      </w:pPr>
      <w:r w:rsidRPr="007C705C">
        <w:t>Lubojacký J., Knížek M. 2020: Podkorní hmyz. pp. 22-35. In: Knížek M., Liška J. (Eds.): Výskyt lesních škodlivých činitelů v roce 2019 a jejich očekávaný stav v roce 2020. Výzkumný ústav lesního hospodářství a myslivosti, v. v. i.: Jíloviště-Strnady, Zpravodaj ochrany lesa. Supplementum 2020, 76 p.,</w:t>
      </w:r>
    </w:p>
    <w:p w14:paraId="0CFA2B24" w14:textId="77777777" w:rsidR="003E0F58" w:rsidRPr="007C705C" w:rsidRDefault="003E0F58" w:rsidP="00071BB5">
      <w:pPr>
        <w:pStyle w:val="UZEINormaln"/>
      </w:pPr>
      <w:r w:rsidRPr="007C705C">
        <w:t>Lubojacký J., Knížek M., Lorenc F., Liška J. 2020: Výskyt lesních škodlivých faktorů v Česku v roce 2019. Lesnická práce, 99 (5): 306-310 (18-22).,</w:t>
      </w:r>
    </w:p>
    <w:p w14:paraId="7455B920" w14:textId="77777777" w:rsidR="003E0F58" w:rsidRPr="007C705C" w:rsidRDefault="003E0F58" w:rsidP="00071BB5">
      <w:pPr>
        <w:pStyle w:val="UZEINormaln"/>
      </w:pPr>
      <w:r w:rsidRPr="007C705C">
        <w:t>MZe 2020: Zpráva o stavu lesa a lesního hospodářství České republiky v roce 2019. Ministerstvo zemědělství,,</w:t>
      </w:r>
    </w:p>
    <w:p w14:paraId="17ABF18B" w14:textId="77777777" w:rsidR="003E0F58" w:rsidRPr="007C705C" w:rsidRDefault="003E0F58" w:rsidP="00071BB5">
      <w:pPr>
        <w:pStyle w:val="UZEINormaln"/>
      </w:pPr>
      <w:r w:rsidRPr="007C705C">
        <w:t>MZe 2017: Zpráva o stavu vodního hospodářství České republiky v roce 2017. Ministerstvo zemědělství.</w:t>
      </w:r>
    </w:p>
    <w:p w14:paraId="3A5E3125" w14:textId="77777777" w:rsidR="003E0F58" w:rsidRPr="007C705C" w:rsidRDefault="003E0F58" w:rsidP="00071BB5">
      <w:pPr>
        <w:pStyle w:val="UZEINormaln"/>
      </w:pPr>
      <w:r w:rsidRPr="007C705C">
        <w:t>MZe 2019: Zpráva o stavu lesa a lesního hospodářství České republiky v roce 2018. Ministerstvo zemědělství, 110 p.,</w:t>
      </w:r>
    </w:p>
    <w:p w14:paraId="4A903581" w14:textId="77777777" w:rsidR="003E0F58" w:rsidRPr="007C705C" w:rsidRDefault="003E0F58" w:rsidP="00071BB5">
      <w:pPr>
        <w:pStyle w:val="UZEINormaln"/>
      </w:pPr>
      <w:r w:rsidRPr="007C705C">
        <w:t xml:space="preserve">MZe 2012: Národní lesnický program, </w:t>
      </w:r>
    </w:p>
    <w:p w14:paraId="19616045" w14:textId="77777777" w:rsidR="003E0F58" w:rsidRPr="007C705C" w:rsidRDefault="003E0F58" w:rsidP="00071BB5">
      <w:pPr>
        <w:pStyle w:val="UZEINormaln"/>
      </w:pPr>
      <w:r w:rsidRPr="007C705C">
        <w:t>MZe 2013: Závěry a doporučení Koordinační rady k realizaci Národního lesnického programu II,</w:t>
      </w:r>
    </w:p>
    <w:p w14:paraId="47B6F8B4" w14:textId="77777777" w:rsidR="003E0F58" w:rsidRPr="007C705C" w:rsidRDefault="003E0F58" w:rsidP="00071BB5">
      <w:pPr>
        <w:pStyle w:val="UZEINormaln"/>
      </w:pPr>
      <w:r w:rsidRPr="007C705C">
        <w:t>MŽP 2015: Strategie přizpůsobení se změně klimatu v podmínkách ČR,</w:t>
      </w:r>
    </w:p>
    <w:p w14:paraId="516FEFB9" w14:textId="77777777" w:rsidR="003E0F58" w:rsidRPr="007C705C" w:rsidRDefault="003E0F58" w:rsidP="00071BB5">
      <w:pPr>
        <w:pStyle w:val="UZEINormaln"/>
      </w:pPr>
      <w:r w:rsidRPr="007C705C">
        <w:t>MŽP  2017: Národní akční plán adaptace na změnu klimatu,</w:t>
      </w:r>
    </w:p>
    <w:p w14:paraId="4E4C8058" w14:textId="77777777" w:rsidR="003E0F58" w:rsidRPr="007C705C" w:rsidRDefault="003E0F58" w:rsidP="00071BB5">
      <w:pPr>
        <w:pStyle w:val="UZEINormaln"/>
      </w:pPr>
      <w:r w:rsidRPr="007C705C">
        <w:t>MŽP 2015: Komplexní studie dopadů, zranitelnosti a zdrojů rizik souvisejících se změnou klimatu v ČR. Ministerstvo životního prostředí, Státní fond životního prostředí, 338 p.,</w:t>
      </w:r>
    </w:p>
    <w:p w14:paraId="67E49EA3" w14:textId="77777777" w:rsidR="003E0F58" w:rsidRPr="007C705C" w:rsidRDefault="003E0F58" w:rsidP="00071BB5">
      <w:pPr>
        <w:pStyle w:val="UZEINormaln"/>
      </w:pPr>
      <w:r w:rsidRPr="007C705C">
        <w:t>Novotný R. 2018: Abiotické vlivy a antropogenní činitelé. pp. 14-20. In: Knížek M., Liška J. (Eds.): Výskyt lesních škodlivých činitelů v roce 2017 a jejich očekávaný stav v roce 2018. Strnady, Výzkumný ústav lesního hospodářství a myslivosti, v. v. i., Zpravodaj ochrany lesa. Supplementum 2018, 72 p.,</w:t>
      </w:r>
    </w:p>
    <w:p w14:paraId="48A6B7EB" w14:textId="77777777" w:rsidR="003E0F58" w:rsidRPr="007C705C" w:rsidRDefault="003E0F58" w:rsidP="00071BB5">
      <w:pPr>
        <w:pStyle w:val="UZEINormaln"/>
      </w:pPr>
      <w:r w:rsidRPr="007C705C">
        <w:t>Novotný R. 2018: Abiotické vlivy a antropogenní činitelé. pp. 14-20. In: Knížek M., Liška J. (Eds.): Výskyt lesních škodlivých činitelů v roce 2017 a jejich očekávaný stav v roce 2018. Strnady, Výzkumný ústav lesního hospodářství a myslivosti, v. v. i., Zpravodaj ochrany lesa. Supplementum 2018, 72 p.,</w:t>
      </w:r>
    </w:p>
    <w:p w14:paraId="3EEA9102" w14:textId="77777777" w:rsidR="003E0F58" w:rsidRPr="007C705C" w:rsidRDefault="003E0F58" w:rsidP="00071BB5">
      <w:pPr>
        <w:pStyle w:val="UZEINormaln"/>
      </w:pPr>
      <w:r w:rsidRPr="007C705C">
        <w:t>Novotný R., Buriánek, V., Šrámek, V., Hůnová, I.,  Skořepová, I., Zapletal, M.,  Lomský, B., 2017: Nitrogen deposition and its impact on forest ecosystems in the Czech Republic - change in soil chemistry and ground vegetation. iForest – Biogeosciences and Forestry 10, 48-54,</w:t>
      </w:r>
    </w:p>
    <w:p w14:paraId="47C9BD03" w14:textId="77777777" w:rsidR="003E0F58" w:rsidRPr="007C705C" w:rsidRDefault="003E0F58" w:rsidP="00071BB5">
      <w:pPr>
        <w:pStyle w:val="UZEINormaln"/>
      </w:pPr>
      <w:r w:rsidRPr="007C705C">
        <w:t>Pešková, V., Soukup, F., Knížek, M. 2016: Biotičtí škodliví činitelé na borovici a sucho. Lesní ochranná služba Výzkumného ústavu lesního hospodářství a myslivosti v nakladatelství Lesnická práce, 4 p.,</w:t>
      </w:r>
    </w:p>
    <w:p w14:paraId="2164FA47" w14:textId="77777777" w:rsidR="003E0F58" w:rsidRPr="007C705C" w:rsidRDefault="003E0F58" w:rsidP="00071BB5">
      <w:pPr>
        <w:pStyle w:val="UZEINormaln"/>
      </w:pPr>
      <w:r w:rsidRPr="007C705C">
        <w:t>Šrámek, V., Neduertová Hellebrandová, K., 2016: Mapy ohrožení smrkových porostů suchem jako nástroj identifikace rizikových oblastí. Zprávy lesnického výzkumu 61, 305-309,</w:t>
      </w:r>
    </w:p>
    <w:p w14:paraId="39E235A2" w14:textId="77777777" w:rsidR="003E0F58" w:rsidRPr="007C705C" w:rsidRDefault="003E0F58" w:rsidP="00071BB5">
      <w:pPr>
        <w:pStyle w:val="UZEINormaln"/>
      </w:pPr>
      <w:r w:rsidRPr="007C705C">
        <w:t xml:space="preserve">Šrámek, V., Vejpustková, M., Buriánek, V., Fabiánek, P., Fadrhonsová, V., 2016: Projevy sucha 2015 na plochách monitoringu zdravotního stavu lesů ICP Forests. In: Knížek, M. (ed.): Škodliví činitelé v lesích Česka 2015/2016 – Vliv sucha na stav lesních porostů. Sborník </w:t>
      </w:r>
      <w:r w:rsidRPr="007C705C">
        <w:lastRenderedPageBreak/>
        <w:t>referátů z celostátního semináře s mezinárodní účastí. Průhonice, 14. 4. 2016. Zpravodaj ochrany lesa, 47-50.,</w:t>
      </w:r>
    </w:p>
    <w:p w14:paraId="36305867" w14:textId="77777777" w:rsidR="003E0F58" w:rsidRPr="007C705C" w:rsidRDefault="003E0F58" w:rsidP="00071BB5">
      <w:pPr>
        <w:pStyle w:val="UZEINormaln"/>
      </w:pPr>
      <w:r w:rsidRPr="007C705C">
        <w:t xml:space="preserve">Vejpustková M. (ed.), 2019: Monitoring zdravotního stavu lesa v České republice v rámci programu ICP Forests a navazujících projektů. Data do roku 2018. Strnady, Výzkumný ústav lesního hospodářství a myslivosti, v.v.i., 92 s.,  </w:t>
      </w:r>
    </w:p>
    <w:p w14:paraId="77BC2502" w14:textId="77777777" w:rsidR="003E0F58" w:rsidRPr="007C705C" w:rsidRDefault="003E0F58" w:rsidP="00071BB5">
      <w:pPr>
        <w:pStyle w:val="UZEINormaln"/>
        <w:rPr>
          <w:rFonts w:eastAsia="Calibri"/>
        </w:rPr>
      </w:pPr>
      <w:r w:rsidRPr="007C705C">
        <w:rPr>
          <w:rFonts w:eastAsia="Calibri"/>
        </w:rPr>
        <w:t xml:space="preserve">Agroprojekt PSO s.r.o., Výzkumný ústav meliorací a ochrany půdy, v. v. i.: Větrná eroze půdy v Jihomoravském kraji a návrh jejího řešení. Brno, 2005. </w:t>
      </w:r>
    </w:p>
    <w:p w14:paraId="07E4A368" w14:textId="77777777" w:rsidR="003E0F58" w:rsidRPr="007C705C" w:rsidRDefault="003E0F58" w:rsidP="00071BB5">
      <w:pPr>
        <w:pStyle w:val="UZEINormaln"/>
        <w:rPr>
          <w:rFonts w:eastAsia="Calibri"/>
        </w:rPr>
      </w:pPr>
      <w:r w:rsidRPr="007C705C">
        <w:rPr>
          <w:rFonts w:eastAsia="Calibri"/>
        </w:rPr>
        <w:t>Výzkumný ústav meliorací a ochrany půdy, v. v. i.: Optimalizace funkcí větrolamů v zemědělské krajině. Brno, 2008.</w:t>
      </w:r>
    </w:p>
    <w:p w14:paraId="58AF0226" w14:textId="2BC9D92E" w:rsidR="003E0F58" w:rsidRPr="007C705C" w:rsidRDefault="003E0F58" w:rsidP="003E0F58">
      <w:pPr>
        <w:pStyle w:val="Obsah1"/>
        <w:rPr>
          <w:rFonts w:eastAsiaTheme="minorEastAsia" w:cs="Times New Roman"/>
          <w:noProof/>
          <w:sz w:val="22"/>
          <w:szCs w:val="22"/>
          <w:lang w:val="cs-CZ"/>
        </w:rPr>
        <w:sectPr w:rsidR="003E0F58" w:rsidRPr="007C705C" w:rsidSect="000C297A">
          <w:pgSz w:w="11906" w:h="16838"/>
          <w:pgMar w:top="1417" w:right="1417" w:bottom="1417" w:left="1417" w:header="708" w:footer="708" w:gutter="0"/>
          <w:cols w:space="708"/>
          <w:titlePg/>
          <w:docGrid w:linePitch="360"/>
        </w:sectPr>
      </w:pPr>
      <w:bookmarkStart w:id="572" w:name="_Toc521315969"/>
    </w:p>
    <w:p w14:paraId="629F24AB" w14:textId="1AFCAE5E" w:rsidR="000442AA" w:rsidRDefault="000442AA">
      <w:pPr>
        <w:pStyle w:val="UZEINadpis1stbezsla"/>
      </w:pPr>
      <w:bookmarkStart w:id="573" w:name="_Toc81343109"/>
      <w:bookmarkStart w:id="574" w:name="_Toc81343172"/>
      <w:bookmarkStart w:id="575" w:name="_Toc81343241"/>
      <w:bookmarkStart w:id="576" w:name="_Toc523146649"/>
      <w:bookmarkStart w:id="577" w:name="_Toc523146700"/>
      <w:bookmarkStart w:id="578" w:name="_Ref523214578"/>
      <w:bookmarkStart w:id="579" w:name="_Toc77245903"/>
      <w:bookmarkStart w:id="580" w:name="_Toc94181690"/>
      <w:r>
        <w:lastRenderedPageBreak/>
        <w:t>Přílohy</w:t>
      </w:r>
      <w:bookmarkEnd w:id="573"/>
      <w:bookmarkEnd w:id="574"/>
      <w:bookmarkEnd w:id="575"/>
      <w:bookmarkEnd w:id="580"/>
    </w:p>
    <w:p w14:paraId="491D5228" w14:textId="68A7E7B7" w:rsidR="00D726A3" w:rsidRDefault="0020561F" w:rsidP="00D726A3">
      <w:pPr>
        <w:pStyle w:val="UZEINadpis4st"/>
        <w:rPr>
          <w:rFonts w:eastAsiaTheme="minorEastAsia"/>
        </w:rPr>
      </w:pPr>
      <w:bookmarkStart w:id="581" w:name="_Toc94181691"/>
      <w:r>
        <w:rPr>
          <w:rFonts w:eastAsiaTheme="minorEastAsia"/>
        </w:rPr>
        <w:t>Příloha 1</w:t>
      </w:r>
      <w:r w:rsidR="003E0F58" w:rsidRPr="007C705C">
        <w:rPr>
          <w:rFonts w:eastAsiaTheme="minorEastAsia"/>
        </w:rPr>
        <w:t xml:space="preserve"> ANALÝZA SITUACE PODLE TEMATICKÝCH OBLASTÍ</w:t>
      </w:r>
      <w:bookmarkEnd w:id="572"/>
      <w:bookmarkEnd w:id="576"/>
      <w:bookmarkEnd w:id="577"/>
      <w:bookmarkEnd w:id="578"/>
      <w:r w:rsidR="003E0F58" w:rsidRPr="007C705C">
        <w:rPr>
          <w:rFonts w:eastAsiaTheme="minorEastAsia"/>
        </w:rPr>
        <w:t xml:space="preserve"> (KLIM</w:t>
      </w:r>
      <w:bookmarkEnd w:id="579"/>
      <w:r w:rsidR="00D726A3">
        <w:rPr>
          <w:rFonts w:eastAsiaTheme="minorEastAsia"/>
        </w:rPr>
        <w:t>A)</w:t>
      </w:r>
      <w:bookmarkEnd w:id="581"/>
    </w:p>
    <w:p w14:paraId="0882E852" w14:textId="5608CC9B" w:rsidR="003E0F58" w:rsidRPr="007C705C" w:rsidRDefault="00D726A3" w:rsidP="00961B28">
      <w:pPr>
        <w:pStyle w:val="UZEINadpis2stbezsla"/>
      </w:pPr>
      <w:bookmarkStart w:id="582" w:name="_Toc523146650"/>
      <w:bookmarkStart w:id="583" w:name="_Toc77245904"/>
      <w:bookmarkStart w:id="584" w:name="_Toc81343110"/>
      <w:bookmarkStart w:id="585" w:name="_Toc81343173"/>
      <w:bookmarkStart w:id="586" w:name="_Toc81343242"/>
      <w:r>
        <w:t>Ú</w:t>
      </w:r>
      <w:r w:rsidR="003E0F58" w:rsidRPr="007C705C">
        <w:t>VOD</w:t>
      </w:r>
      <w:bookmarkEnd w:id="582"/>
      <w:bookmarkEnd w:id="583"/>
      <w:bookmarkEnd w:id="584"/>
      <w:bookmarkEnd w:id="585"/>
      <w:bookmarkEnd w:id="586"/>
    </w:p>
    <w:p w14:paraId="2117365B" w14:textId="77777777" w:rsidR="003E0F58" w:rsidRPr="007C705C" w:rsidRDefault="003E0F58" w:rsidP="003E0F58">
      <w:pPr>
        <w:rPr>
          <w:rFonts w:eastAsiaTheme="minorEastAsia" w:cs="Times New Roman"/>
          <w:lang w:val="cs-CZ"/>
        </w:rPr>
      </w:pPr>
      <w:r w:rsidRPr="007C705C">
        <w:rPr>
          <w:rFonts w:eastAsiaTheme="minorEastAsia" w:cs="Times New Roman"/>
          <w:lang w:val="cs-CZ"/>
        </w:rPr>
        <w:t>Podnebí neboli klima je utvářeno vzájemnou interakcí mnoha faktorů. K nejvýznamnějším patří faktory mimozemské (sluneční záření, změny orbitální dráhy Země), vlastnosti zemského povrchu (rozložení pevnin a oceánů, sopečná činnost, vegetační pokryv) a samozřejmě změny uvnitř samotného klimatického systému, k nimž patří také koncentrace tzv. skleníkových plynů (GHG).</w:t>
      </w:r>
    </w:p>
    <w:p w14:paraId="128D0D1D" w14:textId="77777777" w:rsidR="003E0F58" w:rsidRPr="007C705C" w:rsidRDefault="003E0F58" w:rsidP="003E0F58">
      <w:pPr>
        <w:rPr>
          <w:rFonts w:eastAsiaTheme="minorEastAsia" w:cs="Times New Roman"/>
          <w:u w:val="single"/>
          <w:lang w:val="cs-CZ"/>
        </w:rPr>
      </w:pPr>
      <w:r w:rsidRPr="007C705C">
        <w:rPr>
          <w:rFonts w:eastAsiaTheme="minorEastAsia" w:cs="Times New Roman"/>
          <w:u w:val="single"/>
          <w:lang w:val="cs-CZ"/>
        </w:rPr>
        <w:t>Skleníkový efekt</w:t>
      </w:r>
    </w:p>
    <w:p w14:paraId="483CD306" w14:textId="77777777" w:rsidR="003E0F58" w:rsidRPr="007C705C" w:rsidRDefault="003E0F58" w:rsidP="003E0F58">
      <w:pPr>
        <w:rPr>
          <w:rFonts w:eastAsiaTheme="minorEastAsia" w:cs="Times New Roman"/>
          <w:lang w:val="cs-CZ"/>
        </w:rPr>
      </w:pPr>
      <w:r w:rsidRPr="007C705C">
        <w:rPr>
          <w:rFonts w:eastAsiaTheme="minorEastAsia" w:cs="Times New Roman"/>
          <w:lang w:val="cs-CZ"/>
        </w:rPr>
        <w:t>Jako skleníkové plyny se označují některé plyny obsažené ve vzduchu, které díky svým fyzikálním vlastnostem ovlivňují energetickou bilanci atmosféry tak, že v ní zadržují energii. Tento jev se označuje jako skleníkový efekt. Nejdůležitějším skleníkovým plynem v atmosféře je vodní pára, která má na přirozeném skleníkovém efektu podíl 36–70 %. Následuje oxid uhličitý (CO2), metan (CH4), ozon (O3) a oxid dusný (N2O).</w:t>
      </w:r>
    </w:p>
    <w:p w14:paraId="60785D93" w14:textId="77777777" w:rsidR="003E0F58" w:rsidRPr="007C705C" w:rsidRDefault="003E0F58" w:rsidP="003E0F58">
      <w:pPr>
        <w:rPr>
          <w:rFonts w:eastAsiaTheme="minorEastAsia" w:cs="Times New Roman"/>
          <w:lang w:val="cs-CZ"/>
        </w:rPr>
      </w:pPr>
      <w:r w:rsidRPr="007C705C">
        <w:rPr>
          <w:rFonts w:eastAsiaTheme="minorEastAsia" w:cs="Times New Roman"/>
          <w:lang w:val="cs-CZ"/>
        </w:rPr>
        <w:t>Princip skleníkového efektu lze popsat následovně: přibližně 30 % slunečního záření (tzv. krátkovlnné záření) pronikajícího do zemské atmosféry se vrací zpět do kosmu, a to vlivem odrazu od oblačnosti, rozptylu na molekulách vzduchu nebo odrazu od zemského povrchu. Zbylých cca 70 % je pohlceno povrchem (v malé míře i atmosférou), a to má za následek zvýšení teploty povrchu Země a částečně i vzduchu. Podle Planckova zákona ale každé těleso, jehož teplota je vyšší než absolutní nula (–273,15 °C) energii také vyzařuje. To platí i pro zemský povrch, který toto tzv. dlouhovlnné záření rovněž vyzařuje. Pokud by v atmosféře nebyly přítomny skleníkové plyny, dlouhovlnného záření by odcházelo do kosmu. Skleníkové plyny přítomné v atmosféře však část tohoto záření pohlcují a tím dochází k ohřívání vzduchu. Na tomto místě je třeba si uvědomit, že bez skleníkových plynů by byla průměrná teplota atmosféry v blízkosti zemského povrchu asi o 33 °C nižší, než je dnes a Země by pravděpodobně nebyla vhodná pro život, jak ho známe.</w:t>
      </w:r>
    </w:p>
    <w:p w14:paraId="04AACCCA" w14:textId="77777777" w:rsidR="003E0F58" w:rsidRPr="007C705C" w:rsidRDefault="003E0F58" w:rsidP="003E0F58">
      <w:pPr>
        <w:rPr>
          <w:rFonts w:eastAsiaTheme="minorEastAsia" w:cs="Times New Roman"/>
          <w:lang w:val="cs-CZ"/>
        </w:rPr>
      </w:pPr>
      <w:r w:rsidRPr="007C705C">
        <w:rPr>
          <w:rFonts w:eastAsiaTheme="minorEastAsia" w:cs="Times New Roman"/>
          <w:lang w:val="cs-CZ"/>
        </w:rPr>
        <w:t>Některé významné skleníkové plyny, zejména pak oxid uhličitý a metan, jsou součástí přirozených procesů, které na Zemi probíhají. Koloběh těchto plynů tvoří součást tzv. globálního uhlíkového cyklu. Tyto přirozené toky uhlíku jsou dlouhodobě velmi dobře vyrovnány, takže množství uhlíku, které se za rok dostane do atmosféry přirozenými procesy, je přibližně stejné jako množství uhlíku přirozenými procesy odstraněné. Za této situace ale může i poměrně malý (například průmyslový) příspěvek ke zdrojům vést k dlouhodobému systematickému zvyšování koncentrací skleníkových plynů v atmosféře.</w:t>
      </w:r>
    </w:p>
    <w:p w14:paraId="277F0294" w14:textId="77777777" w:rsidR="003E0F58" w:rsidRPr="007C705C" w:rsidRDefault="003E0F58" w:rsidP="003E0F58">
      <w:pPr>
        <w:rPr>
          <w:rFonts w:eastAsiaTheme="minorEastAsia" w:cs="Times New Roman"/>
          <w:u w:val="single"/>
          <w:lang w:val="cs-CZ"/>
        </w:rPr>
      </w:pPr>
      <w:r w:rsidRPr="007C705C">
        <w:rPr>
          <w:rFonts w:eastAsiaTheme="minorEastAsia" w:cs="Times New Roman"/>
          <w:u w:val="single"/>
          <w:lang w:val="cs-CZ"/>
        </w:rPr>
        <w:t>Zemědělské zdroje emisí skleníkových plynů</w:t>
      </w:r>
    </w:p>
    <w:p w14:paraId="4E92AD26" w14:textId="77777777" w:rsidR="003E0F58" w:rsidRPr="007C705C" w:rsidRDefault="003E0F58" w:rsidP="003E0F58">
      <w:pPr>
        <w:rPr>
          <w:rFonts w:eastAsiaTheme="minorEastAsia" w:cs="Times New Roman"/>
          <w:lang w:val="cs-CZ"/>
        </w:rPr>
      </w:pPr>
      <w:r w:rsidRPr="007C705C">
        <w:rPr>
          <w:rFonts w:eastAsiaTheme="minorEastAsia" w:cs="Times New Roman"/>
          <w:lang w:val="cs-CZ"/>
        </w:rPr>
        <w:t>Celosvětově je zemědělství významným zdrojem emisí CO2, CH4, a N2O. Na celkových antropogenních emisích metanu (CH4) se zemědělství podílí ze 47 %. CH4 je produkován, když se organické materiály rozkládají za podmínek s omezeným přístupem kyslíku. Hlavními zdroji je proces trávení u přežvýkavců, skladování a aplikace statkových hnojiv a pěstování rýže na zaplavovaných polích. Na celkových antropogenních emisích oxidu dusného (N2O) se zemědělství podílí z 58 %. N2O se uvolňuje při mikrobiální transformaci dusíku v půdách a jeho emise se často zvyšují, jestliže koncentrace dusíku v půdách přesahují potřeby rostlin.</w:t>
      </w:r>
    </w:p>
    <w:p w14:paraId="6C096C49" w14:textId="77777777" w:rsidR="003E0F58" w:rsidRPr="007C705C" w:rsidRDefault="003E0F58" w:rsidP="003E0F58">
      <w:pPr>
        <w:rPr>
          <w:rFonts w:eastAsiaTheme="minorEastAsia" w:cs="Times New Roman"/>
          <w:lang w:val="cs-CZ"/>
        </w:rPr>
      </w:pPr>
      <w:r w:rsidRPr="007C705C">
        <w:rPr>
          <w:rFonts w:eastAsiaTheme="minorEastAsia" w:cs="Times New Roman"/>
          <w:lang w:val="cs-CZ"/>
        </w:rPr>
        <w:t xml:space="preserve">Se zemědělstvím také úzce souvisí emise CO2, který se uvolňuje v souvislosti s rozkladem půdní organické hmoty. Při narušení povrchu půd orbou se urychluje dekompozice organické hmoty a dochází k úbytku půdního organického uhlíku ve formě CO2. Obecně platí, že k úbytku půdního organického C obvykle dochází při přeměně travních porostů, lesů nebo jiných přírodních ekosystémů na ornou půdu nebo při vysoušení, obdělávání nebo vápnění vysoce organických půd (jako jsou například rašeliniště). Obsah půdního organického uhlíku se naopak obvykle zvyšuje při obnově travních porostů, lesů nebo přírodní vegetace na orné půdě nebo při obnově organických půd do jejich původního stavu. Tento druhý proces je důležitý, protože </w:t>
      </w:r>
      <w:r w:rsidRPr="007C705C">
        <w:rPr>
          <w:rFonts w:eastAsiaTheme="minorEastAsia" w:cs="Times New Roman"/>
          <w:lang w:val="cs-CZ"/>
        </w:rPr>
        <w:lastRenderedPageBreak/>
        <w:t>představuje významnou možnost, jak zachycovat emise CO2 a vázat související uhlík ve vegetaci, a především v půdní organické hmotě. Nabízí tedy významný mitigační potenciál.</w:t>
      </w:r>
    </w:p>
    <w:p w14:paraId="408C126C" w14:textId="77777777" w:rsidR="003E0F58" w:rsidRPr="007C705C" w:rsidRDefault="003E0F58" w:rsidP="003E0F58">
      <w:pPr>
        <w:rPr>
          <w:rFonts w:eastAsiaTheme="minorEastAsia" w:cs="Times New Roman"/>
          <w:lang w:val="cs-CZ"/>
        </w:rPr>
      </w:pPr>
      <w:r w:rsidRPr="007C705C">
        <w:rPr>
          <w:rFonts w:eastAsiaTheme="minorEastAsia" w:cs="Times New Roman"/>
          <w:lang w:val="cs-CZ"/>
        </w:rPr>
        <w:t>Zemědělství se na emisích skleníkových plynů v ČR podílí přibližně 5-6 % při vyjádření na ekvivalent CO2. V celosvětovém měřítku je tento podíl zemědělství na emisích skleníkových plynů vyšší a představuje 10-12 % veškerých emisí skleníkových plynů vyjádřených na ekvivalent CO2 a některé zdroje uvádějí podíl ještě vyšší (více než 20%). Na druhou stranu je potenciál snížení emisí skleníkových plynů nebo dokonce dosažení negativní bilance výrazně vyšší než v jiných odvětvích. Zemědělství produkuje emise dvou velmi účinných skleníkových plynů, a to oxidu dusného (N2O) a metanu (CH4). Právě N2O představuje mimořádně účinný skleníkový plyn vzhledem ke skutečnosti, že je schopen absorbovat tepelnou energii asi 310x efektivněji než CO2. Oxid dusný emitovaný především z intenzivně hnojených zemědělských půd tak představuje v přepočtu na ekvivalent CO2 hlavní příspěvek zemědělství ke skleníkovému efektu (zhruba 38%). Další oxid dusný (v řádu několika procent) se emituje při skladování hnoje a případně jiných zemědělských aktivitách.  Emise oxidu dusného tedy souvisí především s nadměrnou aplikací dusíku a jeho špatným využitím rostlinami či mikroorganismy. V přirozených ekosystémech jsou emise oxidu dusného minimální. Odhaduje se, že podíl dusíku aplikovaného ve formě minerálních hnojiv, který následně uniká do ovzduší ve formě oxidu dusného dosahuje jednotky až desítky procent.</w:t>
      </w:r>
    </w:p>
    <w:p w14:paraId="58AB9445" w14:textId="77777777" w:rsidR="003E0F58" w:rsidRPr="007C705C" w:rsidRDefault="003E0F58" w:rsidP="00C073DE">
      <w:pPr>
        <w:pStyle w:val="UZEINadpis2stbezsla"/>
      </w:pPr>
      <w:bookmarkStart w:id="587" w:name="_Toc523146651"/>
      <w:bookmarkStart w:id="588" w:name="_Toc77245905"/>
      <w:bookmarkStart w:id="589" w:name="_Toc81343111"/>
      <w:bookmarkStart w:id="590" w:name="_Toc81343174"/>
      <w:bookmarkStart w:id="591" w:name="_Toc81343243"/>
      <w:r w:rsidRPr="007C705C">
        <w:t>Nízká odolnost zemědělských podniků vůči klimatickým změnám</w:t>
      </w:r>
      <w:bookmarkEnd w:id="587"/>
      <w:bookmarkEnd w:id="588"/>
      <w:bookmarkEnd w:id="589"/>
      <w:bookmarkEnd w:id="590"/>
      <w:bookmarkEnd w:id="591"/>
    </w:p>
    <w:p w14:paraId="49640F81" w14:textId="77777777" w:rsidR="003E0F58" w:rsidRPr="007C705C" w:rsidRDefault="003E0F58" w:rsidP="00D726A3">
      <w:pPr>
        <w:pStyle w:val="UZEIOdrky"/>
        <w:rPr>
          <w:rFonts w:eastAsiaTheme="minorEastAsia"/>
        </w:rPr>
      </w:pPr>
      <w:r w:rsidRPr="007C705C">
        <w:rPr>
          <w:rFonts w:eastAsiaTheme="minorEastAsia"/>
        </w:rPr>
        <w:t>Narůstající teploty a klesající výnosy zemědělských plodin</w:t>
      </w:r>
    </w:p>
    <w:p w14:paraId="1EB3AC0B" w14:textId="77777777" w:rsidR="003E0F58" w:rsidRPr="007C705C" w:rsidRDefault="003E0F58" w:rsidP="00D726A3">
      <w:pPr>
        <w:pStyle w:val="UZEINormaln"/>
        <w:rPr>
          <w:rFonts w:eastAsiaTheme="minorEastAsia"/>
        </w:rPr>
      </w:pPr>
      <w:r w:rsidRPr="007C705C">
        <w:rPr>
          <w:rFonts w:eastAsiaTheme="minorEastAsia"/>
        </w:rPr>
        <w:t>Na základě nedávných studií Czechglobe (Hlaváčová et al. 2018, Urban et al. 2018) je nutné problematiku sucha a vysokých teplot posuzovat společně, protože k nejzávažnějšímu poškození polních plodin a dopadu na výnos dochází při kombinovaném vlivu těchto dvou faktorů.  Citlivost plodin k vysokým teplotám se několikanásobně zvyšuje, pokud rostliny trpí nedostatkem vody. Sucho vede k uzavírání průduchů, snížené transpiraci a tím k omezenému chlazení rostliny.  V klíčových růstových fázích jako je například kvetení pšenice to může mít zásadní dopad na výnos.</w:t>
      </w:r>
    </w:p>
    <w:p w14:paraId="6DDBF637" w14:textId="77777777" w:rsidR="003E0F58" w:rsidRPr="007C705C" w:rsidRDefault="003E0F58" w:rsidP="00D726A3">
      <w:pPr>
        <w:pStyle w:val="UZEIOdrky"/>
        <w:rPr>
          <w:rFonts w:eastAsiaTheme="minorEastAsia"/>
        </w:rPr>
      </w:pPr>
      <w:r w:rsidRPr="007C705C">
        <w:rPr>
          <w:rFonts w:eastAsiaTheme="minorEastAsia"/>
        </w:rPr>
        <w:t>Šíření nových chorob, škůdců a plevelů</w:t>
      </w:r>
    </w:p>
    <w:p w14:paraId="2A817C1D" w14:textId="77777777" w:rsidR="003E0F58" w:rsidRPr="007C705C" w:rsidRDefault="003E0F58" w:rsidP="00D726A3">
      <w:pPr>
        <w:pStyle w:val="UZEINormaln"/>
        <w:rPr>
          <w:rFonts w:eastAsiaTheme="minorEastAsia"/>
        </w:rPr>
      </w:pPr>
      <w:r w:rsidRPr="007C705C">
        <w:rPr>
          <w:rFonts w:eastAsiaTheme="minorEastAsia"/>
        </w:rPr>
        <w:t xml:space="preserve">Je obecně akceptovaným faktem, že v důsledku lidské činnosti, a především pak uvolňování skleníkových plynů z fosilních paliv dochází ke změně klimatu, která nemá v moderní lidské historii obdoby jak z pohledu rychlosti, tak i rozsahu probíhajících změn. Tyto změny přináší na jedné straně dlouhodobé trendy, z nichž nejvýznamnější jsou zvyšování koncentrace atmosférického CO2 a dlouhodobý nárůst teploty, a na straně druhé pak výrazné zvyšování četnosti extrémních průběhů počasí jako jsou období sucha, vlny vysokých teplot nebo naopak extrémní srážky. </w:t>
      </w:r>
    </w:p>
    <w:p w14:paraId="4483402C" w14:textId="77777777" w:rsidR="003E0F58" w:rsidRPr="007C705C" w:rsidRDefault="003E0F58" w:rsidP="00D726A3">
      <w:pPr>
        <w:pStyle w:val="UZEINormaln"/>
        <w:rPr>
          <w:rFonts w:eastAsiaTheme="minorEastAsia"/>
        </w:rPr>
      </w:pPr>
      <w:r w:rsidRPr="007C705C">
        <w:rPr>
          <w:rFonts w:eastAsiaTheme="minorEastAsia"/>
        </w:rPr>
        <w:t xml:space="preserve">Probíhající změna klimatu a s ní spojená zvyšující se četnost meteorologických extrémů negativně ovlivňuje rostlinnou produkci nejen přímo, tedy přímým vlivem na výnos a kvalitu, ale do značné míry také nepřímo prostřednictvím zvyšujícího se výskytu škodlivých organismů (Evans et al. 2008). Měnící se podmínky prostředí ovlivňují populační dynamiku škodlivých organismů tedy zejména původců chorob, škůdců a částečně také plevelů. Historie ukazuje, že dopady těchto nepřímých efektů mohou být i několikanásobně vyšší než v případě přímého působení (Luck et al. 2011). Změna klimatu prostřednictvím vlivu na populační dynamiku škodlivých organismů dále přispívá k poklesu životnosti nových odrůd, která je již nyní poloviční oproti situaci před několika desetiletími (Tilman et al. 2002), nárůstu zdravotních a environmentálních rizik v důsledku kontaminace mykotoxiny (Paterson a Lima 2010) či zvyšování četnosti aplikace pesticidů, a zrychlení vývoje rezistence k pesticidům (Shaw a </w:t>
      </w:r>
      <w:r w:rsidRPr="007C705C">
        <w:rPr>
          <w:rFonts w:eastAsiaTheme="minorEastAsia"/>
        </w:rPr>
        <w:lastRenderedPageBreak/>
        <w:t>Osborne 2011). Důsledkem může být kombinace hospodářských, zdravotních a environmentálních škod několikanásobně převyšující přímé efekty změny klimatu.</w:t>
      </w:r>
    </w:p>
    <w:p w14:paraId="7A41B771" w14:textId="77777777" w:rsidR="003E0F58" w:rsidRPr="007C705C" w:rsidRDefault="003E0F58" w:rsidP="00D726A3">
      <w:pPr>
        <w:pStyle w:val="UZEINormaln"/>
        <w:rPr>
          <w:rFonts w:eastAsiaTheme="minorEastAsia"/>
        </w:rPr>
      </w:pPr>
      <w:r w:rsidRPr="007C705C">
        <w:rPr>
          <w:rFonts w:eastAsiaTheme="minorEastAsia"/>
        </w:rPr>
        <w:t xml:space="preserve">Přestože většina studií prokazuje spíše negativní dopady změny klimatu na živé organismy (např. Thomas et al. 2002), pro škodlivé organismy to neplatí, a naopak jsou v řadě případů změnou klimatu podporovány (Quarles 2007). Příčin pro tento paradoxní stav je několik. Jedním z hlavních faktorů je ale skutečnost, že řada škodlivých organismů napadá nebo má konkurenční výhodu v případě stresované a oslabené plodiny. Jedná se především o fakultativní saprofytické původce chorob, některé škůdce a plevelů, které lépe využívají nepříznivé podmínky například díky hlubšímu kořenovému systému. Další příčinou je obrovská mezidruhová a vnitrodruhová variabilita v rámci škodlivých organismů, která vede se změnou podmínek prostředí k uplatnění nových druhů nebo nových biotypů daného druhu. Takto přizpůsobené organismy pak mají kratší životní cyklus, vytváří větší počet generací nebo produkují více potomstva (Žalud ed. 2009). Pro řadu škodlivých organismů je také pozorováno v souvislosti se změnou klimatu přezimování (Bale et al. 2002). </w:t>
      </w:r>
    </w:p>
    <w:p w14:paraId="462753A0" w14:textId="77777777" w:rsidR="003E0F58" w:rsidRPr="007C705C" w:rsidRDefault="003E0F58" w:rsidP="00D726A3">
      <w:pPr>
        <w:pStyle w:val="UZEINormaln"/>
        <w:rPr>
          <w:rFonts w:eastAsiaTheme="minorEastAsia"/>
        </w:rPr>
      </w:pPr>
      <w:r w:rsidRPr="007C705C">
        <w:rPr>
          <w:rFonts w:eastAsiaTheme="minorEastAsia"/>
        </w:rPr>
        <w:t>Klíčem k úspěšnému řešení tohoto nepříznivého stavu je uplatnění kombinace integrované regulace škodlivých organismů založených na spolehlivých modelech prognózy a monitoringu a šlechtitelských metod vedoucích k trvalé rezistenci podmíněné více geny (Ortiz 1998).</w:t>
      </w:r>
    </w:p>
    <w:p w14:paraId="6DBFF86A" w14:textId="77777777" w:rsidR="003E0F58" w:rsidRPr="007C705C" w:rsidRDefault="003E0F58" w:rsidP="00D726A3">
      <w:pPr>
        <w:pStyle w:val="UZEIOdrky"/>
        <w:rPr>
          <w:rFonts w:eastAsiaTheme="minorEastAsia"/>
        </w:rPr>
      </w:pPr>
      <w:r w:rsidRPr="007C705C">
        <w:rPr>
          <w:rFonts w:eastAsiaTheme="minorEastAsia"/>
        </w:rPr>
        <w:t>Nepříznivé trendy změny klimatu a vodní bilance půd + negativní dopady zemědělského sucha</w:t>
      </w:r>
    </w:p>
    <w:p w14:paraId="78A9EBCC" w14:textId="77777777" w:rsidR="003E0F58" w:rsidRPr="007C705C" w:rsidRDefault="003E0F58" w:rsidP="00D726A3">
      <w:pPr>
        <w:pStyle w:val="UZEINormaln"/>
        <w:rPr>
          <w:rFonts w:eastAsiaTheme="minorEastAsia"/>
        </w:rPr>
      </w:pPr>
      <w:r w:rsidRPr="007C705C">
        <w:rPr>
          <w:rFonts w:eastAsiaTheme="minorEastAsia"/>
        </w:rPr>
        <w:t xml:space="preserve">Sucho je v obecné rovině poměrně široce definovaný fenomén. Vzhledem k jeho možným podobám neexistuje jednotná, stručná a výstižná definice sucha. Jedním z možných přístupů je definice čtyř základních kategorií sucha: i) sucho meteorologické – nastává v případě podnormálních srážkových úhrnů (případně podnormálních hodnot vodní bilance jako rozdílu mezi srážkami a výparem či evapotranspirací) za různě dlouhá časová období; ii) sucho zemědělské (případně půdní, lesnické) – objevuje se tehdy, je-li zásoba vody v půdě pro rostliny nedostatečná; kromě meteorologických prvků jako významný faktor vstupují i rozdílné půdní podmínky a způsob hospodaření (použité technologie, pěstovaný druhy). iii) hydrologické sucho – podnormální stav povrchové vody v tocích či vodních plochách (jezera, nádrže, rybníky) i podpovrchové vody. iv) socio-ekonomické sucho – situace kdy nedostatek vody přímo ovlivňuje sociální a ekonomické aspekty společnosti (omezená dostupnost pitné a užitkové vody pro obyvatele, průmyslovou činnost, energetiku, omezení lodní dopravy, zvýšení cen zboží). </w:t>
      </w:r>
    </w:p>
    <w:p w14:paraId="29C7E387" w14:textId="77777777" w:rsidR="003E0F58" w:rsidRPr="007C705C" w:rsidRDefault="003E0F58" w:rsidP="00D726A3">
      <w:pPr>
        <w:pStyle w:val="UZEINormaln"/>
        <w:rPr>
          <w:rFonts w:eastAsiaTheme="minorEastAsia"/>
        </w:rPr>
      </w:pPr>
      <w:r w:rsidRPr="007C705C">
        <w:rPr>
          <w:rFonts w:eastAsiaTheme="minorEastAsia"/>
        </w:rPr>
        <w:t>Zatímco z hlediska statistického trendu u ročních srážkových úhrnů nesledujeme průkazný pokles, je třeba se vypořádat s charakteristickou prostorovou a časovou (meziroční i v rámci ročníků) variabilitou srážek. Tento charakter byl patrný v minulosti, projevuje se v aktuálních ročnících a v budoucnosti bude ovlivňovat výskyt suchých epizod. Z hlediska narůstajícího počtu a intenzity epizod sucha však jako významný faktor působí zvyšující se teplota vzduchu, u které existuje v případě ročních průměrů na základě měření napříč ČR statisticky průkazný narůstající trend (Brázdil el al., 2008) na úrovni +0,82 °C za 100 let. Vyšší teploty vzduchu (v důsledku změny klimatu) vedou logicky k rychlejšímu výparu vody z vodních ploch a půdy i vegetace (v rámci evapotranspirace). To snižuje hodnoty vodní bilance a vede k četnějším, delším a intenzivnějším epizodám sucha (od meteorologického, přes zemědělské až po socioekonomické). V uplynulých letech jsme byli svědky několika teplotních rekordů včetně nejvyšších průměrných ročních teplot vzduchu v ČR, kdy v roce 2014 a 2015 byla tato hodnota o 1,9 °C vyšší než normál za období 1961-1990 (ČHMU). V roce 2015, 2017 a 2018 se pak při současném působení vysokých teplot současně objevila i bezesrážková období, což vyústilo v silné epizody sucha s vážnými dopady (viz níže).</w:t>
      </w:r>
    </w:p>
    <w:p w14:paraId="7470739A" w14:textId="77777777" w:rsidR="003E0F58" w:rsidRPr="007C705C" w:rsidRDefault="003E0F58" w:rsidP="00D726A3">
      <w:pPr>
        <w:pStyle w:val="UZEINormaln"/>
        <w:rPr>
          <w:color w:val="0070C0"/>
        </w:rPr>
      </w:pPr>
      <w:r w:rsidRPr="007C705C">
        <w:rPr>
          <w:rFonts w:eastAsiaTheme="minorEastAsia"/>
        </w:rPr>
        <w:lastRenderedPageBreak/>
        <w:t>Situaci komplikuje narůstající podíl tzv. přívalových dešťů, které jsou sice započítány do srážkového úhrnu, nicméně vzhledem k jejich intenzitě, sklonitosti velké části území, vlastnostem povrchu apod. nepřispívají celým svým objemem ke zvýšení půdní vlhkosti a z území odchází v podobě povrchového odtoku – z hlediska využití vegetací se dá říci, že se jedná o neefektivní srážky. Proto by mělo být snahou zvýšit množství zasakování srážek vč. přívalových tam, kde dopadnou a současně podporovat co nejvyšší retenci půdy (schopnost zadržet vodu např. pro rostliny), Kromě zlepšení dostupnosti vláhy pro rostliny se toto pozitivně projeví i v případě snížení erozního a povodňového rizika.</w:t>
      </w:r>
    </w:p>
    <w:p w14:paraId="190FD8AD" w14:textId="77777777" w:rsidR="003E0F58" w:rsidRPr="007C705C" w:rsidRDefault="003E0F58" w:rsidP="00D726A3">
      <w:pPr>
        <w:pStyle w:val="UZEINormaln"/>
        <w:rPr>
          <w:rFonts w:eastAsiaTheme="minorEastAsia"/>
        </w:rPr>
      </w:pPr>
    </w:p>
    <w:p w14:paraId="0FF836E6" w14:textId="77777777" w:rsidR="003E0F58" w:rsidRPr="007C705C" w:rsidRDefault="003E0F58" w:rsidP="003E0F58">
      <w:pPr>
        <w:pStyle w:val="Odstavecseseznamem"/>
        <w:ind w:left="862"/>
        <w:sectPr w:rsidR="003E0F58" w:rsidRPr="007C705C" w:rsidSect="004D2249">
          <w:pgSz w:w="11906" w:h="16838"/>
          <w:pgMar w:top="1417" w:right="1417" w:bottom="1417" w:left="1417" w:header="708" w:footer="708" w:gutter="0"/>
          <w:cols w:space="708"/>
          <w:titlePg/>
          <w:docGrid w:linePitch="360"/>
        </w:sectPr>
      </w:pPr>
    </w:p>
    <w:p w14:paraId="405EC50F" w14:textId="77777777" w:rsidR="003E0F58" w:rsidRPr="007C705C" w:rsidRDefault="003E0F58" w:rsidP="00D726A3">
      <w:pPr>
        <w:pStyle w:val="UZEIOdrky"/>
        <w:rPr>
          <w:rFonts w:eastAsiaTheme="minorEastAsia"/>
        </w:rPr>
      </w:pPr>
      <w:bookmarkStart w:id="592" w:name="_Ref522011505"/>
      <w:r w:rsidRPr="007C705C">
        <w:rPr>
          <w:rFonts w:eastAsiaTheme="minorEastAsia"/>
        </w:rPr>
        <w:lastRenderedPageBreak/>
        <w:t>Riziko vodní eroze a dalších degradačních faktorů</w:t>
      </w:r>
    </w:p>
    <w:p w14:paraId="0EBAB070" w14:textId="3F88E7CC" w:rsidR="003E0F58" w:rsidRPr="007C705C" w:rsidRDefault="003E0F58" w:rsidP="00D726A3">
      <w:pPr>
        <w:pStyle w:val="UZEITaB"/>
        <w:rPr>
          <w:rFonts w:eastAsiaTheme="minorEastAsia"/>
        </w:rPr>
      </w:pPr>
      <w:bookmarkStart w:id="593" w:name="_Toc77245874"/>
      <w:bookmarkStart w:id="594" w:name="_Ref81422805"/>
      <w:bookmarkStart w:id="595" w:name="_Toc94181644"/>
      <w:bookmarkEnd w:id="592"/>
      <w:r w:rsidRPr="007C705C">
        <w:rPr>
          <w:rFonts w:eastAsiaTheme="minorEastAsia"/>
        </w:rPr>
        <w:t>Rozsah problému vodní eroze a degradace půd</w:t>
      </w:r>
      <w:bookmarkEnd w:id="593"/>
      <w:bookmarkEnd w:id="594"/>
      <w:bookmarkEnd w:id="5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00"/>
        <w:gridCol w:w="1624"/>
        <w:gridCol w:w="1091"/>
        <w:gridCol w:w="1126"/>
        <w:gridCol w:w="901"/>
        <w:gridCol w:w="1459"/>
        <w:gridCol w:w="1625"/>
        <w:gridCol w:w="1244"/>
        <w:gridCol w:w="1163"/>
        <w:gridCol w:w="1415"/>
        <w:gridCol w:w="1146"/>
      </w:tblGrid>
      <w:tr w:rsidR="003E0F58" w:rsidRPr="007C705C" w14:paraId="371A6CB5" w14:textId="77777777" w:rsidTr="004D2249">
        <w:trPr>
          <w:trHeight w:val="1215"/>
        </w:trPr>
        <w:tc>
          <w:tcPr>
            <w:tcW w:w="424" w:type="pct"/>
            <w:vMerge w:val="restart"/>
            <w:shd w:val="clear" w:color="auto" w:fill="BDD7EE"/>
            <w:hideMark/>
          </w:tcPr>
          <w:p w14:paraId="2B0F5FF4"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Problém: I.9 Zvyšování odolnosti zemědělských podniků: index</w:t>
            </w:r>
          </w:p>
        </w:tc>
        <w:tc>
          <w:tcPr>
            <w:tcW w:w="583" w:type="pct"/>
            <w:vMerge w:val="restart"/>
            <w:shd w:val="clear" w:color="auto" w:fill="BDD7EE"/>
            <w:hideMark/>
          </w:tcPr>
          <w:p w14:paraId="07E0CE03"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Popis problému</w:t>
            </w:r>
          </w:p>
        </w:tc>
        <w:tc>
          <w:tcPr>
            <w:tcW w:w="379" w:type="pct"/>
            <w:shd w:val="clear" w:color="auto" w:fill="BDD7EE"/>
            <w:hideMark/>
          </w:tcPr>
          <w:p w14:paraId="564C0FAC"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 xml:space="preserve">Stanovení závažnosti jednotlivých problémů </w:t>
            </w:r>
          </w:p>
        </w:tc>
        <w:tc>
          <w:tcPr>
            <w:tcW w:w="405" w:type="pct"/>
            <w:vMerge w:val="restart"/>
            <w:shd w:val="clear" w:color="auto" w:fill="BDD7EE"/>
            <w:hideMark/>
          </w:tcPr>
          <w:p w14:paraId="3F02175F"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Stanovení příčin</w:t>
            </w:r>
          </w:p>
        </w:tc>
        <w:tc>
          <w:tcPr>
            <w:tcW w:w="317" w:type="pct"/>
            <w:shd w:val="clear" w:color="auto" w:fill="BDD7EE"/>
            <w:hideMark/>
          </w:tcPr>
          <w:p w14:paraId="4E4761D7"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Stanovení míry příčin na vzniku problému</w:t>
            </w:r>
          </w:p>
        </w:tc>
        <w:tc>
          <w:tcPr>
            <w:tcW w:w="524" w:type="pct"/>
            <w:vMerge w:val="restart"/>
            <w:shd w:val="clear" w:color="auto" w:fill="BDD7EE"/>
            <w:hideMark/>
          </w:tcPr>
          <w:p w14:paraId="23815624"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 xml:space="preserve">Reakce zemědělců na příčiny </w:t>
            </w:r>
            <w:r w:rsidRPr="007C705C">
              <w:rPr>
                <w:rFonts w:eastAsiaTheme="minorEastAsia" w:cs="Times New Roman"/>
                <w:i/>
                <w:iCs/>
                <w:color w:val="000000" w:themeColor="text1"/>
                <w:sz w:val="18"/>
                <w:szCs w:val="18"/>
                <w:lang w:val="cs-CZ"/>
              </w:rPr>
              <w:t>(jak je respektováno / nerespektováno)</w:t>
            </w:r>
          </w:p>
        </w:tc>
        <w:tc>
          <w:tcPr>
            <w:tcW w:w="583" w:type="pct"/>
            <w:vMerge w:val="restart"/>
            <w:shd w:val="clear" w:color="auto" w:fill="BDD7EE"/>
            <w:hideMark/>
          </w:tcPr>
          <w:p w14:paraId="33D25F2C"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 xml:space="preserve">Řešitelnost v rámci SZP - technologická, organizační </w:t>
            </w:r>
          </w:p>
        </w:tc>
        <w:tc>
          <w:tcPr>
            <w:tcW w:w="447" w:type="pct"/>
            <w:shd w:val="clear" w:color="auto" w:fill="BDD7EE"/>
            <w:hideMark/>
          </w:tcPr>
          <w:p w14:paraId="2899E863"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S</w:t>
            </w:r>
          </w:p>
        </w:tc>
        <w:tc>
          <w:tcPr>
            <w:tcW w:w="418" w:type="pct"/>
            <w:shd w:val="clear" w:color="auto" w:fill="BDD7EE"/>
            <w:hideMark/>
          </w:tcPr>
          <w:p w14:paraId="3374E9CB"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W</w:t>
            </w:r>
          </w:p>
        </w:tc>
        <w:tc>
          <w:tcPr>
            <w:tcW w:w="508" w:type="pct"/>
            <w:shd w:val="clear" w:color="auto" w:fill="BDD7EE"/>
            <w:hideMark/>
          </w:tcPr>
          <w:p w14:paraId="2739E3B2"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O</w:t>
            </w:r>
          </w:p>
        </w:tc>
        <w:tc>
          <w:tcPr>
            <w:tcW w:w="412" w:type="pct"/>
            <w:shd w:val="clear" w:color="auto" w:fill="BDD7EE"/>
            <w:hideMark/>
          </w:tcPr>
          <w:p w14:paraId="72E0DA0F"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T</w:t>
            </w:r>
          </w:p>
        </w:tc>
      </w:tr>
      <w:tr w:rsidR="003E0F58" w:rsidRPr="007C705C" w14:paraId="62987408" w14:textId="77777777" w:rsidTr="004D2249">
        <w:trPr>
          <w:trHeight w:val="315"/>
        </w:trPr>
        <w:tc>
          <w:tcPr>
            <w:tcW w:w="424" w:type="pct"/>
            <w:vMerge/>
            <w:vAlign w:val="center"/>
            <w:hideMark/>
          </w:tcPr>
          <w:p w14:paraId="0BC92DF4" w14:textId="77777777" w:rsidR="003E0F58" w:rsidRPr="007C705C" w:rsidRDefault="003E0F58" w:rsidP="004D2249">
            <w:pPr>
              <w:jc w:val="left"/>
              <w:rPr>
                <w:rFonts w:cs="Times New Roman"/>
                <w:b/>
                <w:bCs/>
                <w:color w:val="000000"/>
                <w:sz w:val="18"/>
                <w:lang w:val="cs-CZ"/>
              </w:rPr>
            </w:pPr>
          </w:p>
        </w:tc>
        <w:tc>
          <w:tcPr>
            <w:tcW w:w="583" w:type="pct"/>
            <w:vMerge/>
            <w:vAlign w:val="center"/>
            <w:hideMark/>
          </w:tcPr>
          <w:p w14:paraId="3FF4A715" w14:textId="77777777" w:rsidR="003E0F58" w:rsidRPr="007C705C" w:rsidRDefault="003E0F58" w:rsidP="004D2249">
            <w:pPr>
              <w:jc w:val="left"/>
              <w:rPr>
                <w:rFonts w:cs="Times New Roman"/>
                <w:b/>
                <w:bCs/>
                <w:color w:val="000000"/>
                <w:sz w:val="18"/>
                <w:lang w:val="cs-CZ"/>
              </w:rPr>
            </w:pPr>
          </w:p>
        </w:tc>
        <w:tc>
          <w:tcPr>
            <w:tcW w:w="379" w:type="pct"/>
            <w:shd w:val="clear" w:color="auto" w:fill="BDD7EE"/>
            <w:hideMark/>
          </w:tcPr>
          <w:p w14:paraId="27BAA85F" w14:textId="77777777" w:rsidR="003E0F58" w:rsidRPr="007C705C" w:rsidRDefault="003E0F58" w:rsidP="004D2249">
            <w:pPr>
              <w:jc w:val="left"/>
              <w:rPr>
                <w:rFonts w:eastAsiaTheme="minorEastAsia" w:cs="Times New Roman"/>
                <w:i/>
                <w:iCs/>
                <w:color w:val="000000" w:themeColor="text1"/>
                <w:sz w:val="18"/>
                <w:szCs w:val="18"/>
                <w:lang w:val="cs-CZ"/>
              </w:rPr>
            </w:pPr>
            <w:r w:rsidRPr="007C705C">
              <w:rPr>
                <w:rFonts w:eastAsiaTheme="minorEastAsia" w:cs="Times New Roman"/>
                <w:i/>
                <w:iCs/>
                <w:color w:val="000000" w:themeColor="text1"/>
                <w:sz w:val="18"/>
                <w:szCs w:val="18"/>
                <w:lang w:val="cs-CZ"/>
              </w:rPr>
              <w:t>(1-5)*</w:t>
            </w:r>
          </w:p>
        </w:tc>
        <w:tc>
          <w:tcPr>
            <w:tcW w:w="405" w:type="pct"/>
            <w:vMerge/>
            <w:vAlign w:val="center"/>
            <w:hideMark/>
          </w:tcPr>
          <w:p w14:paraId="3EDA12E3" w14:textId="77777777" w:rsidR="003E0F58" w:rsidRPr="007C705C" w:rsidRDefault="003E0F58" w:rsidP="004D2249">
            <w:pPr>
              <w:jc w:val="left"/>
              <w:rPr>
                <w:rFonts w:cs="Times New Roman"/>
                <w:b/>
                <w:bCs/>
                <w:color w:val="000000"/>
                <w:sz w:val="18"/>
                <w:lang w:val="cs-CZ"/>
              </w:rPr>
            </w:pPr>
          </w:p>
        </w:tc>
        <w:tc>
          <w:tcPr>
            <w:tcW w:w="317" w:type="pct"/>
            <w:shd w:val="clear" w:color="auto" w:fill="BDD7EE"/>
            <w:hideMark/>
          </w:tcPr>
          <w:p w14:paraId="4F136827" w14:textId="77777777" w:rsidR="003E0F58" w:rsidRPr="007C705C" w:rsidRDefault="003E0F58" w:rsidP="004D2249">
            <w:pPr>
              <w:jc w:val="left"/>
              <w:rPr>
                <w:rFonts w:eastAsiaTheme="minorEastAsia" w:cs="Times New Roman"/>
                <w:i/>
                <w:iCs/>
                <w:color w:val="000000" w:themeColor="text1"/>
                <w:sz w:val="18"/>
                <w:szCs w:val="18"/>
                <w:lang w:val="cs-CZ"/>
              </w:rPr>
            </w:pPr>
            <w:r w:rsidRPr="007C705C">
              <w:rPr>
                <w:rFonts w:eastAsiaTheme="minorEastAsia" w:cs="Times New Roman"/>
                <w:i/>
                <w:iCs/>
                <w:color w:val="000000" w:themeColor="text1"/>
                <w:sz w:val="18"/>
                <w:szCs w:val="18"/>
                <w:lang w:val="cs-CZ"/>
              </w:rPr>
              <w:t>(1-5)**</w:t>
            </w:r>
          </w:p>
        </w:tc>
        <w:tc>
          <w:tcPr>
            <w:tcW w:w="524" w:type="pct"/>
            <w:vMerge/>
            <w:vAlign w:val="center"/>
            <w:hideMark/>
          </w:tcPr>
          <w:p w14:paraId="368F8A44" w14:textId="77777777" w:rsidR="003E0F58" w:rsidRPr="007C705C" w:rsidRDefault="003E0F58" w:rsidP="004D2249">
            <w:pPr>
              <w:jc w:val="left"/>
              <w:rPr>
                <w:rFonts w:cs="Times New Roman"/>
                <w:b/>
                <w:bCs/>
                <w:color w:val="000000"/>
                <w:sz w:val="18"/>
                <w:lang w:val="cs-CZ"/>
              </w:rPr>
            </w:pPr>
          </w:p>
        </w:tc>
        <w:tc>
          <w:tcPr>
            <w:tcW w:w="583" w:type="pct"/>
            <w:vMerge/>
            <w:vAlign w:val="center"/>
            <w:hideMark/>
          </w:tcPr>
          <w:p w14:paraId="3BB83456" w14:textId="77777777" w:rsidR="003E0F58" w:rsidRPr="007C705C" w:rsidRDefault="003E0F58" w:rsidP="004D2249">
            <w:pPr>
              <w:jc w:val="left"/>
              <w:rPr>
                <w:rFonts w:cs="Times New Roman"/>
                <w:b/>
                <w:bCs/>
                <w:color w:val="000000"/>
                <w:sz w:val="18"/>
                <w:lang w:val="cs-CZ"/>
              </w:rPr>
            </w:pPr>
          </w:p>
        </w:tc>
        <w:tc>
          <w:tcPr>
            <w:tcW w:w="447" w:type="pct"/>
            <w:shd w:val="clear" w:color="auto" w:fill="BDD7EE"/>
            <w:hideMark/>
          </w:tcPr>
          <w:p w14:paraId="24BC94B8" w14:textId="77777777" w:rsidR="003E0F58" w:rsidRPr="007C705C" w:rsidRDefault="003E0F58" w:rsidP="004D2249">
            <w:pPr>
              <w:jc w:val="left"/>
              <w:rPr>
                <w:rFonts w:eastAsiaTheme="minorEastAsia" w:cs="Times New Roman"/>
                <w:i/>
                <w:iCs/>
                <w:color w:val="000000" w:themeColor="text1"/>
                <w:sz w:val="18"/>
                <w:szCs w:val="18"/>
                <w:lang w:val="cs-CZ"/>
              </w:rPr>
            </w:pPr>
            <w:r w:rsidRPr="007C705C">
              <w:rPr>
                <w:rFonts w:eastAsiaTheme="minorEastAsia" w:cs="Times New Roman"/>
                <w:i/>
                <w:iCs/>
                <w:color w:val="000000" w:themeColor="text1"/>
                <w:sz w:val="18"/>
                <w:szCs w:val="18"/>
                <w:lang w:val="cs-CZ"/>
              </w:rPr>
              <w:t>Silné stránky:</w:t>
            </w:r>
          </w:p>
        </w:tc>
        <w:tc>
          <w:tcPr>
            <w:tcW w:w="418" w:type="pct"/>
            <w:shd w:val="clear" w:color="auto" w:fill="BDD7EE"/>
            <w:hideMark/>
          </w:tcPr>
          <w:p w14:paraId="71A229A3" w14:textId="77777777" w:rsidR="003E0F58" w:rsidRPr="007C705C" w:rsidRDefault="003E0F58" w:rsidP="004D2249">
            <w:pPr>
              <w:jc w:val="left"/>
              <w:rPr>
                <w:rFonts w:eastAsiaTheme="minorEastAsia" w:cs="Times New Roman"/>
                <w:i/>
                <w:iCs/>
                <w:color w:val="000000" w:themeColor="text1"/>
                <w:sz w:val="18"/>
                <w:szCs w:val="18"/>
                <w:lang w:val="cs-CZ"/>
              </w:rPr>
            </w:pPr>
            <w:r w:rsidRPr="007C705C">
              <w:rPr>
                <w:rFonts w:eastAsiaTheme="minorEastAsia" w:cs="Times New Roman"/>
                <w:i/>
                <w:iCs/>
                <w:color w:val="000000" w:themeColor="text1"/>
                <w:sz w:val="18"/>
                <w:szCs w:val="18"/>
                <w:lang w:val="cs-CZ"/>
              </w:rPr>
              <w:t>Slabé stránky:</w:t>
            </w:r>
          </w:p>
        </w:tc>
        <w:tc>
          <w:tcPr>
            <w:tcW w:w="508" w:type="pct"/>
            <w:shd w:val="clear" w:color="auto" w:fill="BDD7EE"/>
            <w:hideMark/>
          </w:tcPr>
          <w:p w14:paraId="75244766" w14:textId="77777777" w:rsidR="003E0F58" w:rsidRPr="007C705C" w:rsidRDefault="003E0F58" w:rsidP="004D2249">
            <w:pPr>
              <w:jc w:val="left"/>
              <w:rPr>
                <w:rFonts w:eastAsiaTheme="minorEastAsia" w:cs="Times New Roman"/>
                <w:i/>
                <w:iCs/>
                <w:color w:val="000000" w:themeColor="text1"/>
                <w:sz w:val="18"/>
                <w:szCs w:val="18"/>
                <w:lang w:val="cs-CZ"/>
              </w:rPr>
            </w:pPr>
            <w:r w:rsidRPr="007C705C">
              <w:rPr>
                <w:rFonts w:eastAsiaTheme="minorEastAsia" w:cs="Times New Roman"/>
                <w:i/>
                <w:iCs/>
                <w:color w:val="000000" w:themeColor="text1"/>
                <w:sz w:val="18"/>
                <w:szCs w:val="18"/>
                <w:lang w:val="cs-CZ"/>
              </w:rPr>
              <w:t>Příležitosti:</w:t>
            </w:r>
          </w:p>
        </w:tc>
        <w:tc>
          <w:tcPr>
            <w:tcW w:w="412" w:type="pct"/>
            <w:shd w:val="clear" w:color="auto" w:fill="BDD7EE"/>
            <w:hideMark/>
          </w:tcPr>
          <w:p w14:paraId="0BD4178F" w14:textId="77777777" w:rsidR="003E0F58" w:rsidRPr="007C705C" w:rsidRDefault="003E0F58" w:rsidP="004D2249">
            <w:pPr>
              <w:jc w:val="left"/>
              <w:rPr>
                <w:rFonts w:eastAsiaTheme="minorEastAsia" w:cs="Times New Roman"/>
                <w:i/>
                <w:iCs/>
                <w:color w:val="000000" w:themeColor="text1"/>
                <w:sz w:val="18"/>
                <w:szCs w:val="18"/>
                <w:lang w:val="cs-CZ"/>
              </w:rPr>
            </w:pPr>
            <w:r w:rsidRPr="007C705C">
              <w:rPr>
                <w:rFonts w:eastAsiaTheme="minorEastAsia" w:cs="Times New Roman"/>
                <w:i/>
                <w:iCs/>
                <w:color w:val="000000" w:themeColor="text1"/>
                <w:sz w:val="18"/>
                <w:szCs w:val="18"/>
                <w:lang w:val="cs-CZ"/>
              </w:rPr>
              <w:t>Hrozby:</w:t>
            </w:r>
          </w:p>
        </w:tc>
      </w:tr>
      <w:tr w:rsidR="003E0F58" w:rsidRPr="007C705C" w14:paraId="48A1F6FA" w14:textId="77777777" w:rsidTr="004D2249">
        <w:trPr>
          <w:trHeight w:val="1800"/>
        </w:trPr>
        <w:tc>
          <w:tcPr>
            <w:tcW w:w="424" w:type="pct"/>
            <w:vMerge w:val="restart"/>
            <w:shd w:val="clear" w:color="auto" w:fill="auto"/>
            <w:hideMark/>
          </w:tcPr>
          <w:p w14:paraId="0DA841C2" w14:textId="77777777" w:rsidR="003E0F58" w:rsidRPr="007C705C" w:rsidRDefault="003E0F58" w:rsidP="004D2249">
            <w:pPr>
              <w:jc w:val="left"/>
              <w:rPr>
                <w:rFonts w:eastAsiaTheme="minorEastAsia" w:cs="Times New Roman"/>
                <w:color w:val="000000" w:themeColor="text1"/>
                <w:sz w:val="18"/>
                <w:szCs w:val="18"/>
                <w:lang w:val="cs-CZ"/>
              </w:rPr>
            </w:pPr>
            <w:bookmarkStart w:id="596" w:name="_Hlk14949501"/>
            <w:r w:rsidRPr="007C705C">
              <w:rPr>
                <w:rFonts w:eastAsiaTheme="minorEastAsia" w:cs="Times New Roman"/>
                <w:color w:val="000000" w:themeColor="text1"/>
                <w:sz w:val="18"/>
                <w:szCs w:val="18"/>
                <w:lang w:val="cs-CZ"/>
              </w:rPr>
              <w:t>Ohroženost více než 50 % ZPF vodní erozí a dalšími degradačními faktory</w:t>
            </w:r>
          </w:p>
        </w:tc>
        <w:tc>
          <w:tcPr>
            <w:tcW w:w="583" w:type="pct"/>
            <w:vMerge w:val="restart"/>
            <w:shd w:val="clear" w:color="auto" w:fill="auto"/>
            <w:hideMark/>
          </w:tcPr>
          <w:p w14:paraId="0AEF63B5"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 xml:space="preserve">Ohroženost zemědělských půd vodní erozí v současné době představuje velmi aktuální problém. V České republice je určitou formou vodní eroze potenciálně ohroženo přes 50 % zemědělské půdy. Tato skutečnost je dána především reliéfem naší krajiny, velikostí obhospodařovaných půdních bloků a poměrně významný zastoupením plodin tzv. „erozně nebezpečných“. Nadměrnou vodní erozí dochází ke ztrátě nejúrodnější části půdy (ornice), které následně vede ke snížení produkční schopnosti půdy, omezené retenci a infiltraci vody, </w:t>
            </w:r>
            <w:r w:rsidRPr="007C705C">
              <w:rPr>
                <w:rFonts w:eastAsiaTheme="minorEastAsia" w:cs="Times New Roman"/>
                <w:color w:val="000000" w:themeColor="text1"/>
                <w:sz w:val="18"/>
                <w:szCs w:val="18"/>
                <w:lang w:val="cs-CZ"/>
              </w:rPr>
              <w:lastRenderedPageBreak/>
              <w:t xml:space="preserve">ztrátám, osiv, hnojiv a vyplavování organické hmoty. Vodní eroze působí škody nejenom na pozemcích, kde k ní dochází, ale i v celém povodí. Škody se projevují znečištěním vodních zdrojů, zanášením vodních nádrží a ve škodách na majetku a infrastruktuře. </w:t>
            </w:r>
          </w:p>
        </w:tc>
        <w:tc>
          <w:tcPr>
            <w:tcW w:w="379" w:type="pct"/>
            <w:vMerge w:val="restart"/>
            <w:shd w:val="clear" w:color="auto" w:fill="auto"/>
            <w:hideMark/>
          </w:tcPr>
          <w:p w14:paraId="1CD0BB06"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lastRenderedPageBreak/>
              <w:t>1</w:t>
            </w:r>
          </w:p>
        </w:tc>
        <w:tc>
          <w:tcPr>
            <w:tcW w:w="405" w:type="pct"/>
            <w:shd w:val="clear" w:color="auto" w:fill="auto"/>
            <w:hideMark/>
          </w:tcPr>
          <w:p w14:paraId="0EA3855D"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sklonitost a délka pozemku po spádnici</w:t>
            </w:r>
          </w:p>
        </w:tc>
        <w:tc>
          <w:tcPr>
            <w:tcW w:w="317" w:type="pct"/>
            <w:shd w:val="clear" w:color="auto" w:fill="auto"/>
            <w:hideMark/>
          </w:tcPr>
          <w:p w14:paraId="323FEC65"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1</w:t>
            </w:r>
          </w:p>
        </w:tc>
        <w:tc>
          <w:tcPr>
            <w:tcW w:w="524" w:type="pct"/>
            <w:shd w:val="clear" w:color="auto" w:fill="auto"/>
            <w:hideMark/>
          </w:tcPr>
          <w:p w14:paraId="595CAD97"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částečně řešeno v rámci problematiky DZES 5 vymezení MEO, SEO ploch / zemědělec mimo podmínek plnění DZES nemá potřebu zajistit vegetační pokryv mimo období pěstování hlavní plodiny (zvýšené finanční náklady na pěstování netržní plodiny)</w:t>
            </w:r>
          </w:p>
        </w:tc>
        <w:tc>
          <w:tcPr>
            <w:tcW w:w="583" w:type="pct"/>
            <w:shd w:val="clear" w:color="auto" w:fill="auto"/>
            <w:hideMark/>
          </w:tcPr>
          <w:p w14:paraId="537C5DF5"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Zařazování půdoochranných technologií, uplatňování pásového střídání plodin, realizace mobilních technických protierozních prvků</w:t>
            </w:r>
          </w:p>
        </w:tc>
        <w:tc>
          <w:tcPr>
            <w:tcW w:w="447" w:type="pct"/>
            <w:vMerge w:val="restart"/>
            <w:shd w:val="clear" w:color="auto" w:fill="auto"/>
            <w:hideMark/>
          </w:tcPr>
          <w:p w14:paraId="652D739E"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 </w:t>
            </w:r>
          </w:p>
        </w:tc>
        <w:tc>
          <w:tcPr>
            <w:tcW w:w="418" w:type="pct"/>
            <w:vMerge w:val="restart"/>
            <w:shd w:val="clear" w:color="auto" w:fill="auto"/>
            <w:hideMark/>
          </w:tcPr>
          <w:p w14:paraId="1BB958A8"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 </w:t>
            </w:r>
          </w:p>
        </w:tc>
        <w:tc>
          <w:tcPr>
            <w:tcW w:w="508" w:type="pct"/>
            <w:vMerge w:val="restart"/>
            <w:shd w:val="clear" w:color="auto" w:fill="auto"/>
            <w:hideMark/>
          </w:tcPr>
          <w:p w14:paraId="308AD9DB"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 podpořit opatření k obnově půdního retenčního potenciálu půd, podpořit nápravná opatření extrémně utužených půd (až 55 % ZPF), podpořit konkrétní adaptační opatření na pozemku (realizace zelené infrastruktury, malého vodního díla apod.)na místo výplat plošných podpor v programu greening na monokultury TTP apod.</w:t>
            </w:r>
            <w:r w:rsidRPr="007C705C">
              <w:rPr>
                <w:rFonts w:cs="Times New Roman"/>
                <w:lang w:val="cs-CZ"/>
              </w:rPr>
              <w:br/>
            </w:r>
            <w:r w:rsidRPr="007C705C">
              <w:rPr>
                <w:rFonts w:eastAsiaTheme="minorEastAsia" w:cs="Times New Roman"/>
                <w:color w:val="000000" w:themeColor="text1"/>
                <w:sz w:val="18"/>
                <w:szCs w:val="18"/>
                <w:lang w:val="cs-CZ"/>
              </w:rPr>
              <w:t xml:space="preserve">• uplatnění pásového střídání plodin (kukuřice / píce) na každém DPB při výrobě bioplynu </w:t>
            </w:r>
            <w:r w:rsidRPr="007C705C">
              <w:rPr>
                <w:rFonts w:cs="Times New Roman"/>
                <w:lang w:val="cs-CZ"/>
              </w:rPr>
              <w:br/>
            </w:r>
            <w:r w:rsidRPr="007C705C">
              <w:rPr>
                <w:rFonts w:eastAsiaTheme="minorEastAsia" w:cs="Times New Roman"/>
                <w:color w:val="000000" w:themeColor="text1"/>
                <w:sz w:val="18"/>
                <w:szCs w:val="18"/>
                <w:lang w:val="cs-CZ"/>
              </w:rPr>
              <w:lastRenderedPageBreak/>
              <w:t>• podpora myšlenek precizního zemědělství ve smyslu nezvyšovat nadále tlak na půdu a omezit se s aplikací hnojiv pouze na maximální intenzitu, kterou má půdní sorpční komplex</w:t>
            </w:r>
          </w:p>
        </w:tc>
        <w:tc>
          <w:tcPr>
            <w:tcW w:w="412" w:type="pct"/>
            <w:vMerge w:val="restart"/>
            <w:shd w:val="clear" w:color="auto" w:fill="auto"/>
            <w:hideMark/>
          </w:tcPr>
          <w:p w14:paraId="59D48292"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lastRenderedPageBreak/>
              <w:t> </w:t>
            </w:r>
          </w:p>
        </w:tc>
      </w:tr>
      <w:tr w:rsidR="003E0F58" w:rsidRPr="007C705C" w14:paraId="0E91F7BE" w14:textId="77777777" w:rsidTr="004D2249">
        <w:trPr>
          <w:trHeight w:val="2400"/>
        </w:trPr>
        <w:tc>
          <w:tcPr>
            <w:tcW w:w="424" w:type="pct"/>
            <w:vMerge/>
            <w:vAlign w:val="center"/>
            <w:hideMark/>
          </w:tcPr>
          <w:p w14:paraId="088CA9CB" w14:textId="77777777" w:rsidR="003E0F58" w:rsidRPr="007C705C" w:rsidRDefault="003E0F58" w:rsidP="004D2249">
            <w:pPr>
              <w:jc w:val="left"/>
              <w:rPr>
                <w:rFonts w:cs="Times New Roman"/>
                <w:color w:val="000000"/>
                <w:sz w:val="18"/>
                <w:lang w:val="cs-CZ"/>
              </w:rPr>
            </w:pPr>
          </w:p>
        </w:tc>
        <w:tc>
          <w:tcPr>
            <w:tcW w:w="583" w:type="pct"/>
            <w:vMerge/>
            <w:vAlign w:val="center"/>
            <w:hideMark/>
          </w:tcPr>
          <w:p w14:paraId="175A837A" w14:textId="77777777" w:rsidR="003E0F58" w:rsidRPr="007C705C" w:rsidRDefault="003E0F58" w:rsidP="004D2249">
            <w:pPr>
              <w:jc w:val="left"/>
              <w:rPr>
                <w:rFonts w:cs="Times New Roman"/>
                <w:color w:val="000000"/>
                <w:sz w:val="18"/>
                <w:lang w:val="cs-CZ"/>
              </w:rPr>
            </w:pPr>
          </w:p>
        </w:tc>
        <w:tc>
          <w:tcPr>
            <w:tcW w:w="379" w:type="pct"/>
            <w:vMerge/>
            <w:vAlign w:val="center"/>
            <w:hideMark/>
          </w:tcPr>
          <w:p w14:paraId="067291AD" w14:textId="77777777" w:rsidR="003E0F58" w:rsidRPr="007C705C" w:rsidRDefault="003E0F58" w:rsidP="004D2249">
            <w:pPr>
              <w:jc w:val="left"/>
              <w:rPr>
                <w:rFonts w:cs="Times New Roman"/>
                <w:color w:val="000000"/>
                <w:sz w:val="18"/>
                <w:lang w:val="cs-CZ"/>
              </w:rPr>
            </w:pPr>
          </w:p>
        </w:tc>
        <w:tc>
          <w:tcPr>
            <w:tcW w:w="405" w:type="pct"/>
            <w:shd w:val="clear" w:color="auto" w:fill="auto"/>
            <w:hideMark/>
          </w:tcPr>
          <w:p w14:paraId="744B4FB8"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ztráta infiltrační a retenční kapacity půdy související s degradací živé složky půd, která neobnovuje strukturu a pórovitost půdy</w:t>
            </w:r>
          </w:p>
        </w:tc>
        <w:tc>
          <w:tcPr>
            <w:tcW w:w="317" w:type="pct"/>
            <w:shd w:val="clear" w:color="auto" w:fill="auto"/>
            <w:hideMark/>
          </w:tcPr>
          <w:p w14:paraId="083E36B1"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1</w:t>
            </w:r>
          </w:p>
        </w:tc>
        <w:tc>
          <w:tcPr>
            <w:tcW w:w="524" w:type="pct"/>
            <w:shd w:val="clear" w:color="auto" w:fill="auto"/>
            <w:hideMark/>
          </w:tcPr>
          <w:p w14:paraId="55C4C6B1"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 xml:space="preserve">Problematika úzce souvisí s aplikací organické hmoty (meziplodiny, org. hnojení), kdy některé zemědělské subjekty meziplodiny nechtějí uplatňovat z důvodu odběru půdní vláhy, živin či vysokých </w:t>
            </w:r>
            <w:r w:rsidRPr="007C705C">
              <w:rPr>
                <w:rFonts w:eastAsiaTheme="minorEastAsia" w:cs="Times New Roman"/>
                <w:color w:val="000000" w:themeColor="text1"/>
                <w:sz w:val="18"/>
                <w:szCs w:val="18"/>
                <w:lang w:val="cs-CZ"/>
              </w:rPr>
              <w:lastRenderedPageBreak/>
              <w:t>nákladů na aplikaci org. hnojiv. (přip. nemají dostatečné množství org. hnojiv vzhledem ke snižování chovů v živ. výrobě)</w:t>
            </w:r>
          </w:p>
        </w:tc>
        <w:tc>
          <w:tcPr>
            <w:tcW w:w="583" w:type="pct"/>
            <w:shd w:val="clear" w:color="auto" w:fill="auto"/>
            <w:hideMark/>
          </w:tcPr>
          <w:p w14:paraId="79075C73"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lastRenderedPageBreak/>
              <w:t>Podpora zařazování meziplodin do osevního postupu, dodržování bilance organické hmoty na obhospodařovaných  blocích a částečná finanční kompenzace.</w:t>
            </w:r>
          </w:p>
        </w:tc>
        <w:tc>
          <w:tcPr>
            <w:tcW w:w="447" w:type="pct"/>
            <w:vMerge/>
            <w:vAlign w:val="center"/>
            <w:hideMark/>
          </w:tcPr>
          <w:p w14:paraId="2A72940D" w14:textId="77777777" w:rsidR="003E0F58" w:rsidRPr="007C705C" w:rsidRDefault="003E0F58" w:rsidP="004D2249">
            <w:pPr>
              <w:jc w:val="left"/>
              <w:rPr>
                <w:rFonts w:cs="Times New Roman"/>
                <w:color w:val="000000"/>
                <w:sz w:val="18"/>
                <w:lang w:val="cs-CZ"/>
              </w:rPr>
            </w:pPr>
          </w:p>
        </w:tc>
        <w:tc>
          <w:tcPr>
            <w:tcW w:w="418" w:type="pct"/>
            <w:vMerge/>
            <w:vAlign w:val="center"/>
            <w:hideMark/>
          </w:tcPr>
          <w:p w14:paraId="08A67C56" w14:textId="77777777" w:rsidR="003E0F58" w:rsidRPr="007C705C" w:rsidRDefault="003E0F58" w:rsidP="004D2249">
            <w:pPr>
              <w:jc w:val="left"/>
              <w:rPr>
                <w:rFonts w:cs="Times New Roman"/>
                <w:color w:val="000000"/>
                <w:sz w:val="18"/>
                <w:lang w:val="cs-CZ"/>
              </w:rPr>
            </w:pPr>
          </w:p>
        </w:tc>
        <w:tc>
          <w:tcPr>
            <w:tcW w:w="508" w:type="pct"/>
            <w:vMerge/>
            <w:vAlign w:val="center"/>
            <w:hideMark/>
          </w:tcPr>
          <w:p w14:paraId="75FC98E6" w14:textId="77777777" w:rsidR="003E0F58" w:rsidRPr="007C705C" w:rsidRDefault="003E0F58" w:rsidP="004D2249">
            <w:pPr>
              <w:jc w:val="left"/>
              <w:rPr>
                <w:rFonts w:cs="Times New Roman"/>
                <w:color w:val="000000"/>
                <w:sz w:val="18"/>
                <w:lang w:val="cs-CZ"/>
              </w:rPr>
            </w:pPr>
          </w:p>
        </w:tc>
        <w:tc>
          <w:tcPr>
            <w:tcW w:w="412" w:type="pct"/>
            <w:vMerge/>
            <w:vAlign w:val="center"/>
            <w:hideMark/>
          </w:tcPr>
          <w:p w14:paraId="7682AF74" w14:textId="77777777" w:rsidR="003E0F58" w:rsidRPr="007C705C" w:rsidRDefault="003E0F58" w:rsidP="004D2249">
            <w:pPr>
              <w:jc w:val="left"/>
              <w:rPr>
                <w:rFonts w:cs="Times New Roman"/>
                <w:color w:val="000000"/>
                <w:sz w:val="18"/>
                <w:lang w:val="cs-CZ"/>
              </w:rPr>
            </w:pPr>
          </w:p>
        </w:tc>
      </w:tr>
      <w:tr w:rsidR="003E0F58" w:rsidRPr="007C705C" w14:paraId="34E37617" w14:textId="77777777" w:rsidTr="004D2249">
        <w:trPr>
          <w:trHeight w:val="1200"/>
        </w:trPr>
        <w:tc>
          <w:tcPr>
            <w:tcW w:w="424" w:type="pct"/>
            <w:vMerge/>
            <w:vAlign w:val="center"/>
            <w:hideMark/>
          </w:tcPr>
          <w:p w14:paraId="10D9FE95" w14:textId="77777777" w:rsidR="003E0F58" w:rsidRPr="007C705C" w:rsidRDefault="003E0F58" w:rsidP="004D2249">
            <w:pPr>
              <w:jc w:val="left"/>
              <w:rPr>
                <w:rFonts w:cs="Times New Roman"/>
                <w:color w:val="000000"/>
                <w:sz w:val="18"/>
                <w:lang w:val="cs-CZ"/>
              </w:rPr>
            </w:pPr>
          </w:p>
        </w:tc>
        <w:tc>
          <w:tcPr>
            <w:tcW w:w="583" w:type="pct"/>
            <w:vMerge/>
            <w:vAlign w:val="center"/>
            <w:hideMark/>
          </w:tcPr>
          <w:p w14:paraId="16084358" w14:textId="77777777" w:rsidR="003E0F58" w:rsidRPr="007C705C" w:rsidRDefault="003E0F58" w:rsidP="004D2249">
            <w:pPr>
              <w:jc w:val="left"/>
              <w:rPr>
                <w:rFonts w:cs="Times New Roman"/>
                <w:color w:val="000000"/>
                <w:sz w:val="18"/>
                <w:lang w:val="cs-CZ"/>
              </w:rPr>
            </w:pPr>
          </w:p>
        </w:tc>
        <w:tc>
          <w:tcPr>
            <w:tcW w:w="379" w:type="pct"/>
            <w:vMerge/>
            <w:vAlign w:val="center"/>
            <w:hideMark/>
          </w:tcPr>
          <w:p w14:paraId="560C36B2" w14:textId="77777777" w:rsidR="003E0F58" w:rsidRPr="007C705C" w:rsidRDefault="003E0F58" w:rsidP="004D2249">
            <w:pPr>
              <w:jc w:val="left"/>
              <w:rPr>
                <w:rFonts w:cs="Times New Roman"/>
                <w:color w:val="000000"/>
                <w:sz w:val="18"/>
                <w:lang w:val="cs-CZ"/>
              </w:rPr>
            </w:pPr>
          </w:p>
        </w:tc>
        <w:tc>
          <w:tcPr>
            <w:tcW w:w="405" w:type="pct"/>
            <w:shd w:val="clear" w:color="auto" w:fill="auto"/>
            <w:hideMark/>
          </w:tcPr>
          <w:p w14:paraId="2D9B3F8E"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nevhodný nebo nedostatečný (chybějící) vegetační pokryv</w:t>
            </w:r>
          </w:p>
        </w:tc>
        <w:tc>
          <w:tcPr>
            <w:tcW w:w="317" w:type="pct"/>
            <w:shd w:val="clear" w:color="auto" w:fill="auto"/>
            <w:hideMark/>
          </w:tcPr>
          <w:p w14:paraId="37E1EBD9"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1</w:t>
            </w:r>
          </w:p>
        </w:tc>
        <w:tc>
          <w:tcPr>
            <w:tcW w:w="524" w:type="pct"/>
            <w:shd w:val="clear" w:color="auto" w:fill="auto"/>
            <w:hideMark/>
          </w:tcPr>
          <w:p w14:paraId="7121C5B0"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Zajišťovat pokryv v době nejčastějšího výskytu přívalových srážek (duben-říjen) v některých případech zvyšuje náklady se zpracováním půdy a osivy (částečně řešeno DZES 5)</w:t>
            </w:r>
          </w:p>
        </w:tc>
        <w:tc>
          <w:tcPr>
            <w:tcW w:w="583" w:type="pct"/>
            <w:shd w:val="clear" w:color="auto" w:fill="auto"/>
            <w:hideMark/>
          </w:tcPr>
          <w:p w14:paraId="37A9D352"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Zařazování technologií zvyšující pokryvnost povrchu v době vegetace (přímé setí do rostlinných zbytků "No till", pásové zpracování půdy "Strip-till")</w:t>
            </w:r>
          </w:p>
        </w:tc>
        <w:tc>
          <w:tcPr>
            <w:tcW w:w="447" w:type="pct"/>
            <w:vMerge/>
            <w:vAlign w:val="center"/>
            <w:hideMark/>
          </w:tcPr>
          <w:p w14:paraId="091CB74D" w14:textId="77777777" w:rsidR="003E0F58" w:rsidRPr="007C705C" w:rsidRDefault="003E0F58" w:rsidP="004D2249">
            <w:pPr>
              <w:jc w:val="left"/>
              <w:rPr>
                <w:rFonts w:cs="Times New Roman"/>
                <w:color w:val="000000"/>
                <w:sz w:val="18"/>
                <w:lang w:val="cs-CZ"/>
              </w:rPr>
            </w:pPr>
          </w:p>
        </w:tc>
        <w:tc>
          <w:tcPr>
            <w:tcW w:w="418" w:type="pct"/>
            <w:vMerge/>
            <w:vAlign w:val="center"/>
            <w:hideMark/>
          </w:tcPr>
          <w:p w14:paraId="2DB0B587" w14:textId="77777777" w:rsidR="003E0F58" w:rsidRPr="007C705C" w:rsidRDefault="003E0F58" w:rsidP="004D2249">
            <w:pPr>
              <w:jc w:val="left"/>
              <w:rPr>
                <w:rFonts w:cs="Times New Roman"/>
                <w:color w:val="000000"/>
                <w:sz w:val="18"/>
                <w:lang w:val="cs-CZ"/>
              </w:rPr>
            </w:pPr>
          </w:p>
        </w:tc>
        <w:tc>
          <w:tcPr>
            <w:tcW w:w="508" w:type="pct"/>
            <w:vMerge/>
            <w:vAlign w:val="center"/>
            <w:hideMark/>
          </w:tcPr>
          <w:p w14:paraId="6F30CA7E" w14:textId="77777777" w:rsidR="003E0F58" w:rsidRPr="007C705C" w:rsidRDefault="003E0F58" w:rsidP="004D2249">
            <w:pPr>
              <w:jc w:val="left"/>
              <w:rPr>
                <w:rFonts w:cs="Times New Roman"/>
                <w:color w:val="000000"/>
                <w:sz w:val="18"/>
                <w:lang w:val="cs-CZ"/>
              </w:rPr>
            </w:pPr>
          </w:p>
        </w:tc>
        <w:tc>
          <w:tcPr>
            <w:tcW w:w="412" w:type="pct"/>
            <w:vMerge/>
            <w:vAlign w:val="center"/>
            <w:hideMark/>
          </w:tcPr>
          <w:p w14:paraId="3DD5246E" w14:textId="77777777" w:rsidR="003E0F58" w:rsidRPr="007C705C" w:rsidRDefault="003E0F58" w:rsidP="004D2249">
            <w:pPr>
              <w:jc w:val="left"/>
              <w:rPr>
                <w:rFonts w:cs="Times New Roman"/>
                <w:color w:val="000000"/>
                <w:sz w:val="18"/>
                <w:lang w:val="cs-CZ"/>
              </w:rPr>
            </w:pPr>
          </w:p>
        </w:tc>
      </w:tr>
      <w:bookmarkEnd w:id="596"/>
      <w:tr w:rsidR="003E0F58" w:rsidRPr="007C705C" w14:paraId="08D101A8" w14:textId="77777777" w:rsidTr="004D2249">
        <w:trPr>
          <w:trHeight w:val="900"/>
        </w:trPr>
        <w:tc>
          <w:tcPr>
            <w:tcW w:w="424" w:type="pct"/>
            <w:vMerge/>
            <w:vAlign w:val="center"/>
            <w:hideMark/>
          </w:tcPr>
          <w:p w14:paraId="153619F0" w14:textId="77777777" w:rsidR="003E0F58" w:rsidRPr="007C705C" w:rsidRDefault="003E0F58" w:rsidP="004D2249">
            <w:pPr>
              <w:jc w:val="left"/>
              <w:rPr>
                <w:rFonts w:cs="Times New Roman"/>
                <w:color w:val="000000"/>
                <w:sz w:val="18"/>
                <w:lang w:val="cs-CZ"/>
              </w:rPr>
            </w:pPr>
          </w:p>
        </w:tc>
        <w:tc>
          <w:tcPr>
            <w:tcW w:w="583" w:type="pct"/>
            <w:vMerge/>
            <w:vAlign w:val="center"/>
            <w:hideMark/>
          </w:tcPr>
          <w:p w14:paraId="578DCDE6" w14:textId="77777777" w:rsidR="003E0F58" w:rsidRPr="007C705C" w:rsidRDefault="003E0F58" w:rsidP="004D2249">
            <w:pPr>
              <w:jc w:val="left"/>
              <w:rPr>
                <w:rFonts w:cs="Times New Roman"/>
                <w:color w:val="000000"/>
                <w:sz w:val="18"/>
                <w:lang w:val="cs-CZ"/>
              </w:rPr>
            </w:pPr>
          </w:p>
        </w:tc>
        <w:tc>
          <w:tcPr>
            <w:tcW w:w="379" w:type="pct"/>
            <w:vMerge/>
            <w:vAlign w:val="center"/>
            <w:hideMark/>
          </w:tcPr>
          <w:p w14:paraId="7620D5DB" w14:textId="77777777" w:rsidR="003E0F58" w:rsidRPr="007C705C" w:rsidRDefault="003E0F58" w:rsidP="004D2249">
            <w:pPr>
              <w:jc w:val="left"/>
              <w:rPr>
                <w:rFonts w:cs="Times New Roman"/>
                <w:color w:val="000000"/>
                <w:sz w:val="18"/>
                <w:lang w:val="cs-CZ"/>
              </w:rPr>
            </w:pPr>
          </w:p>
        </w:tc>
        <w:tc>
          <w:tcPr>
            <w:tcW w:w="405" w:type="pct"/>
            <w:shd w:val="clear" w:color="auto" w:fill="auto"/>
            <w:hideMark/>
          </w:tcPr>
          <w:p w14:paraId="64B92293"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vlastnosti půdy a její náchylnosti k erozi</w:t>
            </w:r>
          </w:p>
        </w:tc>
        <w:tc>
          <w:tcPr>
            <w:tcW w:w="317" w:type="pct"/>
            <w:shd w:val="clear" w:color="auto" w:fill="auto"/>
            <w:hideMark/>
          </w:tcPr>
          <w:p w14:paraId="2D705086"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2</w:t>
            </w:r>
          </w:p>
        </w:tc>
        <w:tc>
          <w:tcPr>
            <w:tcW w:w="524" w:type="pct"/>
            <w:shd w:val="clear" w:color="auto" w:fill="auto"/>
            <w:hideMark/>
          </w:tcPr>
          <w:p w14:paraId="48CDE677"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Tento faktor je ovlivnitelný v omezené míře a zpravidla souvisí s uplatněním meziplodin a org. hnojením</w:t>
            </w:r>
          </w:p>
        </w:tc>
        <w:tc>
          <w:tcPr>
            <w:tcW w:w="583" w:type="pct"/>
            <w:shd w:val="clear" w:color="auto" w:fill="auto"/>
            <w:hideMark/>
          </w:tcPr>
          <w:p w14:paraId="1E0F4F81"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Souvislost se zařazováním meziplodin a aplikací org. hmoty</w:t>
            </w:r>
          </w:p>
        </w:tc>
        <w:tc>
          <w:tcPr>
            <w:tcW w:w="447" w:type="pct"/>
            <w:vMerge/>
            <w:vAlign w:val="center"/>
            <w:hideMark/>
          </w:tcPr>
          <w:p w14:paraId="4C69CD65" w14:textId="77777777" w:rsidR="003E0F58" w:rsidRPr="007C705C" w:rsidRDefault="003E0F58" w:rsidP="004D2249">
            <w:pPr>
              <w:jc w:val="left"/>
              <w:rPr>
                <w:rFonts w:cs="Times New Roman"/>
                <w:color w:val="000000"/>
                <w:sz w:val="18"/>
                <w:lang w:val="cs-CZ"/>
              </w:rPr>
            </w:pPr>
          </w:p>
        </w:tc>
        <w:tc>
          <w:tcPr>
            <w:tcW w:w="418" w:type="pct"/>
            <w:vMerge/>
            <w:vAlign w:val="center"/>
            <w:hideMark/>
          </w:tcPr>
          <w:p w14:paraId="11F98B1D" w14:textId="77777777" w:rsidR="003E0F58" w:rsidRPr="007C705C" w:rsidRDefault="003E0F58" w:rsidP="004D2249">
            <w:pPr>
              <w:jc w:val="left"/>
              <w:rPr>
                <w:rFonts w:cs="Times New Roman"/>
                <w:color w:val="000000"/>
                <w:sz w:val="18"/>
                <w:lang w:val="cs-CZ"/>
              </w:rPr>
            </w:pPr>
          </w:p>
        </w:tc>
        <w:tc>
          <w:tcPr>
            <w:tcW w:w="508" w:type="pct"/>
            <w:vMerge/>
            <w:vAlign w:val="center"/>
            <w:hideMark/>
          </w:tcPr>
          <w:p w14:paraId="2D5A8ED5" w14:textId="77777777" w:rsidR="003E0F58" w:rsidRPr="007C705C" w:rsidRDefault="003E0F58" w:rsidP="004D2249">
            <w:pPr>
              <w:jc w:val="left"/>
              <w:rPr>
                <w:rFonts w:cs="Times New Roman"/>
                <w:color w:val="000000"/>
                <w:sz w:val="18"/>
                <w:lang w:val="cs-CZ"/>
              </w:rPr>
            </w:pPr>
          </w:p>
        </w:tc>
        <w:tc>
          <w:tcPr>
            <w:tcW w:w="412" w:type="pct"/>
            <w:vMerge/>
            <w:vAlign w:val="center"/>
            <w:hideMark/>
          </w:tcPr>
          <w:p w14:paraId="06265D2B" w14:textId="77777777" w:rsidR="003E0F58" w:rsidRPr="007C705C" w:rsidRDefault="003E0F58" w:rsidP="004D2249">
            <w:pPr>
              <w:jc w:val="left"/>
              <w:rPr>
                <w:rFonts w:cs="Times New Roman"/>
                <w:color w:val="000000"/>
                <w:sz w:val="18"/>
                <w:lang w:val="cs-CZ"/>
              </w:rPr>
            </w:pPr>
          </w:p>
        </w:tc>
      </w:tr>
      <w:tr w:rsidR="003E0F58" w:rsidRPr="007C705C" w14:paraId="643686AD" w14:textId="77777777" w:rsidTr="004D2249">
        <w:trPr>
          <w:trHeight w:val="900"/>
        </w:trPr>
        <w:tc>
          <w:tcPr>
            <w:tcW w:w="424" w:type="pct"/>
            <w:vMerge/>
            <w:vAlign w:val="center"/>
            <w:hideMark/>
          </w:tcPr>
          <w:p w14:paraId="55394500" w14:textId="77777777" w:rsidR="003E0F58" w:rsidRPr="007C705C" w:rsidRDefault="003E0F58" w:rsidP="004D2249">
            <w:pPr>
              <w:jc w:val="left"/>
              <w:rPr>
                <w:rFonts w:cs="Times New Roman"/>
                <w:color w:val="000000"/>
                <w:sz w:val="18"/>
                <w:lang w:val="cs-CZ"/>
              </w:rPr>
            </w:pPr>
          </w:p>
        </w:tc>
        <w:tc>
          <w:tcPr>
            <w:tcW w:w="583" w:type="pct"/>
            <w:vMerge/>
            <w:vAlign w:val="center"/>
            <w:hideMark/>
          </w:tcPr>
          <w:p w14:paraId="1118E8F8" w14:textId="77777777" w:rsidR="003E0F58" w:rsidRPr="007C705C" w:rsidRDefault="003E0F58" w:rsidP="004D2249">
            <w:pPr>
              <w:jc w:val="left"/>
              <w:rPr>
                <w:rFonts w:cs="Times New Roman"/>
                <w:color w:val="000000"/>
                <w:sz w:val="18"/>
                <w:lang w:val="cs-CZ"/>
              </w:rPr>
            </w:pPr>
          </w:p>
        </w:tc>
        <w:tc>
          <w:tcPr>
            <w:tcW w:w="379" w:type="pct"/>
            <w:vMerge/>
            <w:vAlign w:val="center"/>
            <w:hideMark/>
          </w:tcPr>
          <w:p w14:paraId="03AE2F04" w14:textId="77777777" w:rsidR="003E0F58" w:rsidRPr="007C705C" w:rsidRDefault="003E0F58" w:rsidP="004D2249">
            <w:pPr>
              <w:jc w:val="left"/>
              <w:rPr>
                <w:rFonts w:cs="Times New Roman"/>
                <w:color w:val="000000"/>
                <w:sz w:val="18"/>
                <w:lang w:val="cs-CZ"/>
              </w:rPr>
            </w:pPr>
          </w:p>
        </w:tc>
        <w:tc>
          <w:tcPr>
            <w:tcW w:w="405" w:type="pct"/>
            <w:shd w:val="clear" w:color="auto" w:fill="auto"/>
            <w:hideMark/>
          </w:tcPr>
          <w:p w14:paraId="4C4E536A"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přítomnost protierozních opatření</w:t>
            </w:r>
          </w:p>
        </w:tc>
        <w:tc>
          <w:tcPr>
            <w:tcW w:w="317" w:type="pct"/>
            <w:shd w:val="clear" w:color="auto" w:fill="auto"/>
            <w:hideMark/>
          </w:tcPr>
          <w:p w14:paraId="73E2F4BA"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2</w:t>
            </w:r>
          </w:p>
        </w:tc>
        <w:tc>
          <w:tcPr>
            <w:tcW w:w="524" w:type="pct"/>
            <w:shd w:val="clear" w:color="auto" w:fill="auto"/>
            <w:hideMark/>
          </w:tcPr>
          <w:p w14:paraId="64D38100"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 xml:space="preserve">Realizace je spjata s vyjasněním vlastnických vztahů a zajištěním dostatečných finančních prostředků. </w:t>
            </w:r>
          </w:p>
        </w:tc>
        <w:tc>
          <w:tcPr>
            <w:tcW w:w="583" w:type="pct"/>
            <w:shd w:val="clear" w:color="auto" w:fill="auto"/>
            <w:hideMark/>
          </w:tcPr>
          <w:p w14:paraId="2108B98A"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Podpora agrolesnictví, podpora pozemkových úprav</w:t>
            </w:r>
          </w:p>
        </w:tc>
        <w:tc>
          <w:tcPr>
            <w:tcW w:w="447" w:type="pct"/>
            <w:vMerge/>
            <w:vAlign w:val="center"/>
            <w:hideMark/>
          </w:tcPr>
          <w:p w14:paraId="66C2A31F" w14:textId="77777777" w:rsidR="003E0F58" w:rsidRPr="007C705C" w:rsidRDefault="003E0F58" w:rsidP="004D2249">
            <w:pPr>
              <w:jc w:val="left"/>
              <w:rPr>
                <w:rFonts w:cs="Times New Roman"/>
                <w:color w:val="000000"/>
                <w:sz w:val="18"/>
                <w:lang w:val="cs-CZ"/>
              </w:rPr>
            </w:pPr>
          </w:p>
        </w:tc>
        <w:tc>
          <w:tcPr>
            <w:tcW w:w="418" w:type="pct"/>
            <w:vMerge/>
            <w:vAlign w:val="center"/>
            <w:hideMark/>
          </w:tcPr>
          <w:p w14:paraId="53F8BABF" w14:textId="77777777" w:rsidR="003E0F58" w:rsidRPr="007C705C" w:rsidRDefault="003E0F58" w:rsidP="004D2249">
            <w:pPr>
              <w:jc w:val="left"/>
              <w:rPr>
                <w:rFonts w:cs="Times New Roman"/>
                <w:color w:val="000000"/>
                <w:sz w:val="18"/>
                <w:lang w:val="cs-CZ"/>
              </w:rPr>
            </w:pPr>
          </w:p>
        </w:tc>
        <w:tc>
          <w:tcPr>
            <w:tcW w:w="508" w:type="pct"/>
            <w:vMerge/>
            <w:vAlign w:val="center"/>
            <w:hideMark/>
          </w:tcPr>
          <w:p w14:paraId="08210D1A" w14:textId="77777777" w:rsidR="003E0F58" w:rsidRPr="007C705C" w:rsidRDefault="003E0F58" w:rsidP="004D2249">
            <w:pPr>
              <w:jc w:val="left"/>
              <w:rPr>
                <w:rFonts w:cs="Times New Roman"/>
                <w:color w:val="000000"/>
                <w:sz w:val="18"/>
                <w:lang w:val="cs-CZ"/>
              </w:rPr>
            </w:pPr>
          </w:p>
        </w:tc>
        <w:tc>
          <w:tcPr>
            <w:tcW w:w="412" w:type="pct"/>
            <w:vMerge/>
            <w:vAlign w:val="center"/>
            <w:hideMark/>
          </w:tcPr>
          <w:p w14:paraId="77005E82" w14:textId="77777777" w:rsidR="003E0F58" w:rsidRPr="007C705C" w:rsidRDefault="003E0F58" w:rsidP="004D2249">
            <w:pPr>
              <w:jc w:val="left"/>
              <w:rPr>
                <w:rFonts w:cs="Times New Roman"/>
                <w:color w:val="000000"/>
                <w:sz w:val="18"/>
                <w:lang w:val="cs-CZ"/>
              </w:rPr>
            </w:pPr>
          </w:p>
        </w:tc>
      </w:tr>
      <w:tr w:rsidR="003E0F58" w:rsidRPr="007C705C" w14:paraId="535A043C" w14:textId="77777777" w:rsidTr="004D2249">
        <w:trPr>
          <w:trHeight w:val="1800"/>
        </w:trPr>
        <w:tc>
          <w:tcPr>
            <w:tcW w:w="424" w:type="pct"/>
            <w:vMerge/>
            <w:vAlign w:val="center"/>
            <w:hideMark/>
          </w:tcPr>
          <w:p w14:paraId="1AD998F4" w14:textId="77777777" w:rsidR="003E0F58" w:rsidRPr="007C705C" w:rsidRDefault="003E0F58" w:rsidP="004D2249">
            <w:pPr>
              <w:jc w:val="left"/>
              <w:rPr>
                <w:rFonts w:cs="Times New Roman"/>
                <w:color w:val="000000"/>
                <w:sz w:val="18"/>
                <w:lang w:val="cs-CZ"/>
              </w:rPr>
            </w:pPr>
          </w:p>
        </w:tc>
        <w:tc>
          <w:tcPr>
            <w:tcW w:w="583" w:type="pct"/>
            <w:vMerge/>
            <w:vAlign w:val="center"/>
            <w:hideMark/>
          </w:tcPr>
          <w:p w14:paraId="28CD9704" w14:textId="77777777" w:rsidR="003E0F58" w:rsidRPr="007C705C" w:rsidRDefault="003E0F58" w:rsidP="004D2249">
            <w:pPr>
              <w:jc w:val="left"/>
              <w:rPr>
                <w:rFonts w:cs="Times New Roman"/>
                <w:color w:val="000000"/>
                <w:sz w:val="18"/>
                <w:lang w:val="cs-CZ"/>
              </w:rPr>
            </w:pPr>
          </w:p>
        </w:tc>
        <w:tc>
          <w:tcPr>
            <w:tcW w:w="379" w:type="pct"/>
            <w:vMerge/>
            <w:vAlign w:val="center"/>
            <w:hideMark/>
          </w:tcPr>
          <w:p w14:paraId="72274E24" w14:textId="77777777" w:rsidR="003E0F58" w:rsidRPr="007C705C" w:rsidRDefault="003E0F58" w:rsidP="004D2249">
            <w:pPr>
              <w:jc w:val="left"/>
              <w:rPr>
                <w:rFonts w:cs="Times New Roman"/>
                <w:color w:val="000000"/>
                <w:sz w:val="18"/>
                <w:lang w:val="cs-CZ"/>
              </w:rPr>
            </w:pPr>
          </w:p>
        </w:tc>
        <w:tc>
          <w:tcPr>
            <w:tcW w:w="405" w:type="pct"/>
            <w:shd w:val="clear" w:color="auto" w:fill="auto"/>
            <w:hideMark/>
          </w:tcPr>
          <w:p w14:paraId="68EDA52D"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velké půdní bloky bez přítomnosti krajinných prvků</w:t>
            </w:r>
          </w:p>
        </w:tc>
        <w:tc>
          <w:tcPr>
            <w:tcW w:w="317" w:type="pct"/>
            <w:shd w:val="clear" w:color="auto" w:fill="auto"/>
            <w:hideMark/>
          </w:tcPr>
          <w:p w14:paraId="7FE690FA"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2</w:t>
            </w:r>
          </w:p>
        </w:tc>
        <w:tc>
          <w:tcPr>
            <w:tcW w:w="524" w:type="pct"/>
            <w:shd w:val="clear" w:color="auto" w:fill="auto"/>
            <w:hideMark/>
          </w:tcPr>
          <w:p w14:paraId="4B54BAA9"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Neochota zemědělců vychází z předpokladu, že krajinné prvky je omezí při obhospodařování. V dnešní době je již možné využívat navigace při obhospodařování a prostředky GIS, které racionalizují pojezdy i v omezeném prostředí.</w:t>
            </w:r>
          </w:p>
        </w:tc>
        <w:tc>
          <w:tcPr>
            <w:tcW w:w="583" w:type="pct"/>
            <w:shd w:val="clear" w:color="auto" w:fill="auto"/>
            <w:hideMark/>
          </w:tcPr>
          <w:p w14:paraId="0C89B858"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Podpora agrolesnictví, podpora pozemkových úprav, podpora navigačních technologií a GIS</w:t>
            </w:r>
          </w:p>
        </w:tc>
        <w:tc>
          <w:tcPr>
            <w:tcW w:w="447" w:type="pct"/>
            <w:vMerge/>
            <w:vAlign w:val="center"/>
            <w:hideMark/>
          </w:tcPr>
          <w:p w14:paraId="1A71BE5F" w14:textId="77777777" w:rsidR="003E0F58" w:rsidRPr="007C705C" w:rsidRDefault="003E0F58" w:rsidP="004D2249">
            <w:pPr>
              <w:jc w:val="left"/>
              <w:rPr>
                <w:rFonts w:cs="Times New Roman"/>
                <w:color w:val="000000"/>
                <w:sz w:val="18"/>
                <w:lang w:val="cs-CZ"/>
              </w:rPr>
            </w:pPr>
          </w:p>
        </w:tc>
        <w:tc>
          <w:tcPr>
            <w:tcW w:w="418" w:type="pct"/>
            <w:vMerge/>
            <w:vAlign w:val="center"/>
            <w:hideMark/>
          </w:tcPr>
          <w:p w14:paraId="18A0F10B" w14:textId="77777777" w:rsidR="003E0F58" w:rsidRPr="007C705C" w:rsidRDefault="003E0F58" w:rsidP="004D2249">
            <w:pPr>
              <w:jc w:val="left"/>
              <w:rPr>
                <w:rFonts w:cs="Times New Roman"/>
                <w:color w:val="000000"/>
                <w:sz w:val="18"/>
                <w:lang w:val="cs-CZ"/>
              </w:rPr>
            </w:pPr>
          </w:p>
        </w:tc>
        <w:tc>
          <w:tcPr>
            <w:tcW w:w="508" w:type="pct"/>
            <w:vMerge/>
            <w:vAlign w:val="center"/>
            <w:hideMark/>
          </w:tcPr>
          <w:p w14:paraId="714C051D" w14:textId="77777777" w:rsidR="003E0F58" w:rsidRPr="007C705C" w:rsidRDefault="003E0F58" w:rsidP="004D2249">
            <w:pPr>
              <w:jc w:val="left"/>
              <w:rPr>
                <w:rFonts w:cs="Times New Roman"/>
                <w:color w:val="000000"/>
                <w:sz w:val="18"/>
                <w:lang w:val="cs-CZ"/>
              </w:rPr>
            </w:pPr>
          </w:p>
        </w:tc>
        <w:tc>
          <w:tcPr>
            <w:tcW w:w="412" w:type="pct"/>
            <w:vMerge/>
            <w:vAlign w:val="center"/>
            <w:hideMark/>
          </w:tcPr>
          <w:p w14:paraId="0C6D2CBD" w14:textId="77777777" w:rsidR="003E0F58" w:rsidRPr="007C705C" w:rsidRDefault="003E0F58" w:rsidP="004D2249">
            <w:pPr>
              <w:jc w:val="left"/>
              <w:rPr>
                <w:rFonts w:cs="Times New Roman"/>
                <w:color w:val="000000"/>
                <w:sz w:val="18"/>
                <w:lang w:val="cs-CZ"/>
              </w:rPr>
            </w:pPr>
          </w:p>
        </w:tc>
      </w:tr>
      <w:tr w:rsidR="003E0F58" w:rsidRPr="007C705C" w14:paraId="1E0E9912" w14:textId="77777777" w:rsidTr="004D2249">
        <w:trPr>
          <w:trHeight w:val="615"/>
        </w:trPr>
        <w:tc>
          <w:tcPr>
            <w:tcW w:w="424" w:type="pct"/>
            <w:vMerge/>
            <w:vAlign w:val="center"/>
            <w:hideMark/>
          </w:tcPr>
          <w:p w14:paraId="3F6146C4" w14:textId="77777777" w:rsidR="003E0F58" w:rsidRPr="007C705C" w:rsidRDefault="003E0F58" w:rsidP="004D2249">
            <w:pPr>
              <w:jc w:val="left"/>
              <w:rPr>
                <w:rFonts w:cs="Times New Roman"/>
                <w:color w:val="000000"/>
                <w:sz w:val="18"/>
                <w:lang w:val="cs-CZ"/>
              </w:rPr>
            </w:pPr>
          </w:p>
        </w:tc>
        <w:tc>
          <w:tcPr>
            <w:tcW w:w="583" w:type="pct"/>
            <w:vMerge/>
            <w:vAlign w:val="center"/>
            <w:hideMark/>
          </w:tcPr>
          <w:p w14:paraId="11E4A64C" w14:textId="77777777" w:rsidR="003E0F58" w:rsidRPr="007C705C" w:rsidRDefault="003E0F58" w:rsidP="004D2249">
            <w:pPr>
              <w:jc w:val="left"/>
              <w:rPr>
                <w:rFonts w:cs="Times New Roman"/>
                <w:color w:val="000000"/>
                <w:sz w:val="18"/>
                <w:lang w:val="cs-CZ"/>
              </w:rPr>
            </w:pPr>
          </w:p>
        </w:tc>
        <w:tc>
          <w:tcPr>
            <w:tcW w:w="379" w:type="pct"/>
            <w:vMerge/>
            <w:vAlign w:val="center"/>
            <w:hideMark/>
          </w:tcPr>
          <w:p w14:paraId="0BCC63F7" w14:textId="77777777" w:rsidR="003E0F58" w:rsidRPr="007C705C" w:rsidRDefault="003E0F58" w:rsidP="004D2249">
            <w:pPr>
              <w:jc w:val="left"/>
              <w:rPr>
                <w:rFonts w:cs="Times New Roman"/>
                <w:color w:val="000000"/>
                <w:sz w:val="18"/>
                <w:lang w:val="cs-CZ"/>
              </w:rPr>
            </w:pPr>
          </w:p>
        </w:tc>
        <w:tc>
          <w:tcPr>
            <w:tcW w:w="405" w:type="pct"/>
            <w:shd w:val="clear" w:color="auto" w:fill="auto"/>
            <w:hideMark/>
          </w:tcPr>
          <w:p w14:paraId="3B23B09B"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četnost výskytu přívalových srážek</w:t>
            </w:r>
          </w:p>
        </w:tc>
        <w:tc>
          <w:tcPr>
            <w:tcW w:w="317" w:type="pct"/>
            <w:shd w:val="clear" w:color="auto" w:fill="auto"/>
            <w:hideMark/>
          </w:tcPr>
          <w:p w14:paraId="633AF4C9"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3</w:t>
            </w:r>
          </w:p>
        </w:tc>
        <w:tc>
          <w:tcPr>
            <w:tcW w:w="524" w:type="pct"/>
            <w:shd w:val="clear" w:color="auto" w:fill="auto"/>
            <w:hideMark/>
          </w:tcPr>
          <w:p w14:paraId="67CDB1FC"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Tento faktor není ovlivnitelný</w:t>
            </w:r>
          </w:p>
        </w:tc>
        <w:tc>
          <w:tcPr>
            <w:tcW w:w="583" w:type="pct"/>
            <w:shd w:val="clear" w:color="auto" w:fill="auto"/>
            <w:hideMark/>
          </w:tcPr>
          <w:p w14:paraId="5932111F"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Vhodná by byla podpora monitoringu a vyhodnocování srážek</w:t>
            </w:r>
          </w:p>
        </w:tc>
        <w:tc>
          <w:tcPr>
            <w:tcW w:w="447" w:type="pct"/>
            <w:vMerge/>
            <w:vAlign w:val="center"/>
            <w:hideMark/>
          </w:tcPr>
          <w:p w14:paraId="70C7C6C6" w14:textId="77777777" w:rsidR="003E0F58" w:rsidRPr="007C705C" w:rsidRDefault="003E0F58" w:rsidP="004D2249">
            <w:pPr>
              <w:jc w:val="left"/>
              <w:rPr>
                <w:rFonts w:cs="Times New Roman"/>
                <w:color w:val="000000"/>
                <w:sz w:val="18"/>
                <w:lang w:val="cs-CZ"/>
              </w:rPr>
            </w:pPr>
          </w:p>
        </w:tc>
        <w:tc>
          <w:tcPr>
            <w:tcW w:w="418" w:type="pct"/>
            <w:vMerge/>
            <w:vAlign w:val="center"/>
            <w:hideMark/>
          </w:tcPr>
          <w:p w14:paraId="3B218514" w14:textId="77777777" w:rsidR="003E0F58" w:rsidRPr="007C705C" w:rsidRDefault="003E0F58" w:rsidP="004D2249">
            <w:pPr>
              <w:jc w:val="left"/>
              <w:rPr>
                <w:rFonts w:cs="Times New Roman"/>
                <w:color w:val="000000"/>
                <w:sz w:val="18"/>
                <w:lang w:val="cs-CZ"/>
              </w:rPr>
            </w:pPr>
          </w:p>
        </w:tc>
        <w:tc>
          <w:tcPr>
            <w:tcW w:w="508" w:type="pct"/>
            <w:vMerge/>
            <w:vAlign w:val="center"/>
            <w:hideMark/>
          </w:tcPr>
          <w:p w14:paraId="0FFB2084" w14:textId="77777777" w:rsidR="003E0F58" w:rsidRPr="007C705C" w:rsidRDefault="003E0F58" w:rsidP="004D2249">
            <w:pPr>
              <w:jc w:val="left"/>
              <w:rPr>
                <w:rFonts w:cs="Times New Roman"/>
                <w:color w:val="000000"/>
                <w:sz w:val="18"/>
                <w:lang w:val="cs-CZ"/>
              </w:rPr>
            </w:pPr>
          </w:p>
        </w:tc>
        <w:tc>
          <w:tcPr>
            <w:tcW w:w="412" w:type="pct"/>
            <w:vMerge/>
            <w:vAlign w:val="center"/>
            <w:hideMark/>
          </w:tcPr>
          <w:p w14:paraId="301B3009" w14:textId="77777777" w:rsidR="003E0F58" w:rsidRPr="007C705C" w:rsidRDefault="003E0F58" w:rsidP="004D2249">
            <w:pPr>
              <w:jc w:val="left"/>
              <w:rPr>
                <w:rFonts w:cs="Times New Roman"/>
                <w:color w:val="000000"/>
                <w:sz w:val="18"/>
                <w:lang w:val="cs-CZ"/>
              </w:rPr>
            </w:pPr>
          </w:p>
        </w:tc>
      </w:tr>
    </w:tbl>
    <w:p w14:paraId="31130C2D" w14:textId="77777777" w:rsidR="003E0F58" w:rsidRPr="007C705C" w:rsidRDefault="003E0F58" w:rsidP="00D726A3">
      <w:pPr>
        <w:pStyle w:val="UZEIZdroj"/>
      </w:pPr>
      <w:r w:rsidRPr="007C705C">
        <w:t>Zdroj: VÚMOP v.v.i. 2018</w:t>
      </w:r>
    </w:p>
    <w:p w14:paraId="42C6DC82" w14:textId="77777777" w:rsidR="003E0F58" w:rsidRPr="007C705C" w:rsidRDefault="003E0F58" w:rsidP="003E0F58">
      <w:pPr>
        <w:pStyle w:val="Odstavecseseznamem"/>
        <w:ind w:left="862"/>
        <w:rPr>
          <w:lang w:eastAsia="x-none"/>
        </w:rPr>
      </w:pPr>
    </w:p>
    <w:p w14:paraId="62064FF9" w14:textId="77777777" w:rsidR="003E0F58" w:rsidRPr="007C705C" w:rsidRDefault="003E0F58" w:rsidP="008A1AE3">
      <w:pPr>
        <w:pStyle w:val="Odstavecseseznamem"/>
        <w:numPr>
          <w:ilvl w:val="0"/>
          <w:numId w:val="28"/>
        </w:numPr>
        <w:spacing w:before="60" w:line="360" w:lineRule="atLeast"/>
        <w:rPr>
          <w:lang w:eastAsia="x-none"/>
        </w:rPr>
      </w:pPr>
      <w:r w:rsidRPr="007C705C">
        <w:rPr>
          <w:lang w:eastAsia="x-none"/>
        </w:rPr>
        <w:br w:type="page"/>
      </w:r>
    </w:p>
    <w:p w14:paraId="2737011D" w14:textId="77777777" w:rsidR="003E0F58" w:rsidRPr="007C705C" w:rsidRDefault="003E0F58" w:rsidP="00D726A3">
      <w:pPr>
        <w:pStyle w:val="UZEIOdrky"/>
        <w:rPr>
          <w:rFonts w:eastAsiaTheme="minorEastAsia"/>
        </w:rPr>
      </w:pPr>
      <w:r w:rsidRPr="007C705C">
        <w:rPr>
          <w:rFonts w:eastAsiaTheme="minorEastAsia"/>
        </w:rPr>
        <w:lastRenderedPageBreak/>
        <w:t>Nevhodné nakládání se srážkovou vodu v krajině (přes 1 mil ha odvodněno, utužená půda, zrušeny krajinné prvky)</w:t>
      </w:r>
    </w:p>
    <w:p w14:paraId="04328078" w14:textId="77777777" w:rsidR="003E0F58" w:rsidRPr="007C705C" w:rsidRDefault="003E0F58" w:rsidP="003E0F58">
      <w:pPr>
        <w:pStyle w:val="Odstavecseseznamem"/>
        <w:ind w:left="862"/>
        <w:rPr>
          <w:lang w:eastAsia="x-none"/>
        </w:rPr>
      </w:pPr>
    </w:p>
    <w:p w14:paraId="20772149" w14:textId="0823A843" w:rsidR="003E0F58" w:rsidRPr="007C705C" w:rsidRDefault="00D726A3" w:rsidP="00D726A3">
      <w:pPr>
        <w:pStyle w:val="UZEITaB"/>
        <w:rPr>
          <w:rFonts w:eastAsiaTheme="minorEastAsia"/>
        </w:rPr>
      </w:pPr>
      <w:bookmarkStart w:id="597" w:name="_Toc77245875"/>
      <w:r>
        <w:rPr>
          <w:rFonts w:eastAsiaTheme="minorEastAsia"/>
        </w:rPr>
        <w:t xml:space="preserve"> </w:t>
      </w:r>
      <w:bookmarkStart w:id="598" w:name="_Ref81423158"/>
      <w:bookmarkStart w:id="599" w:name="_Toc94181645"/>
      <w:r w:rsidR="003E0F58" w:rsidRPr="007C705C">
        <w:rPr>
          <w:rFonts w:eastAsiaTheme="minorEastAsia"/>
        </w:rPr>
        <w:t>Rozsah problému Srážková voda, utuženost půd a krajinné prvky</w:t>
      </w:r>
      <w:bookmarkEnd w:id="597"/>
      <w:bookmarkEnd w:id="598"/>
      <w:bookmarkEnd w:id="5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00"/>
        <w:gridCol w:w="1300"/>
        <w:gridCol w:w="1091"/>
        <w:gridCol w:w="1290"/>
        <w:gridCol w:w="901"/>
        <w:gridCol w:w="1350"/>
        <w:gridCol w:w="1245"/>
        <w:gridCol w:w="1308"/>
        <w:gridCol w:w="1524"/>
        <w:gridCol w:w="1375"/>
        <w:gridCol w:w="1410"/>
      </w:tblGrid>
      <w:tr w:rsidR="003E0F58" w:rsidRPr="007C705C" w14:paraId="74842CFF" w14:textId="77777777" w:rsidTr="004D2249">
        <w:trPr>
          <w:trHeight w:val="1215"/>
        </w:trPr>
        <w:tc>
          <w:tcPr>
            <w:tcW w:w="424" w:type="pct"/>
            <w:vMerge w:val="restart"/>
            <w:shd w:val="clear" w:color="auto" w:fill="BDD7EE"/>
            <w:hideMark/>
          </w:tcPr>
          <w:p w14:paraId="1544AF03"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Problém: I.9 Zvyšování odolnosti zemědělských podniků: index</w:t>
            </w:r>
          </w:p>
        </w:tc>
        <w:tc>
          <w:tcPr>
            <w:tcW w:w="469" w:type="pct"/>
            <w:vMerge w:val="restart"/>
            <w:shd w:val="clear" w:color="auto" w:fill="BDD7EE"/>
            <w:hideMark/>
          </w:tcPr>
          <w:p w14:paraId="06FAB021"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Popis problému</w:t>
            </w:r>
          </w:p>
        </w:tc>
        <w:tc>
          <w:tcPr>
            <w:tcW w:w="379" w:type="pct"/>
            <w:shd w:val="clear" w:color="auto" w:fill="BDD7EE"/>
            <w:hideMark/>
          </w:tcPr>
          <w:p w14:paraId="5A4391A4"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 xml:space="preserve">Stanovení závažnosti jednotlivých problémů </w:t>
            </w:r>
          </w:p>
        </w:tc>
        <w:tc>
          <w:tcPr>
            <w:tcW w:w="460" w:type="pct"/>
            <w:vMerge w:val="restart"/>
            <w:shd w:val="clear" w:color="auto" w:fill="BDD7EE"/>
            <w:hideMark/>
          </w:tcPr>
          <w:p w14:paraId="6D372E7F"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Stanovení příčin</w:t>
            </w:r>
          </w:p>
        </w:tc>
        <w:tc>
          <w:tcPr>
            <w:tcW w:w="317" w:type="pct"/>
            <w:shd w:val="clear" w:color="auto" w:fill="BDD7EE"/>
            <w:hideMark/>
          </w:tcPr>
          <w:p w14:paraId="78FFA9E1"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Stanovení míry příčin na vzniku problému</w:t>
            </w:r>
          </w:p>
        </w:tc>
        <w:tc>
          <w:tcPr>
            <w:tcW w:w="487" w:type="pct"/>
            <w:vMerge w:val="restart"/>
            <w:shd w:val="clear" w:color="auto" w:fill="BDD7EE"/>
            <w:hideMark/>
          </w:tcPr>
          <w:p w14:paraId="032524BD"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 xml:space="preserve">Reakce zemědělců na příčiny </w:t>
            </w:r>
            <w:r w:rsidRPr="007C705C">
              <w:rPr>
                <w:rFonts w:eastAsiaTheme="minorEastAsia" w:cs="Times New Roman"/>
                <w:i/>
                <w:iCs/>
                <w:color w:val="000000" w:themeColor="text1"/>
                <w:sz w:val="18"/>
                <w:szCs w:val="18"/>
                <w:lang w:val="cs-CZ"/>
              </w:rPr>
              <w:t>(jak je respektováno / nerespektováno)</w:t>
            </w:r>
          </w:p>
        </w:tc>
        <w:tc>
          <w:tcPr>
            <w:tcW w:w="438" w:type="pct"/>
            <w:vMerge w:val="restart"/>
            <w:shd w:val="clear" w:color="auto" w:fill="BDD7EE"/>
            <w:hideMark/>
          </w:tcPr>
          <w:p w14:paraId="42FF0DD9"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 xml:space="preserve">Řešitelnost v rámci SZP - technologická, organizační </w:t>
            </w:r>
          </w:p>
        </w:tc>
        <w:tc>
          <w:tcPr>
            <w:tcW w:w="472" w:type="pct"/>
            <w:shd w:val="clear" w:color="auto" w:fill="BDD7EE"/>
            <w:hideMark/>
          </w:tcPr>
          <w:p w14:paraId="4DC31799"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S</w:t>
            </w:r>
          </w:p>
        </w:tc>
        <w:tc>
          <w:tcPr>
            <w:tcW w:w="549" w:type="pct"/>
            <w:shd w:val="clear" w:color="auto" w:fill="BDD7EE"/>
            <w:hideMark/>
          </w:tcPr>
          <w:p w14:paraId="506D2A4A"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W</w:t>
            </w:r>
          </w:p>
        </w:tc>
        <w:tc>
          <w:tcPr>
            <w:tcW w:w="496" w:type="pct"/>
            <w:shd w:val="clear" w:color="auto" w:fill="BDD7EE"/>
            <w:hideMark/>
          </w:tcPr>
          <w:p w14:paraId="06FC2D55"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O</w:t>
            </w:r>
          </w:p>
        </w:tc>
        <w:tc>
          <w:tcPr>
            <w:tcW w:w="508" w:type="pct"/>
            <w:shd w:val="clear" w:color="auto" w:fill="BDD7EE"/>
            <w:hideMark/>
          </w:tcPr>
          <w:p w14:paraId="1363BE32"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T</w:t>
            </w:r>
          </w:p>
        </w:tc>
      </w:tr>
      <w:tr w:rsidR="003E0F58" w:rsidRPr="007C705C" w14:paraId="4D7E4961" w14:textId="77777777" w:rsidTr="004D2249">
        <w:trPr>
          <w:trHeight w:val="315"/>
        </w:trPr>
        <w:tc>
          <w:tcPr>
            <w:tcW w:w="424" w:type="pct"/>
            <w:vMerge/>
            <w:vAlign w:val="center"/>
            <w:hideMark/>
          </w:tcPr>
          <w:p w14:paraId="0DBF329E" w14:textId="77777777" w:rsidR="003E0F58" w:rsidRPr="007C705C" w:rsidRDefault="003E0F58" w:rsidP="004D2249">
            <w:pPr>
              <w:jc w:val="left"/>
              <w:rPr>
                <w:rFonts w:cs="Times New Roman"/>
                <w:b/>
                <w:bCs/>
                <w:color w:val="000000"/>
                <w:sz w:val="18"/>
                <w:lang w:val="cs-CZ"/>
              </w:rPr>
            </w:pPr>
          </w:p>
        </w:tc>
        <w:tc>
          <w:tcPr>
            <w:tcW w:w="469" w:type="pct"/>
            <w:vMerge/>
            <w:vAlign w:val="center"/>
            <w:hideMark/>
          </w:tcPr>
          <w:p w14:paraId="7B059429" w14:textId="77777777" w:rsidR="003E0F58" w:rsidRPr="007C705C" w:rsidRDefault="003E0F58" w:rsidP="004D2249">
            <w:pPr>
              <w:jc w:val="left"/>
              <w:rPr>
                <w:rFonts w:cs="Times New Roman"/>
                <w:b/>
                <w:bCs/>
                <w:color w:val="000000"/>
                <w:sz w:val="18"/>
                <w:lang w:val="cs-CZ"/>
              </w:rPr>
            </w:pPr>
          </w:p>
        </w:tc>
        <w:tc>
          <w:tcPr>
            <w:tcW w:w="379" w:type="pct"/>
            <w:shd w:val="clear" w:color="auto" w:fill="BDD7EE"/>
            <w:hideMark/>
          </w:tcPr>
          <w:p w14:paraId="2011F503" w14:textId="77777777" w:rsidR="003E0F58" w:rsidRPr="007C705C" w:rsidRDefault="003E0F58" w:rsidP="004D2249">
            <w:pPr>
              <w:jc w:val="left"/>
              <w:rPr>
                <w:rFonts w:eastAsiaTheme="minorEastAsia" w:cs="Times New Roman"/>
                <w:i/>
                <w:iCs/>
                <w:color w:val="000000" w:themeColor="text1"/>
                <w:sz w:val="18"/>
                <w:szCs w:val="18"/>
                <w:lang w:val="cs-CZ"/>
              </w:rPr>
            </w:pPr>
            <w:r w:rsidRPr="007C705C">
              <w:rPr>
                <w:rFonts w:eastAsiaTheme="minorEastAsia" w:cs="Times New Roman"/>
                <w:i/>
                <w:iCs/>
                <w:color w:val="000000" w:themeColor="text1"/>
                <w:sz w:val="18"/>
                <w:szCs w:val="18"/>
                <w:lang w:val="cs-CZ"/>
              </w:rPr>
              <w:t>(1-5)*</w:t>
            </w:r>
          </w:p>
        </w:tc>
        <w:tc>
          <w:tcPr>
            <w:tcW w:w="460" w:type="pct"/>
            <w:vMerge/>
            <w:vAlign w:val="center"/>
            <w:hideMark/>
          </w:tcPr>
          <w:p w14:paraId="6BF14157" w14:textId="77777777" w:rsidR="003E0F58" w:rsidRPr="007C705C" w:rsidRDefault="003E0F58" w:rsidP="004D2249">
            <w:pPr>
              <w:jc w:val="left"/>
              <w:rPr>
                <w:rFonts w:cs="Times New Roman"/>
                <w:b/>
                <w:bCs/>
                <w:color w:val="000000"/>
                <w:sz w:val="18"/>
                <w:lang w:val="cs-CZ"/>
              </w:rPr>
            </w:pPr>
          </w:p>
        </w:tc>
        <w:tc>
          <w:tcPr>
            <w:tcW w:w="317" w:type="pct"/>
            <w:shd w:val="clear" w:color="auto" w:fill="BDD7EE"/>
            <w:hideMark/>
          </w:tcPr>
          <w:p w14:paraId="21648ADD" w14:textId="77777777" w:rsidR="003E0F58" w:rsidRPr="007C705C" w:rsidRDefault="003E0F58" w:rsidP="004D2249">
            <w:pPr>
              <w:jc w:val="left"/>
              <w:rPr>
                <w:rFonts w:eastAsiaTheme="minorEastAsia" w:cs="Times New Roman"/>
                <w:i/>
                <w:iCs/>
                <w:color w:val="000000" w:themeColor="text1"/>
                <w:sz w:val="18"/>
                <w:szCs w:val="18"/>
                <w:lang w:val="cs-CZ"/>
              </w:rPr>
            </w:pPr>
            <w:r w:rsidRPr="007C705C">
              <w:rPr>
                <w:rFonts w:eastAsiaTheme="minorEastAsia" w:cs="Times New Roman"/>
                <w:i/>
                <w:iCs/>
                <w:color w:val="000000" w:themeColor="text1"/>
                <w:sz w:val="18"/>
                <w:szCs w:val="18"/>
                <w:lang w:val="cs-CZ"/>
              </w:rPr>
              <w:t>(1-5)**</w:t>
            </w:r>
          </w:p>
        </w:tc>
        <w:tc>
          <w:tcPr>
            <w:tcW w:w="487" w:type="pct"/>
            <w:vMerge/>
            <w:vAlign w:val="center"/>
            <w:hideMark/>
          </w:tcPr>
          <w:p w14:paraId="292FF543" w14:textId="77777777" w:rsidR="003E0F58" w:rsidRPr="007C705C" w:rsidRDefault="003E0F58" w:rsidP="004D2249">
            <w:pPr>
              <w:jc w:val="left"/>
              <w:rPr>
                <w:rFonts w:cs="Times New Roman"/>
                <w:b/>
                <w:bCs/>
                <w:color w:val="000000"/>
                <w:sz w:val="18"/>
                <w:lang w:val="cs-CZ"/>
              </w:rPr>
            </w:pPr>
          </w:p>
        </w:tc>
        <w:tc>
          <w:tcPr>
            <w:tcW w:w="438" w:type="pct"/>
            <w:vMerge/>
            <w:vAlign w:val="center"/>
            <w:hideMark/>
          </w:tcPr>
          <w:p w14:paraId="2FE0CEED" w14:textId="77777777" w:rsidR="003E0F58" w:rsidRPr="007C705C" w:rsidRDefault="003E0F58" w:rsidP="004D2249">
            <w:pPr>
              <w:jc w:val="left"/>
              <w:rPr>
                <w:rFonts w:cs="Times New Roman"/>
                <w:b/>
                <w:bCs/>
                <w:color w:val="000000"/>
                <w:sz w:val="18"/>
                <w:lang w:val="cs-CZ"/>
              </w:rPr>
            </w:pPr>
          </w:p>
        </w:tc>
        <w:tc>
          <w:tcPr>
            <w:tcW w:w="472" w:type="pct"/>
            <w:shd w:val="clear" w:color="auto" w:fill="BDD7EE"/>
            <w:hideMark/>
          </w:tcPr>
          <w:p w14:paraId="5E6F2DCB" w14:textId="77777777" w:rsidR="003E0F58" w:rsidRPr="007C705C" w:rsidRDefault="003E0F58" w:rsidP="004D2249">
            <w:pPr>
              <w:jc w:val="left"/>
              <w:rPr>
                <w:rFonts w:eastAsiaTheme="minorEastAsia" w:cs="Times New Roman"/>
                <w:i/>
                <w:iCs/>
                <w:color w:val="000000" w:themeColor="text1"/>
                <w:sz w:val="18"/>
                <w:szCs w:val="18"/>
                <w:lang w:val="cs-CZ"/>
              </w:rPr>
            </w:pPr>
            <w:r w:rsidRPr="007C705C">
              <w:rPr>
                <w:rFonts w:eastAsiaTheme="minorEastAsia" w:cs="Times New Roman"/>
                <w:i/>
                <w:iCs/>
                <w:color w:val="000000" w:themeColor="text1"/>
                <w:sz w:val="18"/>
                <w:szCs w:val="18"/>
                <w:lang w:val="cs-CZ"/>
              </w:rPr>
              <w:t>Silné stránky:</w:t>
            </w:r>
          </w:p>
        </w:tc>
        <w:tc>
          <w:tcPr>
            <w:tcW w:w="549" w:type="pct"/>
            <w:shd w:val="clear" w:color="auto" w:fill="BDD7EE"/>
            <w:hideMark/>
          </w:tcPr>
          <w:p w14:paraId="6A3C9A76" w14:textId="77777777" w:rsidR="003E0F58" w:rsidRPr="007C705C" w:rsidRDefault="003E0F58" w:rsidP="004D2249">
            <w:pPr>
              <w:jc w:val="left"/>
              <w:rPr>
                <w:rFonts w:eastAsiaTheme="minorEastAsia" w:cs="Times New Roman"/>
                <w:i/>
                <w:iCs/>
                <w:color w:val="000000" w:themeColor="text1"/>
                <w:sz w:val="18"/>
                <w:szCs w:val="18"/>
                <w:lang w:val="cs-CZ"/>
              </w:rPr>
            </w:pPr>
            <w:r w:rsidRPr="007C705C">
              <w:rPr>
                <w:rFonts w:eastAsiaTheme="minorEastAsia" w:cs="Times New Roman"/>
                <w:i/>
                <w:iCs/>
                <w:color w:val="000000" w:themeColor="text1"/>
                <w:sz w:val="18"/>
                <w:szCs w:val="18"/>
                <w:lang w:val="cs-CZ"/>
              </w:rPr>
              <w:t>Slabé stránky:</w:t>
            </w:r>
          </w:p>
        </w:tc>
        <w:tc>
          <w:tcPr>
            <w:tcW w:w="496" w:type="pct"/>
            <w:shd w:val="clear" w:color="auto" w:fill="BDD7EE"/>
            <w:hideMark/>
          </w:tcPr>
          <w:p w14:paraId="31FE9947" w14:textId="77777777" w:rsidR="003E0F58" w:rsidRPr="007C705C" w:rsidRDefault="003E0F58" w:rsidP="004D2249">
            <w:pPr>
              <w:jc w:val="left"/>
              <w:rPr>
                <w:rFonts w:eastAsiaTheme="minorEastAsia" w:cs="Times New Roman"/>
                <w:i/>
                <w:iCs/>
                <w:color w:val="000000" w:themeColor="text1"/>
                <w:sz w:val="18"/>
                <w:szCs w:val="18"/>
                <w:lang w:val="cs-CZ"/>
              </w:rPr>
            </w:pPr>
            <w:r w:rsidRPr="007C705C">
              <w:rPr>
                <w:rFonts w:eastAsiaTheme="minorEastAsia" w:cs="Times New Roman"/>
                <w:i/>
                <w:iCs/>
                <w:color w:val="000000" w:themeColor="text1"/>
                <w:sz w:val="18"/>
                <w:szCs w:val="18"/>
                <w:lang w:val="cs-CZ"/>
              </w:rPr>
              <w:t>Příležitosti:</w:t>
            </w:r>
          </w:p>
        </w:tc>
        <w:tc>
          <w:tcPr>
            <w:tcW w:w="508" w:type="pct"/>
            <w:shd w:val="clear" w:color="auto" w:fill="BDD7EE"/>
            <w:hideMark/>
          </w:tcPr>
          <w:p w14:paraId="0F4B0EAA" w14:textId="77777777" w:rsidR="003E0F58" w:rsidRPr="007C705C" w:rsidRDefault="003E0F58" w:rsidP="004D2249">
            <w:pPr>
              <w:jc w:val="left"/>
              <w:rPr>
                <w:rFonts w:eastAsiaTheme="minorEastAsia" w:cs="Times New Roman"/>
                <w:i/>
                <w:iCs/>
                <w:color w:val="000000" w:themeColor="text1"/>
                <w:sz w:val="18"/>
                <w:szCs w:val="18"/>
                <w:lang w:val="cs-CZ"/>
              </w:rPr>
            </w:pPr>
            <w:r w:rsidRPr="007C705C">
              <w:rPr>
                <w:rFonts w:eastAsiaTheme="minorEastAsia" w:cs="Times New Roman"/>
                <w:i/>
                <w:iCs/>
                <w:color w:val="000000" w:themeColor="text1"/>
                <w:sz w:val="18"/>
                <w:szCs w:val="18"/>
                <w:lang w:val="cs-CZ"/>
              </w:rPr>
              <w:t>Hrozby:</w:t>
            </w:r>
          </w:p>
        </w:tc>
      </w:tr>
      <w:tr w:rsidR="003E0F58" w:rsidRPr="007C705C" w14:paraId="12000254" w14:textId="77777777" w:rsidTr="004D2249">
        <w:trPr>
          <w:trHeight w:val="2040"/>
        </w:trPr>
        <w:tc>
          <w:tcPr>
            <w:tcW w:w="424" w:type="pct"/>
            <w:vMerge w:val="restart"/>
            <w:shd w:val="clear" w:color="auto" w:fill="auto"/>
            <w:hideMark/>
          </w:tcPr>
          <w:p w14:paraId="00D1DBDE"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Nevhodné nakládání se srážkovou vodu v krajině (přes 1 mil ha odvodněno, utužená půda, zrušeny krajinné prvky)</w:t>
            </w:r>
          </w:p>
        </w:tc>
        <w:tc>
          <w:tcPr>
            <w:tcW w:w="469" w:type="pct"/>
            <w:shd w:val="clear" w:color="auto" w:fill="auto"/>
            <w:hideMark/>
          </w:tcPr>
          <w:p w14:paraId="0DEC8E05"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Nedostatečná retenční a infiltrační schopnost půdy vlivem degradačních procesů - zábor ZPF pro zástavbu, eroze, utužení, dehumifikace</w:t>
            </w:r>
          </w:p>
        </w:tc>
        <w:tc>
          <w:tcPr>
            <w:tcW w:w="379" w:type="pct"/>
            <w:vMerge w:val="restart"/>
            <w:shd w:val="clear" w:color="auto" w:fill="auto"/>
            <w:hideMark/>
          </w:tcPr>
          <w:p w14:paraId="47111C66"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2</w:t>
            </w:r>
          </w:p>
        </w:tc>
        <w:tc>
          <w:tcPr>
            <w:tcW w:w="460" w:type="pct"/>
            <w:shd w:val="clear" w:color="auto" w:fill="auto"/>
            <w:hideMark/>
          </w:tcPr>
          <w:p w14:paraId="767B5E70"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vyjímání ze ZPF pozemků s potenciálem zadržet vodu v krajině, nedostatek organických hnojiv aplikovatelných na ZPF, těžká zemědělská technika a časté pojezdy, nevhodné osevní postupy, minimální zastoupení pícnin</w:t>
            </w:r>
          </w:p>
        </w:tc>
        <w:tc>
          <w:tcPr>
            <w:tcW w:w="317" w:type="pct"/>
            <w:shd w:val="clear" w:color="auto" w:fill="auto"/>
            <w:hideMark/>
          </w:tcPr>
          <w:p w14:paraId="75E2EE10"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1</w:t>
            </w:r>
          </w:p>
        </w:tc>
        <w:tc>
          <w:tcPr>
            <w:tcW w:w="487" w:type="pct"/>
            <w:shd w:val="clear" w:color="auto" w:fill="auto"/>
            <w:hideMark/>
          </w:tcPr>
          <w:p w14:paraId="1DD3D3ED"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 </w:t>
            </w:r>
          </w:p>
        </w:tc>
        <w:tc>
          <w:tcPr>
            <w:tcW w:w="438" w:type="pct"/>
            <w:shd w:val="clear" w:color="auto" w:fill="auto"/>
            <w:hideMark/>
          </w:tcPr>
          <w:p w14:paraId="6275E52A"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Podpora živočišné výroby a aplikace organických hnojiv, ochrana ZPF před nadměrnou zástavbou, revize uspořádání půdního fondu, podpora šetrného a ochranného zpracování půdy a využívání hluboce kořenících plodin.</w:t>
            </w:r>
          </w:p>
        </w:tc>
        <w:tc>
          <w:tcPr>
            <w:tcW w:w="472" w:type="pct"/>
            <w:shd w:val="clear" w:color="auto" w:fill="auto"/>
            <w:hideMark/>
          </w:tcPr>
          <w:p w14:paraId="5FE573B1"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 </w:t>
            </w:r>
          </w:p>
        </w:tc>
        <w:tc>
          <w:tcPr>
            <w:tcW w:w="549" w:type="pct"/>
            <w:vMerge w:val="restart"/>
            <w:shd w:val="clear" w:color="auto" w:fill="auto"/>
            <w:hideMark/>
          </w:tcPr>
          <w:p w14:paraId="00943BAD" w14:textId="77777777" w:rsidR="003E0F58" w:rsidRPr="007C705C" w:rsidRDefault="003E0F58" w:rsidP="004D2249">
            <w:pPr>
              <w:spacing w:after="240"/>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 Relativně velká výměra již degradovaných půd</w:t>
            </w:r>
            <w:r w:rsidRPr="007C705C">
              <w:rPr>
                <w:rFonts w:cs="Times New Roman"/>
                <w:lang w:val="cs-CZ"/>
              </w:rPr>
              <w:br/>
            </w:r>
            <w:r w:rsidRPr="007C705C">
              <w:rPr>
                <w:rFonts w:eastAsiaTheme="minorEastAsia" w:cs="Times New Roman"/>
                <w:color w:val="000000" w:themeColor="text1"/>
                <w:sz w:val="18"/>
                <w:szCs w:val="18"/>
                <w:lang w:val="cs-CZ"/>
              </w:rPr>
              <w:t xml:space="preserve">• Vysoká ohroženost půd další degradací </w:t>
            </w:r>
            <w:r w:rsidRPr="007C705C">
              <w:rPr>
                <w:rFonts w:cs="Times New Roman"/>
                <w:lang w:val="cs-CZ"/>
              </w:rPr>
              <w:br/>
            </w:r>
            <w:r w:rsidRPr="007C705C">
              <w:rPr>
                <w:rFonts w:eastAsiaTheme="minorEastAsia" w:cs="Times New Roman"/>
                <w:color w:val="000000" w:themeColor="text1"/>
                <w:sz w:val="18"/>
                <w:szCs w:val="18"/>
                <w:lang w:val="cs-CZ"/>
              </w:rPr>
              <w:t xml:space="preserve">• V současné době není definována jednoznačná legislativa k této problematice </w:t>
            </w:r>
            <w:r w:rsidRPr="007C705C">
              <w:rPr>
                <w:rFonts w:cs="Times New Roman"/>
                <w:lang w:val="cs-CZ"/>
              </w:rPr>
              <w:br/>
            </w:r>
            <w:r w:rsidRPr="007C705C">
              <w:rPr>
                <w:rFonts w:eastAsiaTheme="minorEastAsia" w:cs="Times New Roman"/>
                <w:color w:val="000000" w:themeColor="text1"/>
                <w:sz w:val="18"/>
                <w:szCs w:val="18"/>
                <w:lang w:val="cs-CZ"/>
              </w:rPr>
              <w:t>• Stávající politika není integrovaná, neexistuje strategie na ochranu půd, na české ani mezinárodní úrovni</w:t>
            </w:r>
            <w:r w:rsidRPr="007C705C">
              <w:rPr>
                <w:rFonts w:cs="Times New Roman"/>
                <w:lang w:val="cs-CZ"/>
              </w:rPr>
              <w:br/>
            </w:r>
            <w:r w:rsidRPr="007C705C">
              <w:rPr>
                <w:rFonts w:eastAsiaTheme="minorEastAsia" w:cs="Times New Roman"/>
                <w:color w:val="000000" w:themeColor="text1"/>
                <w:sz w:val="18"/>
                <w:szCs w:val="18"/>
                <w:lang w:val="cs-CZ"/>
              </w:rPr>
              <w:t xml:space="preserve">• Nedostatek finančních </w:t>
            </w:r>
            <w:r w:rsidRPr="007C705C">
              <w:rPr>
                <w:rFonts w:eastAsiaTheme="minorEastAsia" w:cs="Times New Roman"/>
                <w:color w:val="000000" w:themeColor="text1"/>
                <w:sz w:val="18"/>
                <w:szCs w:val="18"/>
                <w:lang w:val="cs-CZ"/>
              </w:rPr>
              <w:lastRenderedPageBreak/>
              <w:t>prostředků pro realizaci protierozních opatření</w:t>
            </w:r>
            <w:r w:rsidRPr="007C705C">
              <w:rPr>
                <w:rFonts w:cs="Times New Roman"/>
                <w:lang w:val="cs-CZ"/>
              </w:rPr>
              <w:br/>
            </w:r>
            <w:r w:rsidRPr="007C705C">
              <w:rPr>
                <w:rFonts w:eastAsiaTheme="minorEastAsia" w:cs="Times New Roman"/>
                <w:color w:val="000000" w:themeColor="text1"/>
                <w:sz w:val="18"/>
                <w:szCs w:val="18"/>
                <w:lang w:val="cs-CZ"/>
              </w:rPr>
              <w:t>• Velké poškození odvodňovacích systémů (nefunkčnost)</w:t>
            </w:r>
            <w:r w:rsidRPr="007C705C">
              <w:rPr>
                <w:rFonts w:cs="Times New Roman"/>
                <w:lang w:val="cs-CZ"/>
              </w:rPr>
              <w:br/>
            </w:r>
            <w:r w:rsidRPr="007C705C">
              <w:rPr>
                <w:rFonts w:eastAsiaTheme="minorEastAsia" w:cs="Times New Roman"/>
                <w:color w:val="000000" w:themeColor="text1"/>
                <w:sz w:val="18"/>
                <w:szCs w:val="18"/>
                <w:lang w:val="cs-CZ"/>
              </w:rPr>
              <w:t>• Existence neopodstatněně provedených odvodňovacích systémů vedoucích při nedostatečném efektu na produkci k odvodnění krajiny a zrychlenému odtoku vody</w:t>
            </w:r>
            <w:r w:rsidRPr="007C705C">
              <w:rPr>
                <w:rFonts w:cs="Times New Roman"/>
                <w:lang w:val="cs-CZ"/>
              </w:rPr>
              <w:br/>
            </w:r>
            <w:r w:rsidRPr="007C705C">
              <w:rPr>
                <w:rFonts w:eastAsiaTheme="minorEastAsia" w:cs="Times New Roman"/>
                <w:color w:val="000000" w:themeColor="text1"/>
                <w:sz w:val="18"/>
                <w:szCs w:val="18"/>
                <w:lang w:val="cs-CZ"/>
              </w:rPr>
              <w:t>• Kvalita poradenského systému</w:t>
            </w:r>
            <w:r w:rsidRPr="007C705C">
              <w:rPr>
                <w:rFonts w:cs="Times New Roman"/>
                <w:lang w:val="cs-CZ"/>
              </w:rPr>
              <w:br/>
            </w:r>
            <w:r w:rsidRPr="007C705C">
              <w:rPr>
                <w:rFonts w:eastAsiaTheme="minorEastAsia" w:cs="Times New Roman"/>
                <w:color w:val="000000" w:themeColor="text1"/>
                <w:sz w:val="18"/>
                <w:szCs w:val="18"/>
                <w:lang w:val="cs-CZ"/>
              </w:rPr>
              <w:t>• Neochota zapojení zemědělské veřejnosti do proti erozních opatřeních</w:t>
            </w:r>
            <w:r w:rsidRPr="007C705C">
              <w:rPr>
                <w:rFonts w:cs="Times New Roman"/>
                <w:lang w:val="cs-CZ"/>
              </w:rPr>
              <w:br/>
            </w:r>
            <w:r w:rsidRPr="007C705C">
              <w:rPr>
                <w:rFonts w:eastAsiaTheme="minorEastAsia" w:cs="Times New Roman"/>
                <w:color w:val="000000" w:themeColor="text1"/>
                <w:sz w:val="18"/>
                <w:szCs w:val="18"/>
                <w:lang w:val="cs-CZ"/>
              </w:rPr>
              <w:t>• Dosud nevyjasněné vlastnicko-uživatelské vztahy – cca 80 % půdy je propachtováno</w:t>
            </w:r>
            <w:r w:rsidRPr="007C705C">
              <w:rPr>
                <w:rFonts w:cs="Times New Roman"/>
                <w:lang w:val="cs-CZ"/>
              </w:rPr>
              <w:br/>
            </w:r>
            <w:r w:rsidRPr="007C705C">
              <w:rPr>
                <w:rFonts w:eastAsiaTheme="minorEastAsia" w:cs="Times New Roman"/>
                <w:color w:val="000000" w:themeColor="text1"/>
                <w:sz w:val="18"/>
                <w:szCs w:val="18"/>
                <w:lang w:val="cs-CZ"/>
              </w:rPr>
              <w:t xml:space="preserve">• Dlouhodobost pachtovních smluv, dnes často jen na jeden rok, tím jsou zmařeny investice ze strany </w:t>
            </w:r>
            <w:r w:rsidRPr="007C705C">
              <w:rPr>
                <w:rFonts w:eastAsiaTheme="minorEastAsia" w:cs="Times New Roman"/>
                <w:color w:val="000000" w:themeColor="text1"/>
                <w:sz w:val="18"/>
                <w:szCs w:val="18"/>
                <w:lang w:val="cs-CZ"/>
              </w:rPr>
              <w:lastRenderedPageBreak/>
              <w:t>pachtýře do půdy</w:t>
            </w:r>
            <w:r w:rsidRPr="007C705C">
              <w:rPr>
                <w:rFonts w:cs="Times New Roman"/>
                <w:lang w:val="cs-CZ"/>
              </w:rPr>
              <w:br/>
            </w:r>
            <w:r w:rsidRPr="007C705C">
              <w:rPr>
                <w:rFonts w:eastAsiaTheme="minorEastAsia" w:cs="Times New Roman"/>
                <w:color w:val="000000" w:themeColor="text1"/>
                <w:sz w:val="18"/>
                <w:szCs w:val="18"/>
                <w:lang w:val="cs-CZ"/>
              </w:rPr>
              <w:t>• Scelení pozemků – největší PB v Evropě</w:t>
            </w:r>
            <w:r w:rsidRPr="007C705C">
              <w:rPr>
                <w:rFonts w:cs="Times New Roman"/>
                <w:lang w:val="cs-CZ"/>
              </w:rPr>
              <w:br/>
            </w:r>
            <w:r w:rsidRPr="007C705C">
              <w:rPr>
                <w:rFonts w:eastAsiaTheme="minorEastAsia" w:cs="Times New Roman"/>
                <w:color w:val="000000" w:themeColor="text1"/>
                <w:sz w:val="18"/>
                <w:szCs w:val="18"/>
                <w:lang w:val="cs-CZ"/>
              </w:rPr>
              <w:t>• Nedostupnost nepřístupnost pozemků</w:t>
            </w:r>
            <w:r w:rsidRPr="007C705C">
              <w:rPr>
                <w:rFonts w:cs="Times New Roman"/>
                <w:lang w:val="cs-CZ"/>
              </w:rPr>
              <w:br/>
            </w:r>
            <w:r w:rsidRPr="007C705C">
              <w:rPr>
                <w:rFonts w:eastAsiaTheme="minorEastAsia" w:cs="Times New Roman"/>
                <w:color w:val="000000" w:themeColor="text1"/>
                <w:sz w:val="18"/>
                <w:szCs w:val="18"/>
                <w:lang w:val="cs-CZ"/>
              </w:rPr>
              <w:t>• V minulosti proběhlá likvidace krajinných prvků – meze, remízky, mokřady apod.</w:t>
            </w:r>
          </w:p>
        </w:tc>
        <w:tc>
          <w:tcPr>
            <w:tcW w:w="496" w:type="pct"/>
            <w:vMerge w:val="restart"/>
            <w:shd w:val="clear" w:color="auto" w:fill="auto"/>
            <w:hideMark/>
          </w:tcPr>
          <w:p w14:paraId="51C1FE50"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lastRenderedPageBreak/>
              <w:t>• Poptávka veřejnosti po komplexním řešení ochrany půdy a vody v rámci KPÚ i mimo ně</w:t>
            </w:r>
            <w:r w:rsidRPr="007C705C">
              <w:rPr>
                <w:rFonts w:cs="Times New Roman"/>
                <w:lang w:val="cs-CZ"/>
              </w:rPr>
              <w:br/>
            </w:r>
            <w:r w:rsidRPr="007C705C">
              <w:rPr>
                <w:rFonts w:eastAsiaTheme="minorEastAsia" w:cs="Times New Roman"/>
                <w:color w:val="000000" w:themeColor="text1"/>
                <w:sz w:val="18"/>
                <w:szCs w:val="18"/>
                <w:lang w:val="cs-CZ"/>
              </w:rPr>
              <w:t>• Zlepšování povědomí mezi veřejností o ochraně půdy, zájem sdělovacích prostředků a médií</w:t>
            </w:r>
            <w:r w:rsidRPr="007C705C">
              <w:rPr>
                <w:rFonts w:cs="Times New Roman"/>
                <w:lang w:val="cs-CZ"/>
              </w:rPr>
              <w:br/>
            </w:r>
            <w:r w:rsidRPr="007C705C">
              <w:rPr>
                <w:rFonts w:eastAsiaTheme="minorEastAsia" w:cs="Times New Roman"/>
                <w:color w:val="000000" w:themeColor="text1"/>
                <w:sz w:val="18"/>
                <w:szCs w:val="18"/>
                <w:lang w:val="cs-CZ"/>
              </w:rPr>
              <w:t>• Příprava vyhlášky MŽP na ochranu půdy před erozí (Protierozní vyhláška), úprava DZES</w:t>
            </w:r>
          </w:p>
        </w:tc>
        <w:tc>
          <w:tcPr>
            <w:tcW w:w="508" w:type="pct"/>
            <w:vMerge w:val="restart"/>
            <w:shd w:val="clear" w:color="auto" w:fill="auto"/>
            <w:hideMark/>
          </w:tcPr>
          <w:p w14:paraId="1A46322F"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 xml:space="preserve">• Vysoká ohroženost půd další degradací - skoro 90 % ZPF utuženo v podorničí V současné době není definována jednoznačná legislativa k této problematice (nejasné kompetence rezortů) </w:t>
            </w:r>
            <w:r w:rsidRPr="007C705C">
              <w:rPr>
                <w:rFonts w:cs="Times New Roman"/>
                <w:lang w:val="cs-CZ"/>
              </w:rPr>
              <w:br/>
            </w:r>
            <w:r w:rsidRPr="007C705C">
              <w:rPr>
                <w:rFonts w:eastAsiaTheme="minorEastAsia" w:cs="Times New Roman"/>
                <w:color w:val="000000" w:themeColor="text1"/>
                <w:sz w:val="18"/>
                <w:szCs w:val="18"/>
                <w:lang w:val="cs-CZ"/>
              </w:rPr>
              <w:t>• 21% lidí nepovažuje krajinu za národní bohatství (z toho 64 % ji považuje za zničenou a bez hodnot)</w:t>
            </w:r>
          </w:p>
        </w:tc>
      </w:tr>
      <w:tr w:rsidR="003E0F58" w:rsidRPr="007C705C" w14:paraId="002F482B" w14:textId="77777777" w:rsidTr="004D2249">
        <w:trPr>
          <w:trHeight w:val="2040"/>
        </w:trPr>
        <w:tc>
          <w:tcPr>
            <w:tcW w:w="424" w:type="pct"/>
            <w:vMerge/>
            <w:vAlign w:val="center"/>
            <w:hideMark/>
          </w:tcPr>
          <w:p w14:paraId="25660E69" w14:textId="77777777" w:rsidR="003E0F58" w:rsidRPr="007C705C" w:rsidRDefault="003E0F58" w:rsidP="004D2249">
            <w:pPr>
              <w:jc w:val="left"/>
              <w:rPr>
                <w:rFonts w:cs="Times New Roman"/>
                <w:color w:val="000000"/>
                <w:sz w:val="18"/>
                <w:lang w:val="cs-CZ"/>
              </w:rPr>
            </w:pPr>
          </w:p>
        </w:tc>
        <w:tc>
          <w:tcPr>
            <w:tcW w:w="469" w:type="pct"/>
            <w:shd w:val="clear" w:color="auto" w:fill="auto"/>
            <w:hideMark/>
          </w:tcPr>
          <w:p w14:paraId="574386F8"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Nedostatek krajinných prvků, které plní mimoprodukční funkce v zemědělské krajině - protierozní ochrana, zvýšení retence a infiltrace vody v krajině, protipovodňová ochrana, biologická rozmanitost, mikroklima,…</w:t>
            </w:r>
          </w:p>
        </w:tc>
        <w:tc>
          <w:tcPr>
            <w:tcW w:w="379" w:type="pct"/>
            <w:vMerge/>
            <w:vAlign w:val="center"/>
            <w:hideMark/>
          </w:tcPr>
          <w:p w14:paraId="549DB41B" w14:textId="77777777" w:rsidR="003E0F58" w:rsidRPr="007C705C" w:rsidRDefault="003E0F58" w:rsidP="004D2249">
            <w:pPr>
              <w:jc w:val="left"/>
              <w:rPr>
                <w:rFonts w:cs="Times New Roman"/>
                <w:color w:val="000000"/>
                <w:sz w:val="18"/>
                <w:lang w:val="cs-CZ"/>
              </w:rPr>
            </w:pPr>
          </w:p>
        </w:tc>
        <w:tc>
          <w:tcPr>
            <w:tcW w:w="460" w:type="pct"/>
            <w:shd w:val="clear" w:color="auto" w:fill="auto"/>
            <w:hideMark/>
          </w:tcPr>
          <w:p w14:paraId="41134BBF"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Velké produkční bloky orné půdy, odvodnění mokřadů, regulace vodních toků, úbytek ekotonů krajinných prvků</w:t>
            </w:r>
          </w:p>
        </w:tc>
        <w:tc>
          <w:tcPr>
            <w:tcW w:w="317" w:type="pct"/>
            <w:shd w:val="clear" w:color="auto" w:fill="auto"/>
            <w:hideMark/>
          </w:tcPr>
          <w:p w14:paraId="1C4DB35C"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2</w:t>
            </w:r>
          </w:p>
        </w:tc>
        <w:tc>
          <w:tcPr>
            <w:tcW w:w="487" w:type="pct"/>
            <w:shd w:val="clear" w:color="auto" w:fill="auto"/>
            <w:hideMark/>
          </w:tcPr>
          <w:p w14:paraId="6BE68325"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 </w:t>
            </w:r>
          </w:p>
        </w:tc>
        <w:tc>
          <w:tcPr>
            <w:tcW w:w="438" w:type="pct"/>
            <w:shd w:val="clear" w:color="auto" w:fill="auto"/>
            <w:hideMark/>
          </w:tcPr>
          <w:p w14:paraId="05422186"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Podpora budování nových funkčních sítí krajinných prvků, revize uspořádání půdního fondu.</w:t>
            </w:r>
          </w:p>
        </w:tc>
        <w:tc>
          <w:tcPr>
            <w:tcW w:w="472" w:type="pct"/>
            <w:shd w:val="clear" w:color="auto" w:fill="auto"/>
            <w:hideMark/>
          </w:tcPr>
          <w:p w14:paraId="550CC78D"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 </w:t>
            </w:r>
          </w:p>
        </w:tc>
        <w:tc>
          <w:tcPr>
            <w:tcW w:w="549" w:type="pct"/>
            <w:vMerge/>
            <w:vAlign w:val="center"/>
            <w:hideMark/>
          </w:tcPr>
          <w:p w14:paraId="66505D10" w14:textId="77777777" w:rsidR="003E0F58" w:rsidRPr="007C705C" w:rsidRDefault="003E0F58" w:rsidP="004D2249">
            <w:pPr>
              <w:jc w:val="left"/>
              <w:rPr>
                <w:rFonts w:cs="Times New Roman"/>
                <w:color w:val="000000"/>
                <w:sz w:val="18"/>
                <w:lang w:val="cs-CZ"/>
              </w:rPr>
            </w:pPr>
          </w:p>
        </w:tc>
        <w:tc>
          <w:tcPr>
            <w:tcW w:w="496" w:type="pct"/>
            <w:vMerge/>
            <w:vAlign w:val="center"/>
            <w:hideMark/>
          </w:tcPr>
          <w:p w14:paraId="340F1DC8" w14:textId="77777777" w:rsidR="003E0F58" w:rsidRPr="007C705C" w:rsidRDefault="003E0F58" w:rsidP="004D2249">
            <w:pPr>
              <w:jc w:val="left"/>
              <w:rPr>
                <w:rFonts w:cs="Times New Roman"/>
                <w:color w:val="000000"/>
                <w:sz w:val="18"/>
                <w:lang w:val="cs-CZ"/>
              </w:rPr>
            </w:pPr>
          </w:p>
        </w:tc>
        <w:tc>
          <w:tcPr>
            <w:tcW w:w="508" w:type="pct"/>
            <w:vMerge/>
            <w:vAlign w:val="center"/>
            <w:hideMark/>
          </w:tcPr>
          <w:p w14:paraId="42F65BDF" w14:textId="77777777" w:rsidR="003E0F58" w:rsidRPr="007C705C" w:rsidRDefault="003E0F58" w:rsidP="004D2249">
            <w:pPr>
              <w:jc w:val="left"/>
              <w:rPr>
                <w:rFonts w:cs="Times New Roman"/>
                <w:color w:val="000000"/>
                <w:sz w:val="18"/>
                <w:lang w:val="cs-CZ"/>
              </w:rPr>
            </w:pPr>
          </w:p>
        </w:tc>
      </w:tr>
      <w:tr w:rsidR="003E0F58" w:rsidRPr="007C705C" w14:paraId="46B0EFDF" w14:textId="77777777" w:rsidTr="004D2249">
        <w:trPr>
          <w:trHeight w:val="2040"/>
        </w:trPr>
        <w:tc>
          <w:tcPr>
            <w:tcW w:w="424" w:type="pct"/>
            <w:vMerge/>
            <w:vAlign w:val="center"/>
            <w:hideMark/>
          </w:tcPr>
          <w:p w14:paraId="30F0380B" w14:textId="77777777" w:rsidR="003E0F58" w:rsidRPr="007C705C" w:rsidRDefault="003E0F58" w:rsidP="004D2249">
            <w:pPr>
              <w:jc w:val="left"/>
              <w:rPr>
                <w:rFonts w:cs="Times New Roman"/>
                <w:color w:val="000000"/>
                <w:sz w:val="18"/>
                <w:lang w:val="cs-CZ"/>
              </w:rPr>
            </w:pPr>
          </w:p>
        </w:tc>
        <w:tc>
          <w:tcPr>
            <w:tcW w:w="469" w:type="pct"/>
            <w:shd w:val="clear" w:color="auto" w:fill="auto"/>
            <w:hideMark/>
          </w:tcPr>
          <w:p w14:paraId="0AA2CE19"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Staré nefunkční odvodňovací systémy s nevhodnou regulací a nedostatečnou údržbou negativně ovlivňují hydrologické poměry v půdě a krajině</w:t>
            </w:r>
          </w:p>
        </w:tc>
        <w:tc>
          <w:tcPr>
            <w:tcW w:w="379" w:type="pct"/>
            <w:vMerge/>
            <w:vAlign w:val="center"/>
            <w:hideMark/>
          </w:tcPr>
          <w:p w14:paraId="22C95D9D" w14:textId="77777777" w:rsidR="003E0F58" w:rsidRPr="007C705C" w:rsidRDefault="003E0F58" w:rsidP="004D2249">
            <w:pPr>
              <w:jc w:val="left"/>
              <w:rPr>
                <w:rFonts w:cs="Times New Roman"/>
                <w:color w:val="000000"/>
                <w:sz w:val="18"/>
                <w:lang w:val="cs-CZ"/>
              </w:rPr>
            </w:pPr>
          </w:p>
        </w:tc>
        <w:tc>
          <w:tcPr>
            <w:tcW w:w="460" w:type="pct"/>
            <w:shd w:val="clear" w:color="auto" w:fill="auto"/>
            <w:hideMark/>
          </w:tcPr>
          <w:p w14:paraId="22192348"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 xml:space="preserve">Nedostatečné podklady o vzniku provozu odvodnění, nákladné opravy či odstranění </w:t>
            </w:r>
          </w:p>
        </w:tc>
        <w:tc>
          <w:tcPr>
            <w:tcW w:w="317" w:type="pct"/>
            <w:shd w:val="clear" w:color="auto" w:fill="auto"/>
            <w:hideMark/>
          </w:tcPr>
          <w:p w14:paraId="396B536E"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3</w:t>
            </w:r>
          </w:p>
        </w:tc>
        <w:tc>
          <w:tcPr>
            <w:tcW w:w="487" w:type="pct"/>
            <w:shd w:val="clear" w:color="auto" w:fill="auto"/>
            <w:hideMark/>
          </w:tcPr>
          <w:p w14:paraId="656C675E"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 </w:t>
            </w:r>
          </w:p>
        </w:tc>
        <w:tc>
          <w:tcPr>
            <w:tcW w:w="438" w:type="pct"/>
            <w:shd w:val="clear" w:color="auto" w:fill="auto"/>
            <w:hideMark/>
          </w:tcPr>
          <w:p w14:paraId="0AC67B23"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Podpora rekonstrukce  a modernizace staveb, resp. návrhů eliminačních opatření snižující nebo rušící</w:t>
            </w:r>
            <w:r w:rsidRPr="007C705C">
              <w:rPr>
                <w:rFonts w:cs="Times New Roman"/>
                <w:lang w:val="cs-CZ"/>
              </w:rPr>
              <w:br/>
            </w:r>
            <w:r w:rsidRPr="007C705C">
              <w:rPr>
                <w:rFonts w:eastAsiaTheme="minorEastAsia" w:cs="Times New Roman"/>
                <w:color w:val="000000" w:themeColor="text1"/>
                <w:sz w:val="18"/>
                <w:szCs w:val="18"/>
                <w:lang w:val="cs-CZ"/>
              </w:rPr>
              <w:t>zrychlený odvod vod z území, snaha se o navrácení plochy do podoby před provedením</w:t>
            </w:r>
            <w:r w:rsidRPr="007C705C">
              <w:rPr>
                <w:rFonts w:cs="Times New Roman"/>
                <w:lang w:val="cs-CZ"/>
              </w:rPr>
              <w:br/>
            </w:r>
            <w:r w:rsidRPr="007C705C">
              <w:rPr>
                <w:rFonts w:eastAsiaTheme="minorEastAsia" w:cs="Times New Roman"/>
                <w:color w:val="000000" w:themeColor="text1"/>
                <w:sz w:val="18"/>
                <w:szCs w:val="18"/>
                <w:lang w:val="cs-CZ"/>
              </w:rPr>
              <w:t>odvodňovací stavby při respektování současného využívání krajiny.</w:t>
            </w:r>
          </w:p>
        </w:tc>
        <w:tc>
          <w:tcPr>
            <w:tcW w:w="472" w:type="pct"/>
            <w:shd w:val="clear" w:color="auto" w:fill="auto"/>
            <w:hideMark/>
          </w:tcPr>
          <w:p w14:paraId="7B6E9619"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 </w:t>
            </w:r>
          </w:p>
        </w:tc>
        <w:tc>
          <w:tcPr>
            <w:tcW w:w="549" w:type="pct"/>
            <w:vMerge/>
            <w:vAlign w:val="center"/>
            <w:hideMark/>
          </w:tcPr>
          <w:p w14:paraId="5C81399D" w14:textId="77777777" w:rsidR="003E0F58" w:rsidRPr="007C705C" w:rsidRDefault="003E0F58" w:rsidP="004D2249">
            <w:pPr>
              <w:jc w:val="left"/>
              <w:rPr>
                <w:rFonts w:cs="Times New Roman"/>
                <w:color w:val="000000"/>
                <w:sz w:val="18"/>
                <w:lang w:val="cs-CZ"/>
              </w:rPr>
            </w:pPr>
          </w:p>
        </w:tc>
        <w:tc>
          <w:tcPr>
            <w:tcW w:w="496" w:type="pct"/>
            <w:vMerge/>
            <w:vAlign w:val="center"/>
            <w:hideMark/>
          </w:tcPr>
          <w:p w14:paraId="648C11AD" w14:textId="77777777" w:rsidR="003E0F58" w:rsidRPr="007C705C" w:rsidRDefault="003E0F58" w:rsidP="004D2249">
            <w:pPr>
              <w:jc w:val="left"/>
              <w:rPr>
                <w:rFonts w:cs="Times New Roman"/>
                <w:color w:val="000000"/>
                <w:sz w:val="18"/>
                <w:lang w:val="cs-CZ"/>
              </w:rPr>
            </w:pPr>
          </w:p>
        </w:tc>
        <w:tc>
          <w:tcPr>
            <w:tcW w:w="508" w:type="pct"/>
            <w:vMerge/>
            <w:vAlign w:val="center"/>
            <w:hideMark/>
          </w:tcPr>
          <w:p w14:paraId="6C8F0B49" w14:textId="77777777" w:rsidR="003E0F58" w:rsidRPr="007C705C" w:rsidRDefault="003E0F58" w:rsidP="004D2249">
            <w:pPr>
              <w:jc w:val="left"/>
              <w:rPr>
                <w:rFonts w:cs="Times New Roman"/>
                <w:color w:val="000000"/>
                <w:sz w:val="18"/>
                <w:lang w:val="cs-CZ"/>
              </w:rPr>
            </w:pPr>
          </w:p>
        </w:tc>
      </w:tr>
      <w:tr w:rsidR="003E0F58" w:rsidRPr="007C705C" w14:paraId="68671A9A" w14:textId="77777777" w:rsidTr="004D2249">
        <w:trPr>
          <w:trHeight w:val="2040"/>
        </w:trPr>
        <w:tc>
          <w:tcPr>
            <w:tcW w:w="424" w:type="pct"/>
            <w:vMerge/>
            <w:vAlign w:val="center"/>
            <w:hideMark/>
          </w:tcPr>
          <w:p w14:paraId="0CEF1DB3" w14:textId="77777777" w:rsidR="003E0F58" w:rsidRPr="007C705C" w:rsidRDefault="003E0F58" w:rsidP="004D2249">
            <w:pPr>
              <w:jc w:val="left"/>
              <w:rPr>
                <w:rFonts w:cs="Times New Roman"/>
                <w:color w:val="000000"/>
                <w:sz w:val="18"/>
                <w:lang w:val="cs-CZ"/>
              </w:rPr>
            </w:pPr>
          </w:p>
        </w:tc>
        <w:tc>
          <w:tcPr>
            <w:tcW w:w="469" w:type="pct"/>
            <w:shd w:val="clear" w:color="auto" w:fill="auto"/>
            <w:hideMark/>
          </w:tcPr>
          <w:p w14:paraId="4C530DC8"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Regulace koryt vodních toků ve smyslu napřímení, zahloubení a opevnění toku - odstranění ramen meandrů, zvyšování rychlosti odtoku, nedostatečné využití retenční kapacity příbřežní zóny a údolní nivy</w:t>
            </w:r>
          </w:p>
        </w:tc>
        <w:tc>
          <w:tcPr>
            <w:tcW w:w="379" w:type="pct"/>
            <w:vMerge/>
            <w:vAlign w:val="center"/>
            <w:hideMark/>
          </w:tcPr>
          <w:p w14:paraId="29447C83" w14:textId="77777777" w:rsidR="003E0F58" w:rsidRPr="007C705C" w:rsidRDefault="003E0F58" w:rsidP="004D2249">
            <w:pPr>
              <w:jc w:val="left"/>
              <w:rPr>
                <w:rFonts w:cs="Times New Roman"/>
                <w:color w:val="000000"/>
                <w:sz w:val="18"/>
                <w:lang w:val="cs-CZ"/>
              </w:rPr>
            </w:pPr>
          </w:p>
        </w:tc>
        <w:tc>
          <w:tcPr>
            <w:tcW w:w="460" w:type="pct"/>
            <w:shd w:val="clear" w:color="auto" w:fill="auto"/>
            <w:hideMark/>
          </w:tcPr>
          <w:p w14:paraId="436972AD"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Zkapacitnění koryt vodních toků  - nedostatek retenčních prostor v krajině, zvyšující se prostor zpevněných ploch</w:t>
            </w:r>
          </w:p>
        </w:tc>
        <w:tc>
          <w:tcPr>
            <w:tcW w:w="317" w:type="pct"/>
            <w:shd w:val="clear" w:color="auto" w:fill="auto"/>
            <w:hideMark/>
          </w:tcPr>
          <w:p w14:paraId="3F611C75"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3</w:t>
            </w:r>
          </w:p>
        </w:tc>
        <w:tc>
          <w:tcPr>
            <w:tcW w:w="487" w:type="pct"/>
            <w:shd w:val="clear" w:color="auto" w:fill="auto"/>
            <w:hideMark/>
          </w:tcPr>
          <w:p w14:paraId="0B8D8488"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 </w:t>
            </w:r>
          </w:p>
        </w:tc>
        <w:tc>
          <w:tcPr>
            <w:tcW w:w="438" w:type="pct"/>
            <w:shd w:val="clear" w:color="auto" w:fill="auto"/>
            <w:hideMark/>
          </w:tcPr>
          <w:p w14:paraId="4F220895"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Podpora revitalizací toků, ochrana ZPF před nadměrnou zástavbou, využívání sedimentů z vodních ploch a toků</w:t>
            </w:r>
          </w:p>
        </w:tc>
        <w:tc>
          <w:tcPr>
            <w:tcW w:w="472" w:type="pct"/>
            <w:shd w:val="clear" w:color="auto" w:fill="auto"/>
            <w:hideMark/>
          </w:tcPr>
          <w:p w14:paraId="67B0184A"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 </w:t>
            </w:r>
          </w:p>
        </w:tc>
        <w:tc>
          <w:tcPr>
            <w:tcW w:w="549" w:type="pct"/>
            <w:vMerge/>
            <w:vAlign w:val="center"/>
            <w:hideMark/>
          </w:tcPr>
          <w:p w14:paraId="69A0B8C1" w14:textId="77777777" w:rsidR="003E0F58" w:rsidRPr="007C705C" w:rsidRDefault="003E0F58" w:rsidP="004D2249">
            <w:pPr>
              <w:jc w:val="left"/>
              <w:rPr>
                <w:rFonts w:cs="Times New Roman"/>
                <w:color w:val="000000"/>
                <w:sz w:val="18"/>
                <w:lang w:val="cs-CZ"/>
              </w:rPr>
            </w:pPr>
          </w:p>
        </w:tc>
        <w:tc>
          <w:tcPr>
            <w:tcW w:w="496" w:type="pct"/>
            <w:vMerge/>
            <w:vAlign w:val="center"/>
            <w:hideMark/>
          </w:tcPr>
          <w:p w14:paraId="55DCB734" w14:textId="77777777" w:rsidR="003E0F58" w:rsidRPr="007C705C" w:rsidRDefault="003E0F58" w:rsidP="004D2249">
            <w:pPr>
              <w:jc w:val="left"/>
              <w:rPr>
                <w:rFonts w:cs="Times New Roman"/>
                <w:color w:val="000000"/>
                <w:sz w:val="18"/>
                <w:lang w:val="cs-CZ"/>
              </w:rPr>
            </w:pPr>
          </w:p>
        </w:tc>
        <w:tc>
          <w:tcPr>
            <w:tcW w:w="508" w:type="pct"/>
            <w:vMerge/>
            <w:vAlign w:val="center"/>
            <w:hideMark/>
          </w:tcPr>
          <w:p w14:paraId="0F6D1FBC" w14:textId="77777777" w:rsidR="003E0F58" w:rsidRPr="007C705C" w:rsidRDefault="003E0F58" w:rsidP="004D2249">
            <w:pPr>
              <w:jc w:val="left"/>
              <w:rPr>
                <w:rFonts w:cs="Times New Roman"/>
                <w:color w:val="000000"/>
                <w:sz w:val="18"/>
                <w:lang w:val="cs-CZ"/>
              </w:rPr>
            </w:pPr>
          </w:p>
        </w:tc>
      </w:tr>
    </w:tbl>
    <w:p w14:paraId="567485B2" w14:textId="77777777" w:rsidR="003E0F58" w:rsidRPr="007C705C" w:rsidRDefault="003E0F58" w:rsidP="00D726A3">
      <w:pPr>
        <w:pStyle w:val="UZEIZdroj"/>
      </w:pPr>
      <w:r w:rsidRPr="007C705C">
        <w:t>Zdroj: VÚMOP v.v.i. 2018</w:t>
      </w:r>
    </w:p>
    <w:p w14:paraId="4F39F240" w14:textId="77777777" w:rsidR="003E0F58" w:rsidRPr="007C705C" w:rsidRDefault="003E0F58" w:rsidP="008A1AE3">
      <w:pPr>
        <w:pStyle w:val="Odstavecseseznamem"/>
        <w:numPr>
          <w:ilvl w:val="0"/>
          <w:numId w:val="28"/>
        </w:numPr>
        <w:spacing w:before="60" w:line="360" w:lineRule="atLeast"/>
        <w:sectPr w:rsidR="003E0F58" w:rsidRPr="007C705C" w:rsidSect="004D2249">
          <w:headerReference w:type="even" r:id="rId57"/>
          <w:headerReference w:type="default" r:id="rId58"/>
          <w:headerReference w:type="first" r:id="rId59"/>
          <w:footerReference w:type="first" r:id="rId60"/>
          <w:pgSz w:w="16838" w:h="11906" w:orient="landscape"/>
          <w:pgMar w:top="1417" w:right="1417" w:bottom="1417" w:left="1417" w:header="708" w:footer="708" w:gutter="0"/>
          <w:cols w:space="708"/>
          <w:titlePg/>
          <w:docGrid w:linePitch="360"/>
        </w:sectPr>
      </w:pPr>
    </w:p>
    <w:p w14:paraId="7D0F735D" w14:textId="77777777" w:rsidR="003E0F58" w:rsidRPr="007C705C" w:rsidRDefault="003E0F58" w:rsidP="00D726A3">
      <w:pPr>
        <w:pStyle w:val="UZEIOdrky"/>
        <w:rPr>
          <w:rFonts w:eastAsiaTheme="minorEastAsia"/>
        </w:rPr>
      </w:pPr>
      <w:r w:rsidRPr="007C705C">
        <w:rPr>
          <w:rFonts w:eastAsiaTheme="minorEastAsia"/>
        </w:rPr>
        <w:lastRenderedPageBreak/>
        <w:t>Zvyšování teplot</w:t>
      </w:r>
    </w:p>
    <w:p w14:paraId="54C9A920" w14:textId="77777777" w:rsidR="003E0F58" w:rsidRPr="007C705C" w:rsidRDefault="003E0F58" w:rsidP="00D726A3">
      <w:pPr>
        <w:pStyle w:val="UZEINormaln"/>
        <w:rPr>
          <w:rFonts w:eastAsiaTheme="minorEastAsia"/>
        </w:rPr>
      </w:pPr>
      <w:r w:rsidRPr="007C705C">
        <w:rPr>
          <w:rFonts w:eastAsiaTheme="minorEastAsia"/>
        </w:rPr>
        <w:t>Zpráva IPCC AR5 (IPCC, 2013) uvádí, že období posledních 30 let je globálně nejteplejším za dobu přístrojového měření. Průměrná teplota je v Evropě o 1,3 °C vyšší, než byl průměr v předindustriální době. Scénář vývoje klimatu do roku 2100 (Pretel, 2011) předpokládají na území ČR postupný nárůst průměrné teploty. V prvním srovnávacím období 2010–2039 se teplota vzduchu pravděpodobně zvýší cca o 1 °C, oproti období 1961–90. V období 2040–2069 se předpokládá výraznější oteplení, na jaře a v létě se může pohybovat od 2,3 °C po 3,2 °C, na podzim od 1,7 °C po 2,1 °C a v zimě od 1,5°C po 2,0°C. V posledním období 2070–2099 dosáhne oteplení v létě v průměru 4 °C a v zimě 2,8°C. Rozložení růstu teploty vzduchu předpokládá v jarních a letních měsících vyšší hodnoty, na podzim a v zimě nižší. Nejvyšší teploty budou i nadále na jižní a střední Moravě a v Polabí, ke zvýšení dojde bez větších rozdílů na území celé ČR. Postupně se bude navyšovat počet letních (v průměru ze 45 na 91) a tropických dní (z 8 na 31), častěji se budou vyskytovat tropické noci a významně poklesne počet mrazových (v průměru ze 112 na 69) a ledových dní (z 30 na 8) a prakticky se přestanou vyskytovat arktické dny. Tyto změny však budou regionálně i časově nehomogenní, výše uvedené údaje se vztahují vždy k uvedeným 30letým obdobím.</w:t>
      </w:r>
    </w:p>
    <w:p w14:paraId="576A11A8" w14:textId="77777777" w:rsidR="003E0F58" w:rsidRPr="007C705C" w:rsidRDefault="003E0F58" w:rsidP="00D726A3">
      <w:pPr>
        <w:pStyle w:val="UZEIOdrky"/>
        <w:rPr>
          <w:rFonts w:eastAsiaTheme="minorEastAsia"/>
        </w:rPr>
      </w:pPr>
      <w:r w:rsidRPr="007C705C">
        <w:rPr>
          <w:rFonts w:eastAsiaTheme="minorEastAsia"/>
        </w:rPr>
        <w:t>Výskyt extrémních srážek</w:t>
      </w:r>
    </w:p>
    <w:p w14:paraId="1B343C7D" w14:textId="77777777" w:rsidR="003E0F58" w:rsidRPr="007C705C" w:rsidRDefault="003E0F58" w:rsidP="00D726A3">
      <w:pPr>
        <w:pStyle w:val="UZEINormaln"/>
        <w:rPr>
          <w:rFonts w:eastAsiaTheme="minorEastAsia"/>
        </w:rPr>
      </w:pPr>
      <w:r w:rsidRPr="007C705C">
        <w:rPr>
          <w:rFonts w:eastAsiaTheme="minorEastAsia"/>
        </w:rPr>
        <w:t>Vydatné srážky charakterizuje velmi silná intenzita deště nebo sněžení. V nepříznivých podmínkách mohou dešťové srážky vést k rychlému odtoku, zejména na zpevněném, málo propustném, nasyceném nebo naopak vysušeném povrchu, a k zatopení níže ležících poloh, objektů, případně k vzestupům hladin vody ve vodních tocích a k povodním. Vydatné srážky, spojené s bouřkovou činností, jsou v letním období poměrně častým jevem, ve většině případů však mají pouze krátkou dobu trvání (do 30 minut).</w:t>
      </w:r>
    </w:p>
    <w:p w14:paraId="3E0154D0" w14:textId="77777777" w:rsidR="003E0F58" w:rsidRPr="007C705C" w:rsidRDefault="003E0F58" w:rsidP="00D726A3">
      <w:pPr>
        <w:pStyle w:val="UZEINormaln"/>
        <w:rPr>
          <w:rFonts w:eastAsiaTheme="minorEastAsia"/>
        </w:rPr>
      </w:pPr>
      <w:r w:rsidRPr="007C705C">
        <w:rPr>
          <w:rFonts w:eastAsiaTheme="minorEastAsia"/>
        </w:rPr>
        <w:t>V některých případech však může být bouřková buňka mimořádně aktivní a ve velmi krátkém čase napadne extrémní množství srážek. Jindy se bouřková oblačnost může uspořádat do podoby většího množství bouřkových buněk, které opakovaně postupují přes stejnou oblast. Bouřky jsou kromě přívalových dešťů zpravidla doprovázeny nárazovým větrem, elektrickými výboji, případně krupobitím.</w:t>
      </w:r>
    </w:p>
    <w:p w14:paraId="541F7B64" w14:textId="77777777" w:rsidR="003E0F58" w:rsidRPr="007C705C" w:rsidRDefault="003E0F58" w:rsidP="00D726A3">
      <w:pPr>
        <w:pStyle w:val="UZEIOdrky"/>
        <w:rPr>
          <w:rFonts w:eastAsiaTheme="minorEastAsia"/>
        </w:rPr>
      </w:pPr>
      <w:r w:rsidRPr="007C705C">
        <w:rPr>
          <w:rFonts w:eastAsiaTheme="minorEastAsia"/>
        </w:rPr>
        <w:t>Výskyt extrémních rychlostí větru</w:t>
      </w:r>
    </w:p>
    <w:p w14:paraId="56CD7E46" w14:textId="77777777" w:rsidR="003E0F58" w:rsidRPr="007C705C" w:rsidRDefault="003E0F58" w:rsidP="00D726A3">
      <w:pPr>
        <w:pStyle w:val="UZEINormaln"/>
        <w:rPr>
          <w:rFonts w:eastAsiaTheme="minorEastAsia"/>
        </w:rPr>
      </w:pPr>
      <w:r w:rsidRPr="007C705C">
        <w:rPr>
          <w:rFonts w:eastAsiaTheme="minorEastAsia"/>
        </w:rPr>
        <w:t>Nebezpečné rychlosti větru se v ČR vyskytují v zimní polovině roku při postupu hlubokých tlakových níží k východu, v letní polovině roku pak při intenzivní bouřkové činnosti. Následky silného větru spočívají především ve vlivu na dopravu, energetiku, komunikace a sídla a na lesní porosty, které může komplexně poškodit nebo zničit. Dochází k nebezpečným pádům větrem uvolněných předmětů. Přímo ohrožena je energetická infrastruktura s následným domino efektem. Negativní dopady se projevují jak přímo působením kinetické energie větru, tak i nepřímo snížením viditelnosti v důsledku zakalení atmosféry větrem transportovanými částicemi i ohrožení průjezdnosti komunikací v důsledku jejich sedimentace, případně tvorbou sněhových závějí (jazyků) v zimním období.</w:t>
      </w:r>
    </w:p>
    <w:p w14:paraId="24722031" w14:textId="77777777" w:rsidR="003E0F58" w:rsidRPr="007C705C" w:rsidRDefault="003E0F58" w:rsidP="00D726A3">
      <w:pPr>
        <w:pStyle w:val="UZEIOdrky"/>
        <w:rPr>
          <w:rFonts w:eastAsiaTheme="minorEastAsia"/>
        </w:rPr>
      </w:pPr>
      <w:r w:rsidRPr="007C705C">
        <w:rPr>
          <w:rFonts w:eastAsiaTheme="minorEastAsia"/>
        </w:rPr>
        <w:t>Snižování zásob vody v půdě</w:t>
      </w:r>
    </w:p>
    <w:p w14:paraId="4949CCB2" w14:textId="77777777" w:rsidR="003E0F58" w:rsidRPr="007C705C" w:rsidRDefault="003E0F58" w:rsidP="00D726A3">
      <w:pPr>
        <w:pStyle w:val="UZEINormaln"/>
        <w:rPr>
          <w:rFonts w:eastAsiaTheme="minorEastAsia"/>
        </w:rPr>
      </w:pPr>
      <w:r w:rsidRPr="007C705C">
        <w:rPr>
          <w:rFonts w:eastAsiaTheme="minorEastAsia"/>
        </w:rPr>
        <w:t xml:space="preserve">Na rozdíl od většiny států Evropy pochází téměř veškerá voda, která se na území ČR vyskytuje, ze srážek. Z toho vyplývá nutnost s vodou v krajině, v říční síti, nádržích i s podzemními vodami šetrně hospodařit tak, aby byla využitelná pro všechna odvětví, a přitom nebyla ohrožována kvalita životního prostředí. Řešení sucha jako přírodní katastrofy dosud není právně ukotveno. Koncepce environmentální bezpečnosti 2016-2020 s výhledem do roku 2030 a zpracované metodiky předpokládají, že jednotlivá období sucha bude možné klasifikovat podle rozsahu a závažnosti jako stav bdělosti a stav pohotovosti. V případě, že v tomto období přijatá opatření </w:t>
      </w:r>
      <w:r w:rsidRPr="007C705C">
        <w:rPr>
          <w:rFonts w:eastAsiaTheme="minorEastAsia"/>
        </w:rPr>
        <w:lastRenderedPageBreak/>
        <w:t>stále nepovedou ke zlepšení situace a dopady nebude možné zvládat běžnými prostředky, bude vyhlášen stav nebezpečí nebo nouzový stav podle krizového zákona.</w:t>
      </w:r>
    </w:p>
    <w:p w14:paraId="2F3E9AC9" w14:textId="77777777" w:rsidR="003E0F58" w:rsidRPr="007C705C" w:rsidRDefault="003E0F58" w:rsidP="00C073DE">
      <w:pPr>
        <w:pStyle w:val="UZEINadpis2stbezsla"/>
      </w:pPr>
      <w:bookmarkStart w:id="600" w:name="_Toc523146652"/>
      <w:bookmarkStart w:id="601" w:name="_Toc77245906"/>
      <w:bookmarkStart w:id="602" w:name="_Toc81343112"/>
      <w:bookmarkStart w:id="603" w:name="_Toc81343175"/>
      <w:bookmarkStart w:id="604" w:name="_Toc81343244"/>
      <w:r w:rsidRPr="007C705C">
        <w:t>Vysoké emise skleníkových plynů ze zemědělství</w:t>
      </w:r>
      <w:bookmarkEnd w:id="600"/>
      <w:bookmarkEnd w:id="601"/>
      <w:bookmarkEnd w:id="602"/>
      <w:bookmarkEnd w:id="603"/>
      <w:bookmarkEnd w:id="604"/>
    </w:p>
    <w:p w14:paraId="0FC4EDDC" w14:textId="77777777" w:rsidR="003E0F58" w:rsidRPr="007C705C" w:rsidRDefault="003E0F58" w:rsidP="00D726A3">
      <w:pPr>
        <w:pStyle w:val="UZEIOdrky"/>
        <w:rPr>
          <w:rFonts w:eastAsiaTheme="minorEastAsia"/>
        </w:rPr>
      </w:pPr>
      <w:r w:rsidRPr="007C705C">
        <w:rPr>
          <w:rFonts w:eastAsiaTheme="minorEastAsia"/>
        </w:rPr>
        <w:t>Vysoké emise CO</w:t>
      </w:r>
      <w:r w:rsidRPr="007C705C">
        <w:rPr>
          <w:rFonts w:eastAsiaTheme="minorEastAsia"/>
          <w:vertAlign w:val="subscript"/>
        </w:rPr>
        <w:t>2</w:t>
      </w:r>
      <w:r w:rsidRPr="007C705C">
        <w:rPr>
          <w:rFonts w:eastAsiaTheme="minorEastAsia"/>
        </w:rPr>
        <w:t>, NO</w:t>
      </w:r>
      <w:r w:rsidRPr="007C705C">
        <w:rPr>
          <w:rFonts w:eastAsiaTheme="minorEastAsia"/>
          <w:vertAlign w:val="subscript"/>
        </w:rPr>
        <w:t>x</w:t>
      </w:r>
      <w:r w:rsidRPr="007C705C">
        <w:rPr>
          <w:rFonts w:eastAsiaTheme="minorEastAsia"/>
        </w:rPr>
        <w:t>, CH</w:t>
      </w:r>
      <w:r w:rsidRPr="007C705C">
        <w:rPr>
          <w:rFonts w:eastAsiaTheme="minorEastAsia"/>
          <w:vertAlign w:val="subscript"/>
        </w:rPr>
        <w:t>4</w:t>
      </w:r>
      <w:r w:rsidRPr="007C705C">
        <w:rPr>
          <w:rFonts w:eastAsiaTheme="minorEastAsia"/>
        </w:rPr>
        <w:t>, NH</w:t>
      </w:r>
      <w:r w:rsidRPr="007C705C">
        <w:rPr>
          <w:rFonts w:eastAsiaTheme="minorEastAsia"/>
          <w:vertAlign w:val="subscript"/>
        </w:rPr>
        <w:t>3</w:t>
      </w:r>
      <w:r w:rsidRPr="007C705C">
        <w:rPr>
          <w:rFonts w:eastAsiaTheme="minorEastAsia"/>
        </w:rPr>
        <w:t xml:space="preserve"> ze zemědělské půdy</w:t>
      </w:r>
    </w:p>
    <w:p w14:paraId="10E5C66D" w14:textId="19B7909A" w:rsidR="003E0F58" w:rsidRPr="007C705C" w:rsidRDefault="003E0F58" w:rsidP="00D726A3">
      <w:pPr>
        <w:pStyle w:val="UZEINormaln"/>
        <w:rPr>
          <w:rFonts w:eastAsiaTheme="minorEastAsia"/>
        </w:rPr>
        <w:sectPr w:rsidR="003E0F58" w:rsidRPr="007C705C" w:rsidSect="004D2249">
          <w:headerReference w:type="even" r:id="rId61"/>
          <w:headerReference w:type="default" r:id="rId62"/>
          <w:headerReference w:type="first" r:id="rId63"/>
          <w:footerReference w:type="first" r:id="rId64"/>
          <w:pgSz w:w="11906" w:h="16838"/>
          <w:pgMar w:top="1417" w:right="1417" w:bottom="1417" w:left="1417" w:header="708" w:footer="708" w:gutter="0"/>
          <w:cols w:space="708"/>
          <w:titlePg/>
          <w:docGrid w:linePitch="360"/>
        </w:sectPr>
      </w:pPr>
      <w:r w:rsidRPr="007C705C">
        <w:rPr>
          <w:rFonts w:eastAsiaTheme="minorEastAsia"/>
        </w:rPr>
        <w:t xml:space="preserve">(viz kapitola </w:t>
      </w:r>
      <w:r w:rsidRPr="007C705C">
        <w:fldChar w:fldCharType="begin"/>
      </w:r>
      <w:r w:rsidRPr="007C705C">
        <w:rPr>
          <w:rFonts w:eastAsiaTheme="minorEastAsia"/>
        </w:rPr>
        <w:instrText xml:space="preserve"> REF _Ref522884789 \r \h </w:instrText>
      </w:r>
      <w:r w:rsidRPr="007C705C">
        <w:instrText xml:space="preserve"> \* MERGEFORMAT </w:instrText>
      </w:r>
      <w:r w:rsidRPr="007C705C">
        <w:rPr>
          <w:rFonts w:eastAsiaTheme="minorEastAsia"/>
        </w:rPr>
        <w:fldChar w:fldCharType="separate"/>
      </w:r>
      <w:r w:rsidR="00127D64">
        <w:rPr>
          <w:rFonts w:eastAsiaTheme="minorEastAsia"/>
        </w:rPr>
        <w:t>1.4</w:t>
      </w:r>
      <w:r w:rsidRPr="007C705C">
        <w:fldChar w:fldCharType="end"/>
      </w:r>
      <w:r w:rsidRPr="007C705C">
        <w:rPr>
          <w:rFonts w:eastAsiaTheme="minorEastAsia"/>
        </w:rPr>
        <w:t xml:space="preserve">, bod • Opatření pro zvýšení ukládání uhlíku na orné půdě) </w:t>
      </w:r>
    </w:p>
    <w:p w14:paraId="59F9EB3C" w14:textId="77777777" w:rsidR="003E0F58" w:rsidRPr="007C705C" w:rsidRDefault="003E0F58" w:rsidP="00D726A3">
      <w:pPr>
        <w:pStyle w:val="UZEIOdrky"/>
        <w:rPr>
          <w:rFonts w:eastAsiaTheme="minorEastAsia"/>
        </w:rPr>
      </w:pPr>
      <w:r w:rsidRPr="007C705C">
        <w:rPr>
          <w:rFonts w:eastAsiaTheme="minorEastAsia"/>
        </w:rPr>
        <w:lastRenderedPageBreak/>
        <w:t>Nevyužívání půdoochranných technologií, které mají vliv na snižování emisí + Nevyužívání změn managementu na půdě - Zalesňování a zatravňování ZPF</w:t>
      </w:r>
    </w:p>
    <w:p w14:paraId="63C23A01" w14:textId="77777777" w:rsidR="003E0F58" w:rsidRPr="007C705C" w:rsidRDefault="003E0F58" w:rsidP="003E0F58">
      <w:pPr>
        <w:pStyle w:val="Odstavecseseznamem"/>
        <w:ind w:left="862"/>
        <w:rPr>
          <w:lang w:eastAsia="x-none"/>
        </w:rPr>
      </w:pPr>
    </w:p>
    <w:p w14:paraId="2D383712" w14:textId="4C199D83" w:rsidR="003E0F58" w:rsidRPr="007C705C" w:rsidRDefault="00D726A3" w:rsidP="00D726A3">
      <w:pPr>
        <w:pStyle w:val="UZEITaB"/>
        <w:rPr>
          <w:rFonts w:eastAsiaTheme="minorEastAsia"/>
        </w:rPr>
      </w:pPr>
      <w:bookmarkStart w:id="605" w:name="_Toc77245876"/>
      <w:r>
        <w:rPr>
          <w:rFonts w:eastAsiaTheme="minorEastAsia"/>
        </w:rPr>
        <w:t xml:space="preserve"> </w:t>
      </w:r>
      <w:bookmarkStart w:id="606" w:name="_Ref81423294"/>
      <w:bookmarkStart w:id="607" w:name="_Ref81423456"/>
      <w:bookmarkStart w:id="608" w:name="_Toc94181646"/>
      <w:r w:rsidR="003E0F58" w:rsidRPr="007C705C">
        <w:rPr>
          <w:rFonts w:eastAsiaTheme="minorEastAsia"/>
        </w:rPr>
        <w:t>Rozsah problému Půdoochranné technologie a  Zalesňování a zatravňování ZPF</w:t>
      </w:r>
      <w:bookmarkEnd w:id="605"/>
      <w:bookmarkEnd w:id="606"/>
      <w:bookmarkEnd w:id="607"/>
      <w:bookmarkEnd w:id="60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85"/>
        <w:gridCol w:w="1104"/>
        <w:gridCol w:w="1039"/>
        <w:gridCol w:w="1388"/>
        <w:gridCol w:w="859"/>
        <w:gridCol w:w="1265"/>
        <w:gridCol w:w="1274"/>
        <w:gridCol w:w="1095"/>
        <w:gridCol w:w="1501"/>
        <w:gridCol w:w="1293"/>
        <w:gridCol w:w="991"/>
      </w:tblGrid>
      <w:tr w:rsidR="003E0F58" w:rsidRPr="007C705C" w14:paraId="1CAF9CF1" w14:textId="77777777" w:rsidTr="004D2249">
        <w:trPr>
          <w:trHeight w:val="1215"/>
        </w:trPr>
        <w:tc>
          <w:tcPr>
            <w:tcW w:w="771" w:type="pct"/>
            <w:vMerge w:val="restart"/>
            <w:shd w:val="clear" w:color="auto" w:fill="BDD7EE"/>
            <w:hideMark/>
          </w:tcPr>
          <w:p w14:paraId="60A566EF"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Problém:I.10 Přispívat ke zmírňování změny klimatu: snižování emisí skleníkových plynů ze zemědělství</w:t>
            </w:r>
          </w:p>
        </w:tc>
        <w:tc>
          <w:tcPr>
            <w:tcW w:w="408" w:type="pct"/>
            <w:vMerge w:val="restart"/>
            <w:shd w:val="clear" w:color="auto" w:fill="BDD7EE"/>
            <w:hideMark/>
          </w:tcPr>
          <w:p w14:paraId="446ABDE9"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Popis problému</w:t>
            </w:r>
          </w:p>
        </w:tc>
        <w:tc>
          <w:tcPr>
            <w:tcW w:w="358" w:type="pct"/>
            <w:shd w:val="clear" w:color="auto" w:fill="BDD7EE"/>
            <w:hideMark/>
          </w:tcPr>
          <w:p w14:paraId="4E045A60"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 xml:space="preserve">Stanovení závažnosti jednotlivých problémů </w:t>
            </w:r>
          </w:p>
        </w:tc>
        <w:tc>
          <w:tcPr>
            <w:tcW w:w="492" w:type="pct"/>
            <w:vMerge w:val="restart"/>
            <w:shd w:val="clear" w:color="auto" w:fill="BDD7EE"/>
            <w:hideMark/>
          </w:tcPr>
          <w:p w14:paraId="180C00B3"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Stanovení příčin</w:t>
            </w:r>
          </w:p>
        </w:tc>
        <w:tc>
          <w:tcPr>
            <w:tcW w:w="300" w:type="pct"/>
            <w:shd w:val="clear" w:color="auto" w:fill="BDD7EE"/>
            <w:hideMark/>
          </w:tcPr>
          <w:p w14:paraId="1F83951E"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Stanovení míry příčin na vzniku problému</w:t>
            </w:r>
          </w:p>
        </w:tc>
        <w:tc>
          <w:tcPr>
            <w:tcW w:w="459" w:type="pct"/>
            <w:vMerge w:val="restart"/>
            <w:shd w:val="clear" w:color="auto" w:fill="BDD7EE"/>
            <w:hideMark/>
          </w:tcPr>
          <w:p w14:paraId="15FC5B52"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 xml:space="preserve">Reakce zemědělců na příčiny </w:t>
            </w:r>
            <w:r w:rsidRPr="007C705C">
              <w:rPr>
                <w:rFonts w:eastAsiaTheme="minorEastAsia" w:cs="Times New Roman"/>
                <w:i/>
                <w:iCs/>
                <w:color w:val="000000" w:themeColor="text1"/>
                <w:sz w:val="18"/>
                <w:szCs w:val="18"/>
                <w:lang w:val="cs-CZ"/>
              </w:rPr>
              <w:t>(jak je respektováno / nerespektováno)</w:t>
            </w:r>
          </w:p>
        </w:tc>
        <w:tc>
          <w:tcPr>
            <w:tcW w:w="455" w:type="pct"/>
            <w:vMerge w:val="restart"/>
            <w:shd w:val="clear" w:color="auto" w:fill="BDD7EE"/>
            <w:hideMark/>
          </w:tcPr>
          <w:p w14:paraId="0D480DD7"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 xml:space="preserve">Řešitelnost v rámci SZP - technologická, organizační </w:t>
            </w:r>
          </w:p>
        </w:tc>
        <w:tc>
          <w:tcPr>
            <w:tcW w:w="386" w:type="pct"/>
            <w:shd w:val="clear" w:color="auto" w:fill="BDD7EE"/>
            <w:hideMark/>
          </w:tcPr>
          <w:p w14:paraId="2047BBA9"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S</w:t>
            </w:r>
          </w:p>
        </w:tc>
        <w:tc>
          <w:tcPr>
            <w:tcW w:w="537" w:type="pct"/>
            <w:shd w:val="clear" w:color="auto" w:fill="BDD7EE"/>
            <w:hideMark/>
          </w:tcPr>
          <w:p w14:paraId="7AF711F7"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W</w:t>
            </w:r>
          </w:p>
        </w:tc>
        <w:tc>
          <w:tcPr>
            <w:tcW w:w="473" w:type="pct"/>
            <w:shd w:val="clear" w:color="auto" w:fill="BDD7EE"/>
            <w:hideMark/>
          </w:tcPr>
          <w:p w14:paraId="73792D2F"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O</w:t>
            </w:r>
          </w:p>
        </w:tc>
        <w:tc>
          <w:tcPr>
            <w:tcW w:w="359" w:type="pct"/>
            <w:shd w:val="clear" w:color="auto" w:fill="BDD7EE"/>
            <w:hideMark/>
          </w:tcPr>
          <w:p w14:paraId="0AC7590A"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T</w:t>
            </w:r>
          </w:p>
        </w:tc>
      </w:tr>
      <w:tr w:rsidR="003E0F58" w:rsidRPr="007C705C" w14:paraId="3FE19992" w14:textId="77777777" w:rsidTr="004D2249">
        <w:trPr>
          <w:trHeight w:val="315"/>
        </w:trPr>
        <w:tc>
          <w:tcPr>
            <w:tcW w:w="771" w:type="pct"/>
            <w:vMerge/>
            <w:vAlign w:val="center"/>
            <w:hideMark/>
          </w:tcPr>
          <w:p w14:paraId="182487E5" w14:textId="77777777" w:rsidR="003E0F58" w:rsidRPr="007C705C" w:rsidRDefault="003E0F58" w:rsidP="004D2249">
            <w:pPr>
              <w:jc w:val="left"/>
              <w:rPr>
                <w:rFonts w:cs="Times New Roman"/>
                <w:b/>
                <w:bCs/>
                <w:color w:val="000000"/>
                <w:sz w:val="18"/>
                <w:lang w:val="cs-CZ"/>
              </w:rPr>
            </w:pPr>
          </w:p>
        </w:tc>
        <w:tc>
          <w:tcPr>
            <w:tcW w:w="408" w:type="pct"/>
            <w:vMerge/>
            <w:vAlign w:val="center"/>
            <w:hideMark/>
          </w:tcPr>
          <w:p w14:paraId="4C7E1476" w14:textId="77777777" w:rsidR="003E0F58" w:rsidRPr="007C705C" w:rsidRDefault="003E0F58" w:rsidP="004D2249">
            <w:pPr>
              <w:jc w:val="left"/>
              <w:rPr>
                <w:rFonts w:cs="Times New Roman"/>
                <w:b/>
                <w:bCs/>
                <w:color w:val="000000"/>
                <w:sz w:val="18"/>
                <w:lang w:val="cs-CZ"/>
              </w:rPr>
            </w:pPr>
          </w:p>
        </w:tc>
        <w:tc>
          <w:tcPr>
            <w:tcW w:w="358" w:type="pct"/>
            <w:shd w:val="clear" w:color="auto" w:fill="BDD7EE"/>
            <w:hideMark/>
          </w:tcPr>
          <w:p w14:paraId="1BE3DC85" w14:textId="77777777" w:rsidR="003E0F58" w:rsidRPr="007C705C" w:rsidRDefault="003E0F58" w:rsidP="004D2249">
            <w:pPr>
              <w:jc w:val="left"/>
              <w:rPr>
                <w:rFonts w:eastAsiaTheme="minorEastAsia" w:cs="Times New Roman"/>
                <w:i/>
                <w:iCs/>
                <w:color w:val="000000" w:themeColor="text1"/>
                <w:sz w:val="18"/>
                <w:szCs w:val="18"/>
                <w:lang w:val="cs-CZ"/>
              </w:rPr>
            </w:pPr>
            <w:r w:rsidRPr="007C705C">
              <w:rPr>
                <w:rFonts w:eastAsiaTheme="minorEastAsia" w:cs="Times New Roman"/>
                <w:i/>
                <w:iCs/>
                <w:color w:val="000000" w:themeColor="text1"/>
                <w:sz w:val="18"/>
                <w:szCs w:val="18"/>
                <w:lang w:val="cs-CZ"/>
              </w:rPr>
              <w:t>(1-5)*</w:t>
            </w:r>
          </w:p>
        </w:tc>
        <w:tc>
          <w:tcPr>
            <w:tcW w:w="492" w:type="pct"/>
            <w:vMerge/>
            <w:vAlign w:val="center"/>
            <w:hideMark/>
          </w:tcPr>
          <w:p w14:paraId="0F8F9224" w14:textId="77777777" w:rsidR="003E0F58" w:rsidRPr="007C705C" w:rsidRDefault="003E0F58" w:rsidP="004D2249">
            <w:pPr>
              <w:jc w:val="left"/>
              <w:rPr>
                <w:rFonts w:cs="Times New Roman"/>
                <w:b/>
                <w:bCs/>
                <w:color w:val="000000"/>
                <w:sz w:val="18"/>
                <w:lang w:val="cs-CZ"/>
              </w:rPr>
            </w:pPr>
          </w:p>
        </w:tc>
        <w:tc>
          <w:tcPr>
            <w:tcW w:w="300" w:type="pct"/>
            <w:shd w:val="clear" w:color="auto" w:fill="BDD7EE"/>
            <w:hideMark/>
          </w:tcPr>
          <w:p w14:paraId="11E62EEC" w14:textId="77777777" w:rsidR="003E0F58" w:rsidRPr="007C705C" w:rsidRDefault="003E0F58" w:rsidP="004D2249">
            <w:pPr>
              <w:jc w:val="left"/>
              <w:rPr>
                <w:rFonts w:eastAsiaTheme="minorEastAsia" w:cs="Times New Roman"/>
                <w:i/>
                <w:iCs/>
                <w:color w:val="000000" w:themeColor="text1"/>
                <w:sz w:val="18"/>
                <w:szCs w:val="18"/>
                <w:lang w:val="cs-CZ"/>
              </w:rPr>
            </w:pPr>
            <w:r w:rsidRPr="007C705C">
              <w:rPr>
                <w:rFonts w:eastAsiaTheme="minorEastAsia" w:cs="Times New Roman"/>
                <w:i/>
                <w:iCs/>
                <w:color w:val="000000" w:themeColor="text1"/>
                <w:sz w:val="18"/>
                <w:szCs w:val="18"/>
                <w:lang w:val="cs-CZ"/>
              </w:rPr>
              <w:t>(1-5)**</w:t>
            </w:r>
          </w:p>
        </w:tc>
        <w:tc>
          <w:tcPr>
            <w:tcW w:w="459" w:type="pct"/>
            <w:vMerge/>
            <w:vAlign w:val="center"/>
            <w:hideMark/>
          </w:tcPr>
          <w:p w14:paraId="46A2BDEB" w14:textId="77777777" w:rsidR="003E0F58" w:rsidRPr="007C705C" w:rsidRDefault="003E0F58" w:rsidP="004D2249">
            <w:pPr>
              <w:jc w:val="left"/>
              <w:rPr>
                <w:rFonts w:cs="Times New Roman"/>
                <w:b/>
                <w:bCs/>
                <w:color w:val="000000"/>
                <w:sz w:val="18"/>
                <w:lang w:val="cs-CZ"/>
              </w:rPr>
            </w:pPr>
          </w:p>
        </w:tc>
        <w:tc>
          <w:tcPr>
            <w:tcW w:w="455" w:type="pct"/>
            <w:vMerge/>
            <w:vAlign w:val="center"/>
            <w:hideMark/>
          </w:tcPr>
          <w:p w14:paraId="6C5CC453" w14:textId="77777777" w:rsidR="003E0F58" w:rsidRPr="007C705C" w:rsidRDefault="003E0F58" w:rsidP="004D2249">
            <w:pPr>
              <w:jc w:val="left"/>
              <w:rPr>
                <w:rFonts w:cs="Times New Roman"/>
                <w:b/>
                <w:bCs/>
                <w:color w:val="000000"/>
                <w:sz w:val="18"/>
                <w:lang w:val="cs-CZ"/>
              </w:rPr>
            </w:pPr>
          </w:p>
        </w:tc>
        <w:tc>
          <w:tcPr>
            <w:tcW w:w="386" w:type="pct"/>
            <w:shd w:val="clear" w:color="auto" w:fill="BDD7EE"/>
            <w:hideMark/>
          </w:tcPr>
          <w:p w14:paraId="3DE489D5" w14:textId="77777777" w:rsidR="003E0F58" w:rsidRPr="007C705C" w:rsidRDefault="003E0F58" w:rsidP="004D2249">
            <w:pPr>
              <w:jc w:val="left"/>
              <w:rPr>
                <w:rFonts w:eastAsiaTheme="minorEastAsia" w:cs="Times New Roman"/>
                <w:i/>
                <w:iCs/>
                <w:color w:val="000000" w:themeColor="text1"/>
                <w:sz w:val="18"/>
                <w:szCs w:val="18"/>
                <w:lang w:val="cs-CZ"/>
              </w:rPr>
            </w:pPr>
            <w:r w:rsidRPr="007C705C">
              <w:rPr>
                <w:rFonts w:eastAsiaTheme="minorEastAsia" w:cs="Times New Roman"/>
                <w:i/>
                <w:iCs/>
                <w:color w:val="000000" w:themeColor="text1"/>
                <w:sz w:val="18"/>
                <w:szCs w:val="18"/>
                <w:lang w:val="cs-CZ"/>
              </w:rPr>
              <w:t>Silné stránky:</w:t>
            </w:r>
          </w:p>
        </w:tc>
        <w:tc>
          <w:tcPr>
            <w:tcW w:w="537" w:type="pct"/>
            <w:shd w:val="clear" w:color="auto" w:fill="BDD7EE"/>
            <w:hideMark/>
          </w:tcPr>
          <w:p w14:paraId="03887697" w14:textId="77777777" w:rsidR="003E0F58" w:rsidRPr="007C705C" w:rsidRDefault="003E0F58" w:rsidP="004D2249">
            <w:pPr>
              <w:jc w:val="left"/>
              <w:rPr>
                <w:rFonts w:eastAsiaTheme="minorEastAsia" w:cs="Times New Roman"/>
                <w:i/>
                <w:iCs/>
                <w:color w:val="000000" w:themeColor="text1"/>
                <w:sz w:val="18"/>
                <w:szCs w:val="18"/>
                <w:lang w:val="cs-CZ"/>
              </w:rPr>
            </w:pPr>
            <w:r w:rsidRPr="007C705C">
              <w:rPr>
                <w:rFonts w:eastAsiaTheme="minorEastAsia" w:cs="Times New Roman"/>
                <w:i/>
                <w:iCs/>
                <w:color w:val="000000" w:themeColor="text1"/>
                <w:sz w:val="18"/>
                <w:szCs w:val="18"/>
                <w:lang w:val="cs-CZ"/>
              </w:rPr>
              <w:t>Slabé stránky:</w:t>
            </w:r>
          </w:p>
        </w:tc>
        <w:tc>
          <w:tcPr>
            <w:tcW w:w="473" w:type="pct"/>
            <w:shd w:val="clear" w:color="auto" w:fill="BDD7EE"/>
            <w:hideMark/>
          </w:tcPr>
          <w:p w14:paraId="253A39E7" w14:textId="77777777" w:rsidR="003E0F58" w:rsidRPr="007C705C" w:rsidRDefault="003E0F58" w:rsidP="004D2249">
            <w:pPr>
              <w:jc w:val="left"/>
              <w:rPr>
                <w:rFonts w:eastAsiaTheme="minorEastAsia" w:cs="Times New Roman"/>
                <w:i/>
                <w:iCs/>
                <w:color w:val="000000" w:themeColor="text1"/>
                <w:sz w:val="18"/>
                <w:szCs w:val="18"/>
                <w:lang w:val="cs-CZ"/>
              </w:rPr>
            </w:pPr>
            <w:r w:rsidRPr="007C705C">
              <w:rPr>
                <w:rFonts w:eastAsiaTheme="minorEastAsia" w:cs="Times New Roman"/>
                <w:i/>
                <w:iCs/>
                <w:color w:val="000000" w:themeColor="text1"/>
                <w:sz w:val="18"/>
                <w:szCs w:val="18"/>
                <w:lang w:val="cs-CZ"/>
              </w:rPr>
              <w:t>Příležitosti:</w:t>
            </w:r>
          </w:p>
        </w:tc>
        <w:tc>
          <w:tcPr>
            <w:tcW w:w="359" w:type="pct"/>
            <w:shd w:val="clear" w:color="auto" w:fill="BDD7EE"/>
            <w:hideMark/>
          </w:tcPr>
          <w:p w14:paraId="45CC0B7D" w14:textId="77777777" w:rsidR="003E0F58" w:rsidRPr="007C705C" w:rsidRDefault="003E0F58" w:rsidP="004D2249">
            <w:pPr>
              <w:jc w:val="left"/>
              <w:rPr>
                <w:rFonts w:eastAsiaTheme="minorEastAsia" w:cs="Times New Roman"/>
                <w:i/>
                <w:iCs/>
                <w:color w:val="000000" w:themeColor="text1"/>
                <w:sz w:val="18"/>
                <w:szCs w:val="18"/>
                <w:lang w:val="cs-CZ"/>
              </w:rPr>
            </w:pPr>
            <w:r w:rsidRPr="007C705C">
              <w:rPr>
                <w:rFonts w:eastAsiaTheme="minorEastAsia" w:cs="Times New Roman"/>
                <w:i/>
                <w:iCs/>
                <w:color w:val="000000" w:themeColor="text1"/>
                <w:sz w:val="18"/>
                <w:szCs w:val="18"/>
                <w:lang w:val="cs-CZ"/>
              </w:rPr>
              <w:t>Hrozby:</w:t>
            </w:r>
          </w:p>
        </w:tc>
      </w:tr>
      <w:tr w:rsidR="003E0F58" w:rsidRPr="007C705C" w14:paraId="50BF9F31" w14:textId="77777777" w:rsidTr="004D2249">
        <w:trPr>
          <w:trHeight w:val="2250"/>
        </w:trPr>
        <w:tc>
          <w:tcPr>
            <w:tcW w:w="771" w:type="pct"/>
            <w:vMerge w:val="restart"/>
            <w:shd w:val="clear" w:color="auto" w:fill="auto"/>
            <w:hideMark/>
          </w:tcPr>
          <w:p w14:paraId="4CCD43BD"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Nevyužívání půdoochranných technologií, které mají vliv na snižování emisí</w:t>
            </w:r>
          </w:p>
        </w:tc>
        <w:tc>
          <w:tcPr>
            <w:tcW w:w="408" w:type="pct"/>
            <w:vMerge w:val="restart"/>
            <w:shd w:val="clear" w:color="auto" w:fill="auto"/>
            <w:hideMark/>
          </w:tcPr>
          <w:p w14:paraId="79AC915C"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 xml:space="preserve">Výměna plynů mezi půdou a atmosférou je důležitým faktorem, který ovlivňuje uvolňování skleníkových plynů do ovzduší. Důležité jsou tři základní plyny - oxid uhličitý (CO2) oxid dusný (N2O) a metan (CH4). Únik CO2 do atmosféry se </w:t>
            </w:r>
            <w:r w:rsidRPr="007C705C">
              <w:rPr>
                <w:rFonts w:eastAsiaTheme="minorEastAsia" w:cs="Times New Roman"/>
                <w:color w:val="000000" w:themeColor="text1"/>
                <w:sz w:val="18"/>
                <w:szCs w:val="18"/>
                <w:lang w:val="cs-CZ"/>
              </w:rPr>
              <w:lastRenderedPageBreak/>
              <w:t xml:space="preserve">nazývá dýchání půdy. Tímto způsobem se každoročně uvolňuje do atmosféry 4-5 % ze zásob uhlíku v půdních organických hmotách.  Odhad je, že půdním dýcháním se dostává do atmosféry desetkrát větší množství co2 než spalováním fosilních paliv (Hula a kol. 2008)                                                                                                            Za posledních padesát let se v půdách mírného pásu v důsledku kultivace snížil obsah uhlíku v organických látkách o 20- 40 %. Převážná část ztrát je způsobena rozkladem, jimž se co2 </w:t>
            </w:r>
            <w:r w:rsidRPr="007C705C">
              <w:rPr>
                <w:rFonts w:eastAsiaTheme="minorEastAsia" w:cs="Times New Roman"/>
                <w:color w:val="000000" w:themeColor="text1"/>
                <w:sz w:val="18"/>
                <w:szCs w:val="18"/>
                <w:lang w:val="cs-CZ"/>
              </w:rPr>
              <w:lastRenderedPageBreak/>
              <w:t xml:space="preserve">uvolňuje do půdního vzduchu a odtud do atmosféry. Rychlost rozkladu je ovlivněna jednak zpracováním půdy a jejími vlastnostmi (Kutílek ,2001)                                                                                                                                        Zpracování půdy má poměrně výrazný vliv na ukládání uhlíku (jako humus) v půdě a jeho uvolňování (jako CO2) z půdy do atmosféry. Dokladují to výsledky velkého množství výzkumů v této oblasti.  Změny půdního prostředí, které nastávají v půdě po intenzivním zpracování půdy, vedou většinou k většímu </w:t>
            </w:r>
            <w:r w:rsidRPr="007C705C">
              <w:rPr>
                <w:rFonts w:eastAsiaTheme="minorEastAsia" w:cs="Times New Roman"/>
                <w:color w:val="000000" w:themeColor="text1"/>
                <w:sz w:val="18"/>
                <w:szCs w:val="18"/>
                <w:lang w:val="cs-CZ"/>
              </w:rPr>
              <w:lastRenderedPageBreak/>
              <w:t>uvolňování CO2. Největší ztráty CO2 do ovzduší bývají bezprostředně po orbě. Většina autorů odborné veřejnosti uvádí, že snížení hloubky a intenzity zpracování přispívá k omezení emisí CO2 do atmosféry. (Ball et al., 1999) (Scala et al., 2001)</w:t>
            </w:r>
          </w:p>
        </w:tc>
        <w:tc>
          <w:tcPr>
            <w:tcW w:w="358" w:type="pct"/>
            <w:vMerge w:val="restart"/>
            <w:shd w:val="clear" w:color="auto" w:fill="auto"/>
            <w:hideMark/>
          </w:tcPr>
          <w:p w14:paraId="6C515F3F"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lastRenderedPageBreak/>
              <w:t>2</w:t>
            </w:r>
          </w:p>
        </w:tc>
        <w:tc>
          <w:tcPr>
            <w:tcW w:w="492" w:type="pct"/>
            <w:shd w:val="clear" w:color="auto" w:fill="auto"/>
            <w:hideMark/>
          </w:tcPr>
          <w:p w14:paraId="08BFD23A"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Využívaná agrotechnika                                                                                                                                                                                                                                                                                          (orba x minimalizační techniky)</w:t>
            </w:r>
          </w:p>
        </w:tc>
        <w:tc>
          <w:tcPr>
            <w:tcW w:w="300" w:type="pct"/>
            <w:shd w:val="clear" w:color="auto" w:fill="auto"/>
            <w:hideMark/>
          </w:tcPr>
          <w:p w14:paraId="41F0A28F"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1</w:t>
            </w:r>
          </w:p>
        </w:tc>
        <w:tc>
          <w:tcPr>
            <w:tcW w:w="459" w:type="pct"/>
            <w:shd w:val="clear" w:color="auto" w:fill="auto"/>
            <w:hideMark/>
          </w:tcPr>
          <w:p w14:paraId="47991739"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Na základě malé informovanosti je stále částí  zemědělců prosazování základní kultivace orba.</w:t>
            </w:r>
          </w:p>
        </w:tc>
        <w:tc>
          <w:tcPr>
            <w:tcW w:w="455" w:type="pct"/>
            <w:shd w:val="clear" w:color="auto" w:fill="auto"/>
            <w:hideMark/>
          </w:tcPr>
          <w:p w14:paraId="571CC64A"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Podpora vzdělávání v zemědělství. Podpora nákupu vhodné zemědělské techniky (No-till, Strip-till apod.)</w:t>
            </w:r>
          </w:p>
        </w:tc>
        <w:tc>
          <w:tcPr>
            <w:tcW w:w="386" w:type="pct"/>
            <w:vMerge w:val="restart"/>
            <w:shd w:val="clear" w:color="auto" w:fill="auto"/>
            <w:hideMark/>
          </w:tcPr>
          <w:p w14:paraId="05EFE3E5"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 </w:t>
            </w:r>
          </w:p>
        </w:tc>
        <w:tc>
          <w:tcPr>
            <w:tcW w:w="537" w:type="pct"/>
            <w:vMerge w:val="restart"/>
            <w:shd w:val="clear" w:color="auto" w:fill="auto"/>
            <w:hideMark/>
          </w:tcPr>
          <w:p w14:paraId="5F0687F4"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 </w:t>
            </w:r>
          </w:p>
        </w:tc>
        <w:tc>
          <w:tcPr>
            <w:tcW w:w="473" w:type="pct"/>
            <w:vMerge w:val="restart"/>
            <w:shd w:val="clear" w:color="auto" w:fill="auto"/>
            <w:hideMark/>
          </w:tcPr>
          <w:p w14:paraId="189A8B96"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 </w:t>
            </w:r>
          </w:p>
        </w:tc>
        <w:tc>
          <w:tcPr>
            <w:tcW w:w="359" w:type="pct"/>
            <w:vMerge w:val="restart"/>
            <w:shd w:val="clear" w:color="auto" w:fill="auto"/>
            <w:hideMark/>
          </w:tcPr>
          <w:p w14:paraId="7BE9BB33"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 </w:t>
            </w:r>
          </w:p>
        </w:tc>
      </w:tr>
      <w:tr w:rsidR="003E0F58" w:rsidRPr="007C705C" w14:paraId="2B56F4D2" w14:textId="77777777" w:rsidTr="004D2249">
        <w:trPr>
          <w:trHeight w:val="2250"/>
        </w:trPr>
        <w:tc>
          <w:tcPr>
            <w:tcW w:w="771" w:type="pct"/>
            <w:vMerge/>
            <w:vAlign w:val="center"/>
            <w:hideMark/>
          </w:tcPr>
          <w:p w14:paraId="624B0AD1" w14:textId="77777777" w:rsidR="003E0F58" w:rsidRPr="007C705C" w:rsidRDefault="003E0F58" w:rsidP="004D2249">
            <w:pPr>
              <w:jc w:val="left"/>
              <w:rPr>
                <w:rFonts w:cs="Times New Roman"/>
                <w:color w:val="000000"/>
                <w:sz w:val="18"/>
                <w:lang w:val="cs-CZ"/>
              </w:rPr>
            </w:pPr>
          </w:p>
        </w:tc>
        <w:tc>
          <w:tcPr>
            <w:tcW w:w="408" w:type="pct"/>
            <w:vMerge/>
            <w:vAlign w:val="center"/>
            <w:hideMark/>
          </w:tcPr>
          <w:p w14:paraId="73EAE2F7" w14:textId="77777777" w:rsidR="003E0F58" w:rsidRPr="007C705C" w:rsidRDefault="003E0F58" w:rsidP="004D2249">
            <w:pPr>
              <w:jc w:val="left"/>
              <w:rPr>
                <w:rFonts w:cs="Times New Roman"/>
                <w:color w:val="000000"/>
                <w:sz w:val="18"/>
                <w:lang w:val="cs-CZ"/>
              </w:rPr>
            </w:pPr>
          </w:p>
        </w:tc>
        <w:tc>
          <w:tcPr>
            <w:tcW w:w="358" w:type="pct"/>
            <w:vMerge/>
            <w:vAlign w:val="center"/>
            <w:hideMark/>
          </w:tcPr>
          <w:p w14:paraId="15122547" w14:textId="77777777" w:rsidR="003E0F58" w:rsidRPr="007C705C" w:rsidRDefault="003E0F58" w:rsidP="004D2249">
            <w:pPr>
              <w:jc w:val="left"/>
              <w:rPr>
                <w:rFonts w:cs="Times New Roman"/>
                <w:color w:val="000000"/>
                <w:sz w:val="18"/>
                <w:lang w:val="cs-CZ"/>
              </w:rPr>
            </w:pPr>
          </w:p>
        </w:tc>
        <w:tc>
          <w:tcPr>
            <w:tcW w:w="492" w:type="pct"/>
            <w:shd w:val="clear" w:color="auto" w:fill="auto"/>
            <w:hideMark/>
          </w:tcPr>
          <w:p w14:paraId="742CDEE5"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Hloubka kultivace</w:t>
            </w:r>
          </w:p>
        </w:tc>
        <w:tc>
          <w:tcPr>
            <w:tcW w:w="300" w:type="pct"/>
            <w:shd w:val="clear" w:color="auto" w:fill="auto"/>
            <w:hideMark/>
          </w:tcPr>
          <w:p w14:paraId="786FE9AE"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2</w:t>
            </w:r>
          </w:p>
        </w:tc>
        <w:tc>
          <w:tcPr>
            <w:tcW w:w="459" w:type="pct"/>
            <w:shd w:val="clear" w:color="auto" w:fill="auto"/>
            <w:hideMark/>
          </w:tcPr>
          <w:p w14:paraId="7864A707"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Využití faktoru hloubky zpracování půdy je dvojsečné, kdy na jednu stranu je posílena infiltrace vody do půdy a na druhou se uvolňuje větší množství CO2.</w:t>
            </w:r>
          </w:p>
        </w:tc>
        <w:tc>
          <w:tcPr>
            <w:tcW w:w="455" w:type="pct"/>
            <w:shd w:val="clear" w:color="auto" w:fill="auto"/>
            <w:hideMark/>
          </w:tcPr>
          <w:p w14:paraId="4868AA42"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Podpora nákupu vhodné zemědělské techniky.</w:t>
            </w:r>
          </w:p>
        </w:tc>
        <w:tc>
          <w:tcPr>
            <w:tcW w:w="386" w:type="pct"/>
            <w:vMerge/>
            <w:vAlign w:val="center"/>
            <w:hideMark/>
          </w:tcPr>
          <w:p w14:paraId="72588369" w14:textId="77777777" w:rsidR="003E0F58" w:rsidRPr="007C705C" w:rsidRDefault="003E0F58" w:rsidP="004D2249">
            <w:pPr>
              <w:jc w:val="left"/>
              <w:rPr>
                <w:rFonts w:cs="Times New Roman"/>
                <w:color w:val="000000"/>
                <w:sz w:val="18"/>
                <w:lang w:val="cs-CZ"/>
              </w:rPr>
            </w:pPr>
          </w:p>
        </w:tc>
        <w:tc>
          <w:tcPr>
            <w:tcW w:w="537" w:type="pct"/>
            <w:vMerge/>
            <w:vAlign w:val="center"/>
            <w:hideMark/>
          </w:tcPr>
          <w:p w14:paraId="48B64064" w14:textId="77777777" w:rsidR="003E0F58" w:rsidRPr="007C705C" w:rsidRDefault="003E0F58" w:rsidP="004D2249">
            <w:pPr>
              <w:jc w:val="left"/>
              <w:rPr>
                <w:rFonts w:cs="Times New Roman"/>
                <w:color w:val="000000"/>
                <w:sz w:val="18"/>
                <w:lang w:val="cs-CZ"/>
              </w:rPr>
            </w:pPr>
          </w:p>
        </w:tc>
        <w:tc>
          <w:tcPr>
            <w:tcW w:w="473" w:type="pct"/>
            <w:vMerge/>
            <w:vAlign w:val="center"/>
            <w:hideMark/>
          </w:tcPr>
          <w:p w14:paraId="12D10FE0" w14:textId="77777777" w:rsidR="003E0F58" w:rsidRPr="007C705C" w:rsidRDefault="003E0F58" w:rsidP="004D2249">
            <w:pPr>
              <w:jc w:val="left"/>
              <w:rPr>
                <w:rFonts w:cs="Times New Roman"/>
                <w:color w:val="000000"/>
                <w:sz w:val="18"/>
                <w:lang w:val="cs-CZ"/>
              </w:rPr>
            </w:pPr>
          </w:p>
        </w:tc>
        <w:tc>
          <w:tcPr>
            <w:tcW w:w="359" w:type="pct"/>
            <w:vMerge/>
            <w:vAlign w:val="center"/>
            <w:hideMark/>
          </w:tcPr>
          <w:p w14:paraId="795ACC27" w14:textId="77777777" w:rsidR="003E0F58" w:rsidRPr="007C705C" w:rsidRDefault="003E0F58" w:rsidP="004D2249">
            <w:pPr>
              <w:jc w:val="left"/>
              <w:rPr>
                <w:rFonts w:cs="Times New Roman"/>
                <w:color w:val="000000"/>
                <w:sz w:val="18"/>
                <w:lang w:val="cs-CZ"/>
              </w:rPr>
            </w:pPr>
          </w:p>
        </w:tc>
      </w:tr>
      <w:tr w:rsidR="003E0F58" w:rsidRPr="007C705C" w14:paraId="5B0AF14B" w14:textId="77777777" w:rsidTr="004D2249">
        <w:trPr>
          <w:trHeight w:val="2250"/>
        </w:trPr>
        <w:tc>
          <w:tcPr>
            <w:tcW w:w="771" w:type="pct"/>
            <w:vMerge/>
            <w:vAlign w:val="center"/>
            <w:hideMark/>
          </w:tcPr>
          <w:p w14:paraId="41FAF17C" w14:textId="77777777" w:rsidR="003E0F58" w:rsidRPr="007C705C" w:rsidRDefault="003E0F58" w:rsidP="004D2249">
            <w:pPr>
              <w:jc w:val="left"/>
              <w:rPr>
                <w:rFonts w:cs="Times New Roman"/>
                <w:color w:val="000000"/>
                <w:sz w:val="18"/>
                <w:lang w:val="cs-CZ"/>
              </w:rPr>
            </w:pPr>
          </w:p>
        </w:tc>
        <w:tc>
          <w:tcPr>
            <w:tcW w:w="408" w:type="pct"/>
            <w:vMerge/>
            <w:vAlign w:val="center"/>
            <w:hideMark/>
          </w:tcPr>
          <w:p w14:paraId="530EE9AD" w14:textId="77777777" w:rsidR="003E0F58" w:rsidRPr="007C705C" w:rsidRDefault="003E0F58" w:rsidP="004D2249">
            <w:pPr>
              <w:jc w:val="left"/>
              <w:rPr>
                <w:rFonts w:cs="Times New Roman"/>
                <w:color w:val="000000"/>
                <w:sz w:val="18"/>
                <w:lang w:val="cs-CZ"/>
              </w:rPr>
            </w:pPr>
          </w:p>
        </w:tc>
        <w:tc>
          <w:tcPr>
            <w:tcW w:w="358" w:type="pct"/>
            <w:vMerge/>
            <w:vAlign w:val="center"/>
            <w:hideMark/>
          </w:tcPr>
          <w:p w14:paraId="7E27848F" w14:textId="77777777" w:rsidR="003E0F58" w:rsidRPr="007C705C" w:rsidRDefault="003E0F58" w:rsidP="004D2249">
            <w:pPr>
              <w:jc w:val="left"/>
              <w:rPr>
                <w:rFonts w:cs="Times New Roman"/>
                <w:color w:val="000000"/>
                <w:sz w:val="18"/>
                <w:lang w:val="cs-CZ"/>
              </w:rPr>
            </w:pPr>
          </w:p>
        </w:tc>
        <w:tc>
          <w:tcPr>
            <w:tcW w:w="492" w:type="pct"/>
            <w:shd w:val="clear" w:color="auto" w:fill="auto"/>
            <w:hideMark/>
          </w:tcPr>
          <w:p w14:paraId="4D1565AC"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Intenzita difúzního procesu přechod CO2 půda - vzduch (závisí na pórovitosti, vlhkosti půdy, gradientu koncentrace CO2 a teplotě)</w:t>
            </w:r>
          </w:p>
        </w:tc>
        <w:tc>
          <w:tcPr>
            <w:tcW w:w="300" w:type="pct"/>
            <w:shd w:val="clear" w:color="auto" w:fill="auto"/>
            <w:hideMark/>
          </w:tcPr>
          <w:p w14:paraId="48EA5DE9"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3</w:t>
            </w:r>
          </w:p>
        </w:tc>
        <w:tc>
          <w:tcPr>
            <w:tcW w:w="459" w:type="pct"/>
            <w:shd w:val="clear" w:color="auto" w:fill="auto"/>
            <w:hideMark/>
          </w:tcPr>
          <w:p w14:paraId="62219918"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Tento faktor je ovlivnitelný v omezené míře a zpravidla souvisí s uplatněním meziplodin a org. Hnojením</w:t>
            </w:r>
          </w:p>
        </w:tc>
        <w:tc>
          <w:tcPr>
            <w:tcW w:w="455" w:type="pct"/>
            <w:shd w:val="clear" w:color="auto" w:fill="auto"/>
            <w:hideMark/>
          </w:tcPr>
          <w:p w14:paraId="3DFB2BAC"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Zohlednit zařazováním meziplodin a aplikací org. hmoty, který povede k lepšímu strukturnímu stavu půdy</w:t>
            </w:r>
          </w:p>
        </w:tc>
        <w:tc>
          <w:tcPr>
            <w:tcW w:w="386" w:type="pct"/>
            <w:vMerge/>
            <w:vAlign w:val="center"/>
            <w:hideMark/>
          </w:tcPr>
          <w:p w14:paraId="67C74C49" w14:textId="77777777" w:rsidR="003E0F58" w:rsidRPr="007C705C" w:rsidRDefault="003E0F58" w:rsidP="004D2249">
            <w:pPr>
              <w:jc w:val="left"/>
              <w:rPr>
                <w:rFonts w:cs="Times New Roman"/>
                <w:color w:val="000000"/>
                <w:sz w:val="18"/>
                <w:lang w:val="cs-CZ"/>
              </w:rPr>
            </w:pPr>
          </w:p>
        </w:tc>
        <w:tc>
          <w:tcPr>
            <w:tcW w:w="537" w:type="pct"/>
            <w:vMerge/>
            <w:vAlign w:val="center"/>
            <w:hideMark/>
          </w:tcPr>
          <w:p w14:paraId="63C66E73" w14:textId="77777777" w:rsidR="003E0F58" w:rsidRPr="007C705C" w:rsidRDefault="003E0F58" w:rsidP="004D2249">
            <w:pPr>
              <w:jc w:val="left"/>
              <w:rPr>
                <w:rFonts w:cs="Times New Roman"/>
                <w:color w:val="000000"/>
                <w:sz w:val="18"/>
                <w:lang w:val="cs-CZ"/>
              </w:rPr>
            </w:pPr>
          </w:p>
        </w:tc>
        <w:tc>
          <w:tcPr>
            <w:tcW w:w="473" w:type="pct"/>
            <w:vMerge/>
            <w:vAlign w:val="center"/>
            <w:hideMark/>
          </w:tcPr>
          <w:p w14:paraId="4E881B20" w14:textId="77777777" w:rsidR="003E0F58" w:rsidRPr="007C705C" w:rsidRDefault="003E0F58" w:rsidP="004D2249">
            <w:pPr>
              <w:jc w:val="left"/>
              <w:rPr>
                <w:rFonts w:cs="Times New Roman"/>
                <w:color w:val="000000"/>
                <w:sz w:val="18"/>
                <w:lang w:val="cs-CZ"/>
              </w:rPr>
            </w:pPr>
          </w:p>
        </w:tc>
        <w:tc>
          <w:tcPr>
            <w:tcW w:w="359" w:type="pct"/>
            <w:vMerge/>
            <w:vAlign w:val="center"/>
            <w:hideMark/>
          </w:tcPr>
          <w:p w14:paraId="5685834C" w14:textId="77777777" w:rsidR="003E0F58" w:rsidRPr="007C705C" w:rsidRDefault="003E0F58" w:rsidP="004D2249">
            <w:pPr>
              <w:jc w:val="left"/>
              <w:rPr>
                <w:rFonts w:cs="Times New Roman"/>
                <w:color w:val="000000"/>
                <w:sz w:val="18"/>
                <w:lang w:val="cs-CZ"/>
              </w:rPr>
            </w:pPr>
          </w:p>
        </w:tc>
      </w:tr>
      <w:tr w:rsidR="003E0F58" w:rsidRPr="007C705C" w14:paraId="26FF88A8" w14:textId="77777777" w:rsidTr="004D2249">
        <w:trPr>
          <w:trHeight w:val="2250"/>
        </w:trPr>
        <w:tc>
          <w:tcPr>
            <w:tcW w:w="771" w:type="pct"/>
            <w:vMerge/>
            <w:vAlign w:val="center"/>
            <w:hideMark/>
          </w:tcPr>
          <w:p w14:paraId="4DD7BFA9" w14:textId="77777777" w:rsidR="003E0F58" w:rsidRPr="007C705C" w:rsidRDefault="003E0F58" w:rsidP="004D2249">
            <w:pPr>
              <w:jc w:val="left"/>
              <w:rPr>
                <w:rFonts w:cs="Times New Roman"/>
                <w:color w:val="000000"/>
                <w:sz w:val="18"/>
                <w:lang w:val="cs-CZ"/>
              </w:rPr>
            </w:pPr>
          </w:p>
        </w:tc>
        <w:tc>
          <w:tcPr>
            <w:tcW w:w="408" w:type="pct"/>
            <w:vMerge/>
            <w:vAlign w:val="center"/>
            <w:hideMark/>
          </w:tcPr>
          <w:p w14:paraId="68E08212" w14:textId="77777777" w:rsidR="003E0F58" w:rsidRPr="007C705C" w:rsidRDefault="003E0F58" w:rsidP="004D2249">
            <w:pPr>
              <w:jc w:val="left"/>
              <w:rPr>
                <w:rFonts w:cs="Times New Roman"/>
                <w:color w:val="000000"/>
                <w:sz w:val="18"/>
                <w:lang w:val="cs-CZ"/>
              </w:rPr>
            </w:pPr>
          </w:p>
        </w:tc>
        <w:tc>
          <w:tcPr>
            <w:tcW w:w="358" w:type="pct"/>
            <w:vMerge/>
            <w:vAlign w:val="center"/>
            <w:hideMark/>
          </w:tcPr>
          <w:p w14:paraId="07EAD7EA" w14:textId="77777777" w:rsidR="003E0F58" w:rsidRPr="007C705C" w:rsidRDefault="003E0F58" w:rsidP="004D2249">
            <w:pPr>
              <w:jc w:val="left"/>
              <w:rPr>
                <w:rFonts w:cs="Times New Roman"/>
                <w:color w:val="000000"/>
                <w:sz w:val="18"/>
                <w:lang w:val="cs-CZ"/>
              </w:rPr>
            </w:pPr>
          </w:p>
        </w:tc>
        <w:tc>
          <w:tcPr>
            <w:tcW w:w="492" w:type="pct"/>
            <w:shd w:val="clear" w:color="auto" w:fill="auto"/>
            <w:hideMark/>
          </w:tcPr>
          <w:p w14:paraId="5769EAA6"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Nevhodný nebo nedostatečný (chybějící) vegetační pokryv v průběhu roku</w:t>
            </w:r>
          </w:p>
        </w:tc>
        <w:tc>
          <w:tcPr>
            <w:tcW w:w="300" w:type="pct"/>
            <w:shd w:val="clear" w:color="auto" w:fill="auto"/>
            <w:hideMark/>
          </w:tcPr>
          <w:p w14:paraId="155BB674"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2</w:t>
            </w:r>
          </w:p>
        </w:tc>
        <w:tc>
          <w:tcPr>
            <w:tcW w:w="459" w:type="pct"/>
            <w:shd w:val="clear" w:color="auto" w:fill="auto"/>
            <w:hideMark/>
          </w:tcPr>
          <w:p w14:paraId="7A7332F0"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Nezbytnost úpravy osevního postupu, obava z odběru půdní vláhy a živin.</w:t>
            </w:r>
          </w:p>
        </w:tc>
        <w:tc>
          <w:tcPr>
            <w:tcW w:w="455" w:type="pct"/>
            <w:shd w:val="clear" w:color="auto" w:fill="auto"/>
            <w:hideMark/>
          </w:tcPr>
          <w:p w14:paraId="3076273C"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Podpora zařazování plodin do osevního postupu a částečná finanční kompenzace</w:t>
            </w:r>
          </w:p>
        </w:tc>
        <w:tc>
          <w:tcPr>
            <w:tcW w:w="386" w:type="pct"/>
            <w:vMerge/>
            <w:vAlign w:val="center"/>
            <w:hideMark/>
          </w:tcPr>
          <w:p w14:paraId="3FCC00FD" w14:textId="77777777" w:rsidR="003E0F58" w:rsidRPr="007C705C" w:rsidRDefault="003E0F58" w:rsidP="004D2249">
            <w:pPr>
              <w:jc w:val="left"/>
              <w:rPr>
                <w:rFonts w:cs="Times New Roman"/>
                <w:color w:val="000000"/>
                <w:sz w:val="18"/>
                <w:lang w:val="cs-CZ"/>
              </w:rPr>
            </w:pPr>
          </w:p>
        </w:tc>
        <w:tc>
          <w:tcPr>
            <w:tcW w:w="537" w:type="pct"/>
            <w:vMerge/>
            <w:vAlign w:val="center"/>
            <w:hideMark/>
          </w:tcPr>
          <w:p w14:paraId="104EBBBC" w14:textId="77777777" w:rsidR="003E0F58" w:rsidRPr="007C705C" w:rsidRDefault="003E0F58" w:rsidP="004D2249">
            <w:pPr>
              <w:jc w:val="left"/>
              <w:rPr>
                <w:rFonts w:cs="Times New Roman"/>
                <w:color w:val="000000"/>
                <w:sz w:val="18"/>
                <w:lang w:val="cs-CZ"/>
              </w:rPr>
            </w:pPr>
          </w:p>
        </w:tc>
        <w:tc>
          <w:tcPr>
            <w:tcW w:w="473" w:type="pct"/>
            <w:vMerge/>
            <w:vAlign w:val="center"/>
            <w:hideMark/>
          </w:tcPr>
          <w:p w14:paraId="3784DC43" w14:textId="77777777" w:rsidR="003E0F58" w:rsidRPr="007C705C" w:rsidRDefault="003E0F58" w:rsidP="004D2249">
            <w:pPr>
              <w:jc w:val="left"/>
              <w:rPr>
                <w:rFonts w:cs="Times New Roman"/>
                <w:color w:val="000000"/>
                <w:sz w:val="18"/>
                <w:lang w:val="cs-CZ"/>
              </w:rPr>
            </w:pPr>
          </w:p>
        </w:tc>
        <w:tc>
          <w:tcPr>
            <w:tcW w:w="359" w:type="pct"/>
            <w:vMerge/>
            <w:vAlign w:val="center"/>
            <w:hideMark/>
          </w:tcPr>
          <w:p w14:paraId="7F02BC52" w14:textId="77777777" w:rsidR="003E0F58" w:rsidRPr="007C705C" w:rsidRDefault="003E0F58" w:rsidP="004D2249">
            <w:pPr>
              <w:jc w:val="left"/>
              <w:rPr>
                <w:rFonts w:cs="Times New Roman"/>
                <w:color w:val="000000"/>
                <w:sz w:val="18"/>
                <w:lang w:val="cs-CZ"/>
              </w:rPr>
            </w:pPr>
          </w:p>
        </w:tc>
      </w:tr>
      <w:tr w:rsidR="003E0F58" w:rsidRPr="007C705C" w14:paraId="377B023A" w14:textId="77777777" w:rsidTr="004D2249">
        <w:trPr>
          <w:trHeight w:val="2730"/>
        </w:trPr>
        <w:tc>
          <w:tcPr>
            <w:tcW w:w="771" w:type="pct"/>
            <w:vMerge w:val="restart"/>
            <w:shd w:val="clear" w:color="auto" w:fill="auto"/>
            <w:hideMark/>
          </w:tcPr>
          <w:p w14:paraId="342A5A0B"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lastRenderedPageBreak/>
              <w:t>Nevyužívání změn managementu na půdě - Zalesňování a zatravňování ZPF</w:t>
            </w:r>
          </w:p>
        </w:tc>
        <w:tc>
          <w:tcPr>
            <w:tcW w:w="408" w:type="pct"/>
            <w:vMerge w:val="restart"/>
            <w:shd w:val="clear" w:color="auto" w:fill="auto"/>
            <w:hideMark/>
          </w:tcPr>
          <w:p w14:paraId="57CD16A3"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 xml:space="preserve">Převod zemědělské půdy na lesní je zásah do krajiny, ke kterému je nutno přistupovat velmi citlivě, neboť jde o ekologicky významnou, odpovědnou, zavazující a zároveň nákladnou činnost. Nelze přitom </w:t>
            </w:r>
            <w:r w:rsidRPr="007C705C">
              <w:rPr>
                <w:rFonts w:eastAsiaTheme="minorEastAsia" w:cs="Times New Roman"/>
                <w:color w:val="000000" w:themeColor="text1"/>
                <w:sz w:val="18"/>
                <w:szCs w:val="18"/>
                <w:lang w:val="cs-CZ"/>
              </w:rPr>
              <w:lastRenderedPageBreak/>
              <w:t xml:space="preserve">opomenout především to, že zalesnění zemědělského pozemku změní jeho charakter, mění se tvář krajiny. Jedná se o dlouhodobý proces a případné vrácení lesního porostu zpět pro účely zemědělství je zejména legislativně, ale i technicky velmi složité a nákladné Mitigační účinky - Zalesňování patří mezi hlavní strategie pro vázání uhlíku a tedy pro snižování emisí skleníkových plynů. Adaptační </w:t>
            </w:r>
            <w:r w:rsidRPr="007C705C">
              <w:rPr>
                <w:rFonts w:eastAsiaTheme="minorEastAsia" w:cs="Times New Roman"/>
                <w:color w:val="000000" w:themeColor="text1"/>
                <w:sz w:val="18"/>
                <w:szCs w:val="18"/>
                <w:lang w:val="cs-CZ"/>
              </w:rPr>
              <w:lastRenderedPageBreak/>
              <w:t>účinky - účelné zatravnění údolnic, drah povrchového odtoku, strmých svahů, ochranné zatravnění popř. zalesnění v blízkosti intravilánu mají nejen ochranou funkci, ale výraznou měrou přispívají k adaptaci na změny klimatu.</w:t>
            </w:r>
          </w:p>
        </w:tc>
        <w:tc>
          <w:tcPr>
            <w:tcW w:w="358" w:type="pct"/>
            <w:vMerge w:val="restart"/>
            <w:shd w:val="clear" w:color="auto" w:fill="auto"/>
            <w:hideMark/>
          </w:tcPr>
          <w:p w14:paraId="71EA3F5B"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lastRenderedPageBreak/>
              <w:t>2</w:t>
            </w:r>
          </w:p>
        </w:tc>
        <w:tc>
          <w:tcPr>
            <w:tcW w:w="492" w:type="pct"/>
            <w:shd w:val="clear" w:color="auto" w:fill="auto"/>
            <w:hideMark/>
          </w:tcPr>
          <w:p w14:paraId="428D8596"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dotační titul na zalesnění oslovuje nízké procento žadatelů (zalesnění pozemku je zatíženo platbou odvodu ze ZPF, zemědělský subjekt často není vlastníkem půdy, nemá potřebnou kvalifikaci v péči o lesní porosty)</w:t>
            </w:r>
          </w:p>
        </w:tc>
        <w:tc>
          <w:tcPr>
            <w:tcW w:w="300" w:type="pct"/>
            <w:shd w:val="clear" w:color="auto" w:fill="auto"/>
            <w:hideMark/>
          </w:tcPr>
          <w:p w14:paraId="4A4AAB53"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3</w:t>
            </w:r>
          </w:p>
        </w:tc>
        <w:tc>
          <w:tcPr>
            <w:tcW w:w="459" w:type="pct"/>
            <w:shd w:val="clear" w:color="auto" w:fill="auto"/>
            <w:hideMark/>
          </w:tcPr>
          <w:p w14:paraId="2D9B7535"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 xml:space="preserve">1) převod zemědělské půdy na lesní je vysoce časově, fyzicky a finančně náročný proces, 2) podpora zalesnění naráží na povinnost zaplatit odvody ze ZPF (pro III. třídu ochrany), 3) pro hospodařící subjekt je </w:t>
            </w:r>
            <w:r w:rsidRPr="007C705C">
              <w:rPr>
                <w:rFonts w:eastAsiaTheme="minorEastAsia" w:cs="Times New Roman"/>
                <w:color w:val="000000" w:themeColor="text1"/>
                <w:sz w:val="18"/>
                <w:szCs w:val="18"/>
                <w:lang w:val="cs-CZ"/>
              </w:rPr>
              <w:lastRenderedPageBreak/>
              <w:t>problematický převod pozemků do PUPFL (změna charakteru činnosti, funkce lesního hospodáře), 4) hospodařící subjekt není vlastníkem pozemku</w:t>
            </w:r>
          </w:p>
        </w:tc>
        <w:tc>
          <w:tcPr>
            <w:tcW w:w="455" w:type="pct"/>
            <w:shd w:val="clear" w:color="auto" w:fill="auto"/>
            <w:hideMark/>
          </w:tcPr>
          <w:p w14:paraId="3FEC34DE"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lastRenderedPageBreak/>
              <w:t>Motivovat vlastníky půdy - zejména v oblastech, které byli vytyčeny jako prioritní k zalesnění  k úpravě,  pachtovních smluv a převodu svých pozemků do PUPFL (hodnotit mitigační potenciál lesa)</w:t>
            </w:r>
          </w:p>
        </w:tc>
        <w:tc>
          <w:tcPr>
            <w:tcW w:w="386" w:type="pct"/>
            <w:vMerge w:val="restart"/>
            <w:shd w:val="clear" w:color="auto" w:fill="auto"/>
            <w:hideMark/>
          </w:tcPr>
          <w:p w14:paraId="63B4EE7B"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 xml:space="preserve">• Legislativně zajištěna ochrana přístupnosti krajiny - zákony o ochraně přírody a krajiny </w:t>
            </w:r>
            <w:r w:rsidRPr="007C705C">
              <w:rPr>
                <w:rFonts w:cs="Times New Roman"/>
                <w:lang w:val="cs-CZ"/>
              </w:rPr>
              <w:br/>
            </w:r>
            <w:r w:rsidRPr="007C705C">
              <w:rPr>
                <w:rFonts w:eastAsiaTheme="minorEastAsia" w:cs="Times New Roman"/>
                <w:color w:val="000000" w:themeColor="text1"/>
                <w:sz w:val="18"/>
                <w:szCs w:val="18"/>
                <w:lang w:val="cs-CZ"/>
              </w:rPr>
              <w:t>• Legislativní zajištění provádění pozemkových úprav a dlouholeté zkušenosti</w:t>
            </w:r>
            <w:r w:rsidRPr="007C705C">
              <w:rPr>
                <w:rFonts w:cs="Times New Roman"/>
                <w:lang w:val="cs-CZ"/>
              </w:rPr>
              <w:br/>
            </w:r>
            <w:r w:rsidRPr="007C705C">
              <w:rPr>
                <w:rFonts w:eastAsiaTheme="minorEastAsia" w:cs="Times New Roman"/>
                <w:color w:val="000000" w:themeColor="text1"/>
                <w:sz w:val="18"/>
                <w:szCs w:val="18"/>
                <w:lang w:val="cs-CZ"/>
              </w:rPr>
              <w:lastRenderedPageBreak/>
              <w:t>• Existence politiky na ochranu půd (KPÚ, AEO)</w:t>
            </w:r>
            <w:r w:rsidRPr="007C705C">
              <w:rPr>
                <w:rFonts w:cs="Times New Roman"/>
                <w:lang w:val="cs-CZ"/>
              </w:rPr>
              <w:br/>
            </w:r>
            <w:r w:rsidRPr="007C705C">
              <w:rPr>
                <w:rFonts w:eastAsiaTheme="minorEastAsia" w:cs="Times New Roman"/>
                <w:color w:val="000000" w:themeColor="text1"/>
                <w:sz w:val="18"/>
                <w:szCs w:val="18"/>
                <w:lang w:val="cs-CZ"/>
              </w:rPr>
              <w:t>• Vysoký adaptační a mitigační potenciál zatravnění či zalesnění ZPF</w:t>
            </w:r>
            <w:r w:rsidRPr="007C705C">
              <w:rPr>
                <w:rFonts w:cs="Times New Roman"/>
                <w:lang w:val="cs-CZ"/>
              </w:rPr>
              <w:br/>
            </w:r>
            <w:r w:rsidRPr="007C705C">
              <w:rPr>
                <w:rFonts w:eastAsiaTheme="minorEastAsia" w:cs="Times New Roman"/>
                <w:color w:val="000000" w:themeColor="text1"/>
                <w:sz w:val="18"/>
                <w:szCs w:val="18"/>
                <w:lang w:val="cs-CZ"/>
              </w:rPr>
              <w:t>• Dlouhodobá zkušenost a kladné přijímání opatření adaptačních opatření veřejností</w:t>
            </w:r>
            <w:r w:rsidRPr="007C705C">
              <w:rPr>
                <w:rFonts w:cs="Times New Roman"/>
                <w:lang w:val="cs-CZ"/>
              </w:rPr>
              <w:br/>
            </w:r>
            <w:r w:rsidRPr="007C705C">
              <w:rPr>
                <w:rFonts w:eastAsiaTheme="minorEastAsia" w:cs="Times New Roman"/>
                <w:color w:val="000000" w:themeColor="text1"/>
                <w:sz w:val="18"/>
                <w:szCs w:val="18"/>
                <w:lang w:val="cs-CZ"/>
              </w:rPr>
              <w:t>• Dobrá znalost a zkušenosti s aplikací protierozních opatření úzká provázanost s adaptačním opatřením</w:t>
            </w:r>
            <w:r w:rsidRPr="007C705C">
              <w:rPr>
                <w:rFonts w:cs="Times New Roman"/>
                <w:lang w:val="cs-CZ"/>
              </w:rPr>
              <w:br/>
            </w:r>
            <w:r w:rsidRPr="007C705C">
              <w:rPr>
                <w:rFonts w:eastAsiaTheme="minorEastAsia" w:cs="Times New Roman"/>
                <w:color w:val="000000" w:themeColor="text1"/>
                <w:sz w:val="18"/>
                <w:szCs w:val="18"/>
                <w:lang w:val="cs-CZ"/>
              </w:rPr>
              <w:t>• Existence politiky snižování ekologických zátěží</w:t>
            </w:r>
            <w:r w:rsidRPr="007C705C">
              <w:rPr>
                <w:rFonts w:cs="Times New Roman"/>
                <w:lang w:val="cs-CZ"/>
              </w:rPr>
              <w:br/>
            </w:r>
            <w:r w:rsidRPr="007C705C">
              <w:rPr>
                <w:rFonts w:eastAsiaTheme="minorEastAsia" w:cs="Times New Roman"/>
                <w:color w:val="000000" w:themeColor="text1"/>
                <w:sz w:val="18"/>
                <w:szCs w:val="18"/>
                <w:lang w:val="cs-CZ"/>
              </w:rPr>
              <w:t xml:space="preserve">• Existence trhu s biomasou </w:t>
            </w:r>
            <w:r w:rsidRPr="007C705C">
              <w:rPr>
                <w:rFonts w:cs="Times New Roman"/>
                <w:lang w:val="cs-CZ"/>
              </w:rPr>
              <w:br/>
            </w:r>
            <w:r w:rsidRPr="007C705C">
              <w:rPr>
                <w:rFonts w:eastAsiaTheme="minorEastAsia" w:cs="Times New Roman"/>
                <w:color w:val="000000" w:themeColor="text1"/>
                <w:sz w:val="18"/>
                <w:szCs w:val="18"/>
                <w:lang w:val="cs-CZ"/>
              </w:rPr>
              <w:t>• Lesnicko-</w:t>
            </w:r>
            <w:r w:rsidRPr="007C705C">
              <w:rPr>
                <w:rFonts w:eastAsiaTheme="minorEastAsia" w:cs="Times New Roman"/>
                <w:color w:val="000000" w:themeColor="text1"/>
                <w:sz w:val="18"/>
                <w:szCs w:val="18"/>
                <w:lang w:val="cs-CZ"/>
              </w:rPr>
              <w:lastRenderedPageBreak/>
              <w:t>hospodářské plánování</w:t>
            </w:r>
          </w:p>
        </w:tc>
        <w:tc>
          <w:tcPr>
            <w:tcW w:w="537" w:type="pct"/>
            <w:vMerge w:val="restart"/>
            <w:shd w:val="clear" w:color="auto" w:fill="auto"/>
            <w:hideMark/>
          </w:tcPr>
          <w:p w14:paraId="2F2DC99D" w14:textId="77777777" w:rsidR="003E0F58" w:rsidRPr="007C705C" w:rsidRDefault="003E0F58" w:rsidP="004D2249">
            <w:pPr>
              <w:spacing w:after="240"/>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lastRenderedPageBreak/>
              <w:t>• Zalesnění je administrativně i finančně velmi náročný a téměř nevratný proces</w:t>
            </w:r>
            <w:r w:rsidRPr="007C705C">
              <w:rPr>
                <w:rFonts w:cs="Times New Roman"/>
                <w:lang w:val="cs-CZ"/>
              </w:rPr>
              <w:br/>
            </w:r>
            <w:r w:rsidRPr="007C705C">
              <w:rPr>
                <w:rFonts w:eastAsiaTheme="minorEastAsia" w:cs="Times New Roman"/>
                <w:color w:val="000000" w:themeColor="text1"/>
                <w:sz w:val="18"/>
                <w:szCs w:val="18"/>
                <w:lang w:val="cs-CZ"/>
              </w:rPr>
              <w:t xml:space="preserve">• Malý počet realizovaných pozemkových úprav </w:t>
            </w:r>
            <w:r w:rsidRPr="007C705C">
              <w:rPr>
                <w:rFonts w:cs="Times New Roman"/>
                <w:lang w:val="cs-CZ"/>
              </w:rPr>
              <w:br/>
            </w:r>
            <w:r w:rsidRPr="007C705C">
              <w:rPr>
                <w:rFonts w:eastAsiaTheme="minorEastAsia" w:cs="Times New Roman"/>
                <w:color w:val="000000" w:themeColor="text1"/>
                <w:sz w:val="18"/>
                <w:szCs w:val="18"/>
                <w:lang w:val="cs-CZ"/>
              </w:rPr>
              <w:t xml:space="preserve">• Velký podíl ploch ohrožených půdní erozí </w:t>
            </w:r>
            <w:r w:rsidRPr="007C705C">
              <w:rPr>
                <w:rFonts w:cs="Times New Roman"/>
                <w:lang w:val="cs-CZ"/>
              </w:rPr>
              <w:br/>
            </w:r>
            <w:r w:rsidRPr="007C705C">
              <w:rPr>
                <w:rFonts w:eastAsiaTheme="minorEastAsia" w:cs="Times New Roman"/>
                <w:color w:val="000000" w:themeColor="text1"/>
                <w:sz w:val="18"/>
                <w:szCs w:val="18"/>
                <w:lang w:val="cs-CZ"/>
              </w:rPr>
              <w:t>• Vlastnické vztahy</w:t>
            </w:r>
            <w:r w:rsidRPr="007C705C">
              <w:rPr>
                <w:rFonts w:cs="Times New Roman"/>
                <w:lang w:val="cs-CZ"/>
              </w:rPr>
              <w:br/>
            </w:r>
            <w:r w:rsidRPr="007C705C">
              <w:rPr>
                <w:rFonts w:eastAsiaTheme="minorEastAsia" w:cs="Times New Roman"/>
                <w:color w:val="000000" w:themeColor="text1"/>
                <w:sz w:val="18"/>
                <w:szCs w:val="18"/>
                <w:lang w:val="cs-CZ"/>
              </w:rPr>
              <w:t>• Intenzifikace zemědělské výroby vysoký tlak na půdu</w:t>
            </w:r>
            <w:r w:rsidRPr="007C705C">
              <w:rPr>
                <w:rFonts w:cs="Times New Roman"/>
                <w:lang w:val="cs-CZ"/>
              </w:rPr>
              <w:br/>
            </w:r>
            <w:r w:rsidRPr="007C705C">
              <w:rPr>
                <w:rFonts w:eastAsiaTheme="minorEastAsia" w:cs="Times New Roman"/>
                <w:color w:val="000000" w:themeColor="text1"/>
                <w:sz w:val="18"/>
                <w:szCs w:val="18"/>
                <w:lang w:val="cs-CZ"/>
              </w:rPr>
              <w:lastRenderedPageBreak/>
              <w:t>• Prodej státní (i obecní) půdy vhodné pro realizaci zelené infrastruktury tlaky na jiné využití ploch (urbanizace)</w:t>
            </w:r>
            <w:r w:rsidRPr="007C705C">
              <w:rPr>
                <w:rFonts w:cs="Times New Roman"/>
                <w:lang w:val="cs-CZ"/>
              </w:rPr>
              <w:br/>
            </w:r>
            <w:r w:rsidRPr="007C705C">
              <w:rPr>
                <w:rFonts w:eastAsiaTheme="minorEastAsia" w:cs="Times New Roman"/>
                <w:color w:val="000000" w:themeColor="text1"/>
                <w:sz w:val="18"/>
                <w:szCs w:val="18"/>
                <w:lang w:val="cs-CZ"/>
              </w:rPr>
              <w:t>• Nízké povědomí o regionálních dopadech změn klimatu a možnostech jak se jim přizpůsobit</w:t>
            </w:r>
            <w:r w:rsidRPr="007C705C">
              <w:rPr>
                <w:rFonts w:cs="Times New Roman"/>
                <w:lang w:val="cs-CZ"/>
              </w:rPr>
              <w:br/>
            </w:r>
            <w:r w:rsidRPr="007C705C">
              <w:rPr>
                <w:rFonts w:eastAsiaTheme="minorEastAsia" w:cs="Times New Roman"/>
                <w:color w:val="000000" w:themeColor="text1"/>
                <w:sz w:val="18"/>
                <w:szCs w:val="18"/>
                <w:lang w:val="cs-CZ"/>
              </w:rPr>
              <w:t>• Nedostatečně integrované řešení problémů (např. související  eroze - vláha - klima).</w:t>
            </w:r>
            <w:r w:rsidRPr="007C705C">
              <w:rPr>
                <w:rFonts w:cs="Times New Roman"/>
                <w:lang w:val="cs-CZ"/>
              </w:rPr>
              <w:br/>
            </w:r>
            <w:r w:rsidRPr="007C705C">
              <w:rPr>
                <w:rFonts w:eastAsiaTheme="minorEastAsia" w:cs="Times New Roman"/>
                <w:color w:val="000000" w:themeColor="text1"/>
                <w:sz w:val="18"/>
                <w:szCs w:val="18"/>
                <w:lang w:val="cs-CZ"/>
              </w:rPr>
              <w:t>• Protichůdné návrhy řešení - ve smyslu vyvážení antagonistického působení mezi různými opatřeními. Například velký důraz na energetické využívání biomasy logicky sníží její dostupnost pro udržování úrodnosti půdy.</w:t>
            </w:r>
            <w:r w:rsidRPr="007C705C">
              <w:rPr>
                <w:rFonts w:cs="Times New Roman"/>
                <w:lang w:val="cs-CZ"/>
              </w:rPr>
              <w:br/>
            </w:r>
            <w:r w:rsidRPr="007C705C">
              <w:rPr>
                <w:rFonts w:eastAsiaTheme="minorEastAsia" w:cs="Times New Roman"/>
                <w:color w:val="000000" w:themeColor="text1"/>
                <w:sz w:val="18"/>
                <w:szCs w:val="18"/>
                <w:lang w:val="cs-CZ"/>
              </w:rPr>
              <w:t xml:space="preserve">• Nedostatečná znalost účinku a efektivita jednotlivých </w:t>
            </w:r>
            <w:r w:rsidRPr="007C705C">
              <w:rPr>
                <w:rFonts w:eastAsiaTheme="minorEastAsia" w:cs="Times New Roman"/>
                <w:color w:val="000000" w:themeColor="text1"/>
                <w:sz w:val="18"/>
                <w:szCs w:val="18"/>
                <w:lang w:val="cs-CZ"/>
              </w:rPr>
              <w:lastRenderedPageBreak/>
              <w:t>adaptačních opatření</w:t>
            </w:r>
            <w:r w:rsidRPr="007C705C">
              <w:rPr>
                <w:rFonts w:cs="Times New Roman"/>
                <w:lang w:val="cs-CZ"/>
              </w:rPr>
              <w:br/>
            </w:r>
            <w:r w:rsidRPr="007C705C">
              <w:rPr>
                <w:rFonts w:eastAsiaTheme="minorEastAsia" w:cs="Times New Roman"/>
                <w:color w:val="000000" w:themeColor="text1"/>
                <w:sz w:val="18"/>
                <w:szCs w:val="18"/>
                <w:lang w:val="cs-CZ"/>
              </w:rPr>
              <w:t>• Ztížená pozice podnikatelských subjektů místního významu, včetně OSVČ, na trhu práce - malá ekonomická síla menších vlastníků lesů ve vztahu k nákupu a obnově lesnické techniky</w:t>
            </w:r>
            <w:r w:rsidRPr="007C705C">
              <w:rPr>
                <w:rFonts w:cs="Times New Roman"/>
                <w:lang w:val="cs-CZ"/>
              </w:rPr>
              <w:br/>
            </w:r>
            <w:r w:rsidRPr="007C705C">
              <w:rPr>
                <w:rFonts w:eastAsiaTheme="minorEastAsia" w:cs="Times New Roman"/>
                <w:color w:val="000000" w:themeColor="text1"/>
                <w:sz w:val="18"/>
                <w:szCs w:val="18"/>
                <w:lang w:val="cs-CZ"/>
              </w:rPr>
              <w:t>• Slabá provázanost výzkumu s praxí</w:t>
            </w:r>
            <w:r w:rsidRPr="007C705C">
              <w:rPr>
                <w:rFonts w:cs="Times New Roman"/>
                <w:lang w:val="cs-CZ"/>
              </w:rPr>
              <w:br/>
            </w:r>
            <w:r w:rsidRPr="007C705C">
              <w:rPr>
                <w:rFonts w:eastAsiaTheme="minorEastAsia" w:cs="Times New Roman"/>
                <w:color w:val="000000" w:themeColor="text1"/>
                <w:sz w:val="18"/>
                <w:szCs w:val="18"/>
                <w:lang w:val="cs-CZ"/>
              </w:rPr>
              <w:t>• Nedostatečné financování socioekonomického výzkumu</w:t>
            </w:r>
            <w:r w:rsidRPr="007C705C">
              <w:rPr>
                <w:rFonts w:cs="Times New Roman"/>
                <w:lang w:val="cs-CZ"/>
              </w:rPr>
              <w:br/>
            </w:r>
            <w:r w:rsidRPr="007C705C">
              <w:rPr>
                <w:rFonts w:eastAsiaTheme="minorEastAsia" w:cs="Times New Roman"/>
                <w:color w:val="000000" w:themeColor="text1"/>
                <w:sz w:val="18"/>
                <w:szCs w:val="18"/>
                <w:lang w:val="cs-CZ"/>
              </w:rPr>
              <w:t xml:space="preserve">• Nízká podpora neproduktivních investic ve vztahu k využívání lesních ploch k rekreačním a relaxačním účelům </w:t>
            </w:r>
            <w:r w:rsidRPr="007C705C">
              <w:rPr>
                <w:rFonts w:cs="Times New Roman"/>
                <w:lang w:val="cs-CZ"/>
              </w:rPr>
              <w:br/>
            </w:r>
            <w:r w:rsidRPr="007C705C">
              <w:rPr>
                <w:rFonts w:eastAsiaTheme="minorEastAsia" w:cs="Times New Roman"/>
                <w:color w:val="000000" w:themeColor="text1"/>
                <w:sz w:val="18"/>
                <w:szCs w:val="18"/>
                <w:lang w:val="cs-CZ"/>
              </w:rPr>
              <w:t>• Nízká ochota vlastníků lesů ke sdružování</w:t>
            </w:r>
            <w:r w:rsidRPr="007C705C">
              <w:rPr>
                <w:rFonts w:cs="Times New Roman"/>
                <w:lang w:val="cs-CZ"/>
              </w:rPr>
              <w:br/>
            </w:r>
            <w:r w:rsidRPr="007C705C">
              <w:rPr>
                <w:rFonts w:eastAsiaTheme="minorEastAsia" w:cs="Times New Roman"/>
                <w:color w:val="000000" w:themeColor="text1"/>
                <w:sz w:val="18"/>
                <w:szCs w:val="18"/>
                <w:lang w:val="cs-CZ"/>
              </w:rPr>
              <w:t>• Nedostatečné využití finančních podpor jako nástroje k naplňování cílů zemědělské a lesnické politiky</w:t>
            </w:r>
            <w:r w:rsidRPr="007C705C">
              <w:rPr>
                <w:rFonts w:cs="Times New Roman"/>
                <w:lang w:val="cs-CZ"/>
              </w:rPr>
              <w:br/>
            </w:r>
          </w:p>
        </w:tc>
        <w:tc>
          <w:tcPr>
            <w:tcW w:w="473" w:type="pct"/>
            <w:vMerge w:val="restart"/>
            <w:shd w:val="clear" w:color="auto" w:fill="auto"/>
            <w:hideMark/>
          </w:tcPr>
          <w:p w14:paraId="0A9C5937"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lastRenderedPageBreak/>
              <w:t xml:space="preserve">• Stabilizace pracovních míst na venkově - Zakládání a rozvoj malých podniků </w:t>
            </w:r>
            <w:r w:rsidRPr="007C705C">
              <w:rPr>
                <w:rFonts w:cs="Times New Roman"/>
                <w:lang w:val="cs-CZ"/>
              </w:rPr>
              <w:br/>
            </w:r>
            <w:r w:rsidRPr="007C705C">
              <w:rPr>
                <w:rFonts w:eastAsiaTheme="minorEastAsia" w:cs="Times New Roman"/>
                <w:color w:val="000000" w:themeColor="text1"/>
                <w:sz w:val="18"/>
                <w:szCs w:val="18"/>
                <w:lang w:val="cs-CZ"/>
              </w:rPr>
              <w:t xml:space="preserve">• Podpora zemědělských subjektů, kteří splňují požadavky na vyvážený mix využití území (živočišná výroba, energetická produkce, </w:t>
            </w:r>
            <w:r w:rsidRPr="007C705C">
              <w:rPr>
                <w:rFonts w:eastAsiaTheme="minorEastAsia" w:cs="Times New Roman"/>
                <w:color w:val="000000" w:themeColor="text1"/>
                <w:sz w:val="18"/>
                <w:szCs w:val="18"/>
                <w:lang w:val="cs-CZ"/>
              </w:rPr>
              <w:lastRenderedPageBreak/>
              <w:t>produkce potravin, prvky zelené infrastruktury)</w:t>
            </w:r>
            <w:r w:rsidRPr="007C705C">
              <w:rPr>
                <w:rFonts w:cs="Times New Roman"/>
                <w:lang w:val="cs-CZ"/>
              </w:rPr>
              <w:br/>
            </w:r>
            <w:r w:rsidRPr="007C705C">
              <w:rPr>
                <w:rFonts w:eastAsiaTheme="minorEastAsia" w:cs="Times New Roman"/>
                <w:color w:val="000000" w:themeColor="text1"/>
                <w:sz w:val="18"/>
                <w:szCs w:val="18"/>
                <w:lang w:val="cs-CZ"/>
              </w:rPr>
              <w:t>• Podpora plánů Smart Cities (návrhy funkčního využití krajiny, maximální využití místních materiálových zdrojů apod.)</w:t>
            </w:r>
            <w:r w:rsidRPr="007C705C">
              <w:rPr>
                <w:rFonts w:cs="Times New Roman"/>
                <w:lang w:val="cs-CZ"/>
              </w:rPr>
              <w:br/>
            </w:r>
            <w:r w:rsidRPr="007C705C">
              <w:rPr>
                <w:rFonts w:eastAsiaTheme="minorEastAsia" w:cs="Times New Roman"/>
                <w:color w:val="000000" w:themeColor="text1"/>
                <w:sz w:val="18"/>
                <w:szCs w:val="18"/>
                <w:lang w:val="cs-CZ"/>
              </w:rPr>
              <w:t xml:space="preserve">• </w:t>
            </w:r>
            <w:r w:rsidRPr="007C705C">
              <w:rPr>
                <w:rFonts w:cs="Times New Roman"/>
                <w:lang w:val="cs-CZ"/>
              </w:rPr>
              <w:br/>
            </w:r>
            <w:r w:rsidRPr="007C705C">
              <w:rPr>
                <w:rFonts w:eastAsiaTheme="minorEastAsia" w:cs="Times New Roman"/>
                <w:color w:val="000000" w:themeColor="text1"/>
                <w:sz w:val="18"/>
                <w:szCs w:val="18"/>
                <w:lang w:val="cs-CZ"/>
              </w:rPr>
              <w:t xml:space="preserve">• Podpora zařazování melioračních plodin (vojtěšky, jetele a pěstování meziplodin) do osevního postupu – obnova utužených půd adaptační opatření </w:t>
            </w:r>
            <w:r w:rsidRPr="007C705C">
              <w:rPr>
                <w:rFonts w:cs="Times New Roman"/>
                <w:lang w:val="cs-CZ"/>
              </w:rPr>
              <w:br/>
            </w:r>
            <w:r w:rsidRPr="007C705C">
              <w:rPr>
                <w:rFonts w:eastAsiaTheme="minorEastAsia" w:cs="Times New Roman"/>
                <w:color w:val="000000" w:themeColor="text1"/>
                <w:sz w:val="18"/>
                <w:szCs w:val="18"/>
                <w:lang w:val="cs-CZ"/>
              </w:rPr>
              <w:t xml:space="preserve">• Funkční využití ZPF - účelné zatravnění údolnic, drah povrchového odtoku, strmých svahů, ochranné zatravnění v blízkosti </w:t>
            </w:r>
            <w:r w:rsidRPr="007C705C">
              <w:rPr>
                <w:rFonts w:eastAsiaTheme="minorEastAsia" w:cs="Times New Roman"/>
                <w:color w:val="000000" w:themeColor="text1"/>
                <w:sz w:val="18"/>
                <w:szCs w:val="18"/>
                <w:lang w:val="cs-CZ"/>
              </w:rPr>
              <w:lastRenderedPageBreak/>
              <w:t>intravilánu</w:t>
            </w:r>
            <w:r w:rsidRPr="007C705C">
              <w:rPr>
                <w:rFonts w:cs="Times New Roman"/>
                <w:lang w:val="cs-CZ"/>
              </w:rPr>
              <w:br/>
            </w:r>
            <w:r w:rsidRPr="007C705C">
              <w:rPr>
                <w:rFonts w:eastAsiaTheme="minorEastAsia" w:cs="Times New Roman"/>
                <w:color w:val="000000" w:themeColor="text1"/>
                <w:sz w:val="18"/>
                <w:szCs w:val="18"/>
                <w:lang w:val="cs-CZ"/>
              </w:rPr>
              <w:t>• Podpora zakládání kompostáren uvnitř zemědělského podniku – materiálové zdroje poskytnou okolní obce</w:t>
            </w:r>
            <w:r w:rsidRPr="007C705C">
              <w:rPr>
                <w:rFonts w:cs="Times New Roman"/>
                <w:lang w:val="cs-CZ"/>
              </w:rPr>
              <w:br/>
            </w:r>
            <w:r w:rsidRPr="007C705C">
              <w:rPr>
                <w:rFonts w:eastAsiaTheme="minorEastAsia" w:cs="Times New Roman"/>
                <w:color w:val="000000" w:themeColor="text1"/>
                <w:sz w:val="18"/>
                <w:szCs w:val="18"/>
                <w:lang w:val="cs-CZ"/>
              </w:rPr>
              <w:t>• Mezinárodní podpora udržitelného rozvoje EU</w:t>
            </w:r>
            <w:r w:rsidRPr="007C705C">
              <w:rPr>
                <w:rFonts w:cs="Times New Roman"/>
                <w:lang w:val="cs-CZ"/>
              </w:rPr>
              <w:br/>
            </w:r>
            <w:r w:rsidRPr="007C705C">
              <w:rPr>
                <w:rFonts w:eastAsiaTheme="minorEastAsia" w:cs="Times New Roman"/>
                <w:color w:val="000000" w:themeColor="text1"/>
                <w:sz w:val="18"/>
                <w:szCs w:val="18"/>
                <w:lang w:val="cs-CZ"/>
              </w:rPr>
              <w:t xml:space="preserve">• </w:t>
            </w:r>
            <w:r w:rsidRPr="007C705C">
              <w:rPr>
                <w:rFonts w:cs="Times New Roman"/>
                <w:lang w:val="cs-CZ"/>
              </w:rPr>
              <w:br/>
            </w:r>
            <w:r w:rsidRPr="007C705C">
              <w:rPr>
                <w:rFonts w:eastAsiaTheme="minorEastAsia" w:cs="Times New Roman"/>
                <w:color w:val="000000" w:themeColor="text1"/>
                <w:sz w:val="18"/>
                <w:szCs w:val="18"/>
                <w:lang w:val="cs-CZ"/>
              </w:rPr>
              <w:t>• Rostoucí zájem společnosti o krajinu a půdu</w:t>
            </w:r>
            <w:r w:rsidRPr="007C705C">
              <w:rPr>
                <w:rFonts w:cs="Times New Roman"/>
                <w:lang w:val="cs-CZ"/>
              </w:rPr>
              <w:br/>
            </w:r>
            <w:r w:rsidRPr="007C705C">
              <w:rPr>
                <w:rFonts w:eastAsiaTheme="minorEastAsia" w:cs="Times New Roman"/>
                <w:color w:val="000000" w:themeColor="text1"/>
                <w:sz w:val="18"/>
                <w:szCs w:val="18"/>
                <w:lang w:val="cs-CZ"/>
              </w:rPr>
              <w:t>• Posílení /celospolečenské uznání role zemědělců v péči o přírodu a krajinu</w:t>
            </w:r>
            <w:r w:rsidRPr="007C705C">
              <w:rPr>
                <w:rFonts w:cs="Times New Roman"/>
                <w:lang w:val="cs-CZ"/>
              </w:rPr>
              <w:br/>
            </w:r>
            <w:r w:rsidRPr="007C705C">
              <w:rPr>
                <w:rFonts w:eastAsiaTheme="minorEastAsia" w:cs="Times New Roman"/>
                <w:color w:val="000000" w:themeColor="text1"/>
                <w:sz w:val="18"/>
                <w:szCs w:val="18"/>
                <w:lang w:val="cs-CZ"/>
              </w:rPr>
              <w:t>• Rostoucí zájem o obnovitelné zdroje energie, včetně biomasy a bioplynu</w:t>
            </w:r>
          </w:p>
        </w:tc>
        <w:tc>
          <w:tcPr>
            <w:tcW w:w="359" w:type="pct"/>
            <w:vMerge w:val="restart"/>
            <w:shd w:val="clear" w:color="auto" w:fill="auto"/>
            <w:hideMark/>
          </w:tcPr>
          <w:p w14:paraId="2B1749E8"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lastRenderedPageBreak/>
              <w:t>• Výkyvy počasí (extrémní lokální srážky, sucho), klimatické změny</w:t>
            </w:r>
            <w:r w:rsidRPr="007C705C">
              <w:rPr>
                <w:rFonts w:cs="Times New Roman"/>
                <w:lang w:val="cs-CZ"/>
              </w:rPr>
              <w:br/>
            </w:r>
            <w:r w:rsidRPr="007C705C">
              <w:rPr>
                <w:rFonts w:eastAsiaTheme="minorEastAsia" w:cs="Times New Roman"/>
                <w:color w:val="000000" w:themeColor="text1"/>
                <w:sz w:val="18"/>
                <w:szCs w:val="18"/>
                <w:lang w:val="cs-CZ"/>
              </w:rPr>
              <w:t>• Ztráta půdy pro jiné účely (zastavění ploch)</w:t>
            </w:r>
            <w:r w:rsidRPr="007C705C">
              <w:rPr>
                <w:rFonts w:cs="Times New Roman"/>
                <w:lang w:val="cs-CZ"/>
              </w:rPr>
              <w:br/>
            </w:r>
            <w:r w:rsidRPr="007C705C">
              <w:rPr>
                <w:rFonts w:eastAsiaTheme="minorEastAsia" w:cs="Times New Roman"/>
                <w:color w:val="000000" w:themeColor="text1"/>
                <w:sz w:val="18"/>
                <w:szCs w:val="18"/>
                <w:lang w:val="cs-CZ"/>
              </w:rPr>
              <w:t xml:space="preserve">• Extrémní výkyvy v úhrnech srážek, teplot a </w:t>
            </w:r>
            <w:r w:rsidRPr="007C705C">
              <w:rPr>
                <w:rFonts w:eastAsiaTheme="minorEastAsia" w:cs="Times New Roman"/>
                <w:color w:val="000000" w:themeColor="text1"/>
                <w:sz w:val="18"/>
                <w:szCs w:val="18"/>
                <w:lang w:val="cs-CZ"/>
              </w:rPr>
              <w:lastRenderedPageBreak/>
              <w:t>jejich rozložení v roce</w:t>
            </w:r>
            <w:r w:rsidRPr="007C705C">
              <w:rPr>
                <w:rFonts w:cs="Times New Roman"/>
                <w:lang w:val="cs-CZ"/>
              </w:rPr>
              <w:br/>
            </w:r>
            <w:r w:rsidRPr="007C705C">
              <w:rPr>
                <w:rFonts w:eastAsiaTheme="minorEastAsia" w:cs="Times New Roman"/>
                <w:color w:val="000000" w:themeColor="text1"/>
                <w:sz w:val="18"/>
                <w:szCs w:val="18"/>
                <w:lang w:val="cs-CZ"/>
              </w:rPr>
              <w:t>• Posun lesních vegetačních stupňů vlivem klimatické změny</w:t>
            </w:r>
            <w:r w:rsidRPr="007C705C">
              <w:rPr>
                <w:rFonts w:cs="Times New Roman"/>
                <w:lang w:val="cs-CZ"/>
              </w:rPr>
              <w:br/>
            </w:r>
            <w:r w:rsidRPr="007C705C">
              <w:rPr>
                <w:rFonts w:eastAsiaTheme="minorEastAsia" w:cs="Times New Roman"/>
                <w:color w:val="000000" w:themeColor="text1"/>
                <w:sz w:val="18"/>
                <w:szCs w:val="18"/>
                <w:lang w:val="cs-CZ"/>
              </w:rPr>
              <w:t xml:space="preserve">• Nutná obměna pěstovaných kultur </w:t>
            </w:r>
            <w:r w:rsidRPr="007C705C">
              <w:rPr>
                <w:rFonts w:cs="Times New Roman"/>
                <w:lang w:val="cs-CZ"/>
              </w:rPr>
              <w:br/>
            </w:r>
            <w:r w:rsidRPr="007C705C">
              <w:rPr>
                <w:rFonts w:eastAsiaTheme="minorEastAsia" w:cs="Times New Roman"/>
                <w:color w:val="000000" w:themeColor="text1"/>
                <w:sz w:val="18"/>
                <w:szCs w:val="18"/>
                <w:lang w:val="cs-CZ"/>
              </w:rPr>
              <w:t>• Šíření invazních druhů (živočichů a rostlin)</w:t>
            </w:r>
            <w:r w:rsidRPr="007C705C">
              <w:rPr>
                <w:rFonts w:cs="Times New Roman"/>
                <w:lang w:val="cs-CZ"/>
              </w:rPr>
              <w:br/>
            </w:r>
            <w:r w:rsidRPr="007C705C">
              <w:rPr>
                <w:rFonts w:eastAsiaTheme="minorEastAsia" w:cs="Times New Roman"/>
                <w:color w:val="000000" w:themeColor="text1"/>
                <w:sz w:val="18"/>
                <w:szCs w:val="18"/>
                <w:lang w:val="cs-CZ"/>
              </w:rPr>
              <w:t>• Protikladné zájmy rezortů ve vztahu k biomase</w:t>
            </w:r>
          </w:p>
        </w:tc>
      </w:tr>
      <w:tr w:rsidR="003E0F58" w:rsidRPr="007C705C" w14:paraId="60D2538B" w14:textId="77777777" w:rsidTr="004D2249">
        <w:trPr>
          <w:trHeight w:val="2730"/>
        </w:trPr>
        <w:tc>
          <w:tcPr>
            <w:tcW w:w="771" w:type="pct"/>
            <w:vMerge/>
            <w:vAlign w:val="center"/>
            <w:hideMark/>
          </w:tcPr>
          <w:p w14:paraId="051146B6" w14:textId="77777777" w:rsidR="003E0F58" w:rsidRPr="007C705C" w:rsidRDefault="003E0F58" w:rsidP="004D2249">
            <w:pPr>
              <w:jc w:val="left"/>
              <w:rPr>
                <w:rFonts w:cs="Times New Roman"/>
                <w:color w:val="000000"/>
                <w:sz w:val="18"/>
                <w:lang w:val="cs-CZ"/>
              </w:rPr>
            </w:pPr>
          </w:p>
        </w:tc>
        <w:tc>
          <w:tcPr>
            <w:tcW w:w="408" w:type="pct"/>
            <w:vMerge/>
            <w:vAlign w:val="center"/>
            <w:hideMark/>
          </w:tcPr>
          <w:p w14:paraId="02D26D37" w14:textId="77777777" w:rsidR="003E0F58" w:rsidRPr="007C705C" w:rsidRDefault="003E0F58" w:rsidP="004D2249">
            <w:pPr>
              <w:jc w:val="left"/>
              <w:rPr>
                <w:rFonts w:cs="Times New Roman"/>
                <w:color w:val="000000"/>
                <w:sz w:val="18"/>
                <w:lang w:val="cs-CZ"/>
              </w:rPr>
            </w:pPr>
          </w:p>
        </w:tc>
        <w:tc>
          <w:tcPr>
            <w:tcW w:w="358" w:type="pct"/>
            <w:vMerge/>
            <w:vAlign w:val="center"/>
            <w:hideMark/>
          </w:tcPr>
          <w:p w14:paraId="5DB49A31" w14:textId="77777777" w:rsidR="003E0F58" w:rsidRPr="007C705C" w:rsidRDefault="003E0F58" w:rsidP="004D2249">
            <w:pPr>
              <w:jc w:val="left"/>
              <w:rPr>
                <w:rFonts w:cs="Times New Roman"/>
                <w:color w:val="000000"/>
                <w:sz w:val="18"/>
                <w:lang w:val="cs-CZ"/>
              </w:rPr>
            </w:pPr>
          </w:p>
        </w:tc>
        <w:tc>
          <w:tcPr>
            <w:tcW w:w="492" w:type="pct"/>
            <w:shd w:val="clear" w:color="auto" w:fill="auto"/>
            <w:hideMark/>
          </w:tcPr>
          <w:p w14:paraId="748C2104"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 xml:space="preserve">nízký počet realizací konkrétní adaptačních a mitigačních opatření v rámci ZPF   </w:t>
            </w:r>
          </w:p>
        </w:tc>
        <w:tc>
          <w:tcPr>
            <w:tcW w:w="300" w:type="pct"/>
            <w:shd w:val="clear" w:color="auto" w:fill="auto"/>
            <w:hideMark/>
          </w:tcPr>
          <w:p w14:paraId="3EDB97C8"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2</w:t>
            </w:r>
          </w:p>
        </w:tc>
        <w:tc>
          <w:tcPr>
            <w:tcW w:w="459" w:type="pct"/>
            <w:shd w:val="clear" w:color="auto" w:fill="auto"/>
            <w:hideMark/>
          </w:tcPr>
          <w:p w14:paraId="095A9AEB"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 xml:space="preserve">zemědělec nemá potřebu ani není nucen vytvářet malé lesnické plochy, remízky, mokřady, biocentra, travní kultury s druhovou pestrostí apod. - dotační program greening vymezení plochy EFA  dotace je vázán na plochu - nerozlišuje ekologický přínos konkrétních opatření </w:t>
            </w:r>
          </w:p>
        </w:tc>
        <w:tc>
          <w:tcPr>
            <w:tcW w:w="455" w:type="pct"/>
            <w:shd w:val="clear" w:color="auto" w:fill="auto"/>
            <w:hideMark/>
          </w:tcPr>
          <w:p w14:paraId="73F5D2E1"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1) zaměřit podporu v programu greening na konkrétní prvky zelené infrastruktury (indikující sekvestrační potenciál C, retenční potenciál, půdoochrannou funkci v krajině, podporu biodiverzity, vytváření biotonu, zajištění ekosystémových funkcí apod. 2) podpořit vznik ALS (agrolesnických systémů)</w:t>
            </w:r>
          </w:p>
        </w:tc>
        <w:tc>
          <w:tcPr>
            <w:tcW w:w="386" w:type="pct"/>
            <w:vMerge/>
            <w:vAlign w:val="center"/>
            <w:hideMark/>
          </w:tcPr>
          <w:p w14:paraId="38A7F3B4" w14:textId="77777777" w:rsidR="003E0F58" w:rsidRPr="007C705C" w:rsidRDefault="003E0F58" w:rsidP="004D2249">
            <w:pPr>
              <w:jc w:val="left"/>
              <w:rPr>
                <w:rFonts w:cs="Times New Roman"/>
                <w:color w:val="000000"/>
                <w:sz w:val="18"/>
                <w:lang w:val="cs-CZ"/>
              </w:rPr>
            </w:pPr>
          </w:p>
        </w:tc>
        <w:tc>
          <w:tcPr>
            <w:tcW w:w="537" w:type="pct"/>
            <w:vMerge/>
            <w:vAlign w:val="center"/>
            <w:hideMark/>
          </w:tcPr>
          <w:p w14:paraId="1E3D24DF" w14:textId="77777777" w:rsidR="003E0F58" w:rsidRPr="007C705C" w:rsidRDefault="003E0F58" w:rsidP="004D2249">
            <w:pPr>
              <w:jc w:val="left"/>
              <w:rPr>
                <w:rFonts w:cs="Times New Roman"/>
                <w:color w:val="000000"/>
                <w:sz w:val="18"/>
                <w:lang w:val="cs-CZ"/>
              </w:rPr>
            </w:pPr>
          </w:p>
        </w:tc>
        <w:tc>
          <w:tcPr>
            <w:tcW w:w="473" w:type="pct"/>
            <w:vMerge/>
            <w:vAlign w:val="center"/>
            <w:hideMark/>
          </w:tcPr>
          <w:p w14:paraId="2ABC48BE" w14:textId="77777777" w:rsidR="003E0F58" w:rsidRPr="007C705C" w:rsidRDefault="003E0F58" w:rsidP="004D2249">
            <w:pPr>
              <w:jc w:val="left"/>
              <w:rPr>
                <w:rFonts w:cs="Times New Roman"/>
                <w:color w:val="000000"/>
                <w:sz w:val="18"/>
                <w:lang w:val="cs-CZ"/>
              </w:rPr>
            </w:pPr>
          </w:p>
        </w:tc>
        <w:tc>
          <w:tcPr>
            <w:tcW w:w="359" w:type="pct"/>
            <w:vMerge/>
            <w:vAlign w:val="center"/>
            <w:hideMark/>
          </w:tcPr>
          <w:p w14:paraId="143F70AD" w14:textId="77777777" w:rsidR="003E0F58" w:rsidRPr="007C705C" w:rsidRDefault="003E0F58" w:rsidP="004D2249">
            <w:pPr>
              <w:jc w:val="left"/>
              <w:rPr>
                <w:rFonts w:cs="Times New Roman"/>
                <w:color w:val="000000"/>
                <w:sz w:val="18"/>
                <w:lang w:val="cs-CZ"/>
              </w:rPr>
            </w:pPr>
          </w:p>
        </w:tc>
      </w:tr>
      <w:tr w:rsidR="003E0F58" w:rsidRPr="007C705C" w14:paraId="28645DDE" w14:textId="77777777" w:rsidTr="004D2249">
        <w:trPr>
          <w:trHeight w:val="2730"/>
        </w:trPr>
        <w:tc>
          <w:tcPr>
            <w:tcW w:w="771" w:type="pct"/>
            <w:vMerge/>
            <w:vAlign w:val="center"/>
            <w:hideMark/>
          </w:tcPr>
          <w:p w14:paraId="7FDBEC42" w14:textId="77777777" w:rsidR="003E0F58" w:rsidRPr="007C705C" w:rsidRDefault="003E0F58" w:rsidP="004D2249">
            <w:pPr>
              <w:jc w:val="left"/>
              <w:rPr>
                <w:rFonts w:cs="Times New Roman"/>
                <w:color w:val="000000"/>
                <w:sz w:val="18"/>
                <w:lang w:val="cs-CZ"/>
              </w:rPr>
            </w:pPr>
          </w:p>
        </w:tc>
        <w:tc>
          <w:tcPr>
            <w:tcW w:w="408" w:type="pct"/>
            <w:vMerge/>
            <w:vAlign w:val="center"/>
            <w:hideMark/>
          </w:tcPr>
          <w:p w14:paraId="3303AE57" w14:textId="77777777" w:rsidR="003E0F58" w:rsidRPr="007C705C" w:rsidRDefault="003E0F58" w:rsidP="004D2249">
            <w:pPr>
              <w:jc w:val="left"/>
              <w:rPr>
                <w:rFonts w:cs="Times New Roman"/>
                <w:color w:val="000000"/>
                <w:sz w:val="18"/>
                <w:lang w:val="cs-CZ"/>
              </w:rPr>
            </w:pPr>
          </w:p>
        </w:tc>
        <w:tc>
          <w:tcPr>
            <w:tcW w:w="358" w:type="pct"/>
            <w:vMerge/>
            <w:vAlign w:val="center"/>
            <w:hideMark/>
          </w:tcPr>
          <w:p w14:paraId="2F441DF1" w14:textId="77777777" w:rsidR="003E0F58" w:rsidRPr="007C705C" w:rsidRDefault="003E0F58" w:rsidP="004D2249">
            <w:pPr>
              <w:jc w:val="left"/>
              <w:rPr>
                <w:rFonts w:cs="Times New Roman"/>
                <w:color w:val="000000"/>
                <w:sz w:val="18"/>
                <w:lang w:val="cs-CZ"/>
              </w:rPr>
            </w:pPr>
          </w:p>
        </w:tc>
        <w:tc>
          <w:tcPr>
            <w:tcW w:w="492" w:type="pct"/>
            <w:shd w:val="clear" w:color="auto" w:fill="auto"/>
            <w:hideMark/>
          </w:tcPr>
          <w:p w14:paraId="633D7453"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nízké zařazení prvků zelené infrastruktury do územních  plánů (popř. pozemkových úprav) rozvoje měst a obcí (socioekonomické vlivy) - vytváření relaxačních zón - chybí prvky Smart Cities</w:t>
            </w:r>
          </w:p>
        </w:tc>
        <w:tc>
          <w:tcPr>
            <w:tcW w:w="300" w:type="pct"/>
            <w:shd w:val="clear" w:color="auto" w:fill="auto"/>
            <w:hideMark/>
          </w:tcPr>
          <w:p w14:paraId="47A482D2"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2</w:t>
            </w:r>
          </w:p>
        </w:tc>
        <w:tc>
          <w:tcPr>
            <w:tcW w:w="459" w:type="pct"/>
            <w:shd w:val="clear" w:color="auto" w:fill="auto"/>
            <w:hideMark/>
          </w:tcPr>
          <w:p w14:paraId="0D3B96FF"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 xml:space="preserve">chybí propojenost zemědělského a veřejného sektoru </w:t>
            </w:r>
          </w:p>
        </w:tc>
        <w:tc>
          <w:tcPr>
            <w:tcW w:w="455" w:type="pct"/>
            <w:shd w:val="clear" w:color="auto" w:fill="auto"/>
            <w:hideMark/>
          </w:tcPr>
          <w:p w14:paraId="421C6CE8"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1) maximální využití veřejných financí k vytváření prvků zelené infrastruktury sloužících k ochraně a sociokulturnímu vyžití obyvatel (zapojit obyvatele do ozelenění obce) 2) podpora využití místních materiálových zdrojů, zbytkové biomasy z měst a obcí v zemědělství (výměna sláma za kompost apod.)</w:t>
            </w:r>
          </w:p>
        </w:tc>
        <w:tc>
          <w:tcPr>
            <w:tcW w:w="386" w:type="pct"/>
            <w:vMerge/>
            <w:vAlign w:val="center"/>
            <w:hideMark/>
          </w:tcPr>
          <w:p w14:paraId="578AE9EE" w14:textId="77777777" w:rsidR="003E0F58" w:rsidRPr="007C705C" w:rsidRDefault="003E0F58" w:rsidP="004D2249">
            <w:pPr>
              <w:jc w:val="left"/>
              <w:rPr>
                <w:rFonts w:cs="Times New Roman"/>
                <w:color w:val="000000"/>
                <w:sz w:val="18"/>
                <w:lang w:val="cs-CZ"/>
              </w:rPr>
            </w:pPr>
          </w:p>
        </w:tc>
        <w:tc>
          <w:tcPr>
            <w:tcW w:w="537" w:type="pct"/>
            <w:vMerge/>
            <w:vAlign w:val="center"/>
            <w:hideMark/>
          </w:tcPr>
          <w:p w14:paraId="073D2DA6" w14:textId="77777777" w:rsidR="003E0F58" w:rsidRPr="007C705C" w:rsidRDefault="003E0F58" w:rsidP="004D2249">
            <w:pPr>
              <w:jc w:val="left"/>
              <w:rPr>
                <w:rFonts w:cs="Times New Roman"/>
                <w:color w:val="000000"/>
                <w:sz w:val="18"/>
                <w:lang w:val="cs-CZ"/>
              </w:rPr>
            </w:pPr>
          </w:p>
        </w:tc>
        <w:tc>
          <w:tcPr>
            <w:tcW w:w="473" w:type="pct"/>
            <w:vMerge/>
            <w:vAlign w:val="center"/>
            <w:hideMark/>
          </w:tcPr>
          <w:p w14:paraId="510CF925" w14:textId="77777777" w:rsidR="003E0F58" w:rsidRPr="007C705C" w:rsidRDefault="003E0F58" w:rsidP="004D2249">
            <w:pPr>
              <w:jc w:val="left"/>
              <w:rPr>
                <w:rFonts w:cs="Times New Roman"/>
                <w:color w:val="000000"/>
                <w:sz w:val="18"/>
                <w:lang w:val="cs-CZ"/>
              </w:rPr>
            </w:pPr>
          </w:p>
        </w:tc>
        <w:tc>
          <w:tcPr>
            <w:tcW w:w="359" w:type="pct"/>
            <w:vMerge/>
            <w:vAlign w:val="center"/>
            <w:hideMark/>
          </w:tcPr>
          <w:p w14:paraId="79BED0FC" w14:textId="77777777" w:rsidR="003E0F58" w:rsidRPr="007C705C" w:rsidRDefault="003E0F58" w:rsidP="004D2249">
            <w:pPr>
              <w:jc w:val="left"/>
              <w:rPr>
                <w:rFonts w:cs="Times New Roman"/>
                <w:color w:val="000000"/>
                <w:sz w:val="18"/>
                <w:lang w:val="cs-CZ"/>
              </w:rPr>
            </w:pPr>
          </w:p>
        </w:tc>
      </w:tr>
      <w:tr w:rsidR="003E0F58" w:rsidRPr="007C705C" w14:paraId="7CB64F21" w14:textId="77777777" w:rsidTr="00D726A3">
        <w:trPr>
          <w:trHeight w:val="2845"/>
        </w:trPr>
        <w:tc>
          <w:tcPr>
            <w:tcW w:w="771" w:type="pct"/>
            <w:vMerge/>
            <w:vAlign w:val="center"/>
            <w:hideMark/>
          </w:tcPr>
          <w:p w14:paraId="2D71CD1D" w14:textId="77777777" w:rsidR="003E0F58" w:rsidRPr="007C705C" w:rsidRDefault="003E0F58" w:rsidP="004D2249">
            <w:pPr>
              <w:jc w:val="left"/>
              <w:rPr>
                <w:rFonts w:cs="Times New Roman"/>
                <w:color w:val="000000"/>
                <w:sz w:val="18"/>
                <w:lang w:val="cs-CZ"/>
              </w:rPr>
            </w:pPr>
          </w:p>
        </w:tc>
        <w:tc>
          <w:tcPr>
            <w:tcW w:w="408" w:type="pct"/>
            <w:vMerge/>
            <w:vAlign w:val="center"/>
            <w:hideMark/>
          </w:tcPr>
          <w:p w14:paraId="01D6A59C" w14:textId="77777777" w:rsidR="003E0F58" w:rsidRPr="007C705C" w:rsidRDefault="003E0F58" w:rsidP="004D2249">
            <w:pPr>
              <w:jc w:val="left"/>
              <w:rPr>
                <w:rFonts w:cs="Times New Roman"/>
                <w:color w:val="000000"/>
                <w:sz w:val="18"/>
                <w:lang w:val="cs-CZ"/>
              </w:rPr>
            </w:pPr>
          </w:p>
        </w:tc>
        <w:tc>
          <w:tcPr>
            <w:tcW w:w="358" w:type="pct"/>
            <w:vMerge/>
            <w:vAlign w:val="center"/>
            <w:hideMark/>
          </w:tcPr>
          <w:p w14:paraId="229BFD82" w14:textId="77777777" w:rsidR="003E0F58" w:rsidRPr="007C705C" w:rsidRDefault="003E0F58" w:rsidP="004D2249">
            <w:pPr>
              <w:jc w:val="left"/>
              <w:rPr>
                <w:rFonts w:cs="Times New Roman"/>
                <w:color w:val="000000"/>
                <w:sz w:val="18"/>
                <w:lang w:val="cs-CZ"/>
              </w:rPr>
            </w:pPr>
          </w:p>
        </w:tc>
        <w:tc>
          <w:tcPr>
            <w:tcW w:w="492" w:type="pct"/>
            <w:shd w:val="clear" w:color="auto" w:fill="auto"/>
            <w:hideMark/>
          </w:tcPr>
          <w:p w14:paraId="555921AB"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 xml:space="preserve">omezené možnosti uplatnění produkce pícnin na trhu se zemědělskými komoditami </w:t>
            </w:r>
          </w:p>
        </w:tc>
        <w:tc>
          <w:tcPr>
            <w:tcW w:w="300" w:type="pct"/>
            <w:shd w:val="clear" w:color="auto" w:fill="auto"/>
            <w:hideMark/>
          </w:tcPr>
          <w:p w14:paraId="576D8BDD"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4</w:t>
            </w:r>
          </w:p>
        </w:tc>
        <w:tc>
          <w:tcPr>
            <w:tcW w:w="459" w:type="pct"/>
            <w:shd w:val="clear" w:color="auto" w:fill="auto"/>
            <w:hideMark/>
          </w:tcPr>
          <w:p w14:paraId="209B88F6"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 xml:space="preserve">zemědělci nemají potřebu měnit management pěstování TTP, není vytvářen dostatečný tlak na počet dobytka pro pastviny, výroba bioplynu je situována do produkčních oblastí </w:t>
            </w:r>
          </w:p>
        </w:tc>
        <w:tc>
          <w:tcPr>
            <w:tcW w:w="455" w:type="pct"/>
            <w:shd w:val="clear" w:color="auto" w:fill="auto"/>
            <w:hideMark/>
          </w:tcPr>
          <w:p w14:paraId="09E1F985"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 xml:space="preserve">podpora bioplynových stanic využívajících jako dominantní zdroj travních senáží, využití energetických zdrojů biomasy v podhorských oblastech ČR </w:t>
            </w:r>
          </w:p>
        </w:tc>
        <w:tc>
          <w:tcPr>
            <w:tcW w:w="386" w:type="pct"/>
            <w:vMerge/>
            <w:vAlign w:val="center"/>
            <w:hideMark/>
          </w:tcPr>
          <w:p w14:paraId="3D2E26FA" w14:textId="77777777" w:rsidR="003E0F58" w:rsidRPr="007C705C" w:rsidRDefault="003E0F58" w:rsidP="004D2249">
            <w:pPr>
              <w:jc w:val="left"/>
              <w:rPr>
                <w:rFonts w:cs="Times New Roman"/>
                <w:color w:val="000000"/>
                <w:sz w:val="18"/>
                <w:lang w:val="cs-CZ"/>
              </w:rPr>
            </w:pPr>
          </w:p>
        </w:tc>
        <w:tc>
          <w:tcPr>
            <w:tcW w:w="537" w:type="pct"/>
            <w:vMerge/>
            <w:vAlign w:val="center"/>
            <w:hideMark/>
          </w:tcPr>
          <w:p w14:paraId="2E9A1F7C" w14:textId="77777777" w:rsidR="003E0F58" w:rsidRPr="007C705C" w:rsidRDefault="003E0F58" w:rsidP="004D2249">
            <w:pPr>
              <w:jc w:val="left"/>
              <w:rPr>
                <w:rFonts w:cs="Times New Roman"/>
                <w:color w:val="000000"/>
                <w:sz w:val="18"/>
                <w:lang w:val="cs-CZ"/>
              </w:rPr>
            </w:pPr>
          </w:p>
        </w:tc>
        <w:tc>
          <w:tcPr>
            <w:tcW w:w="473" w:type="pct"/>
            <w:vMerge/>
            <w:vAlign w:val="center"/>
            <w:hideMark/>
          </w:tcPr>
          <w:p w14:paraId="69B6A9A4" w14:textId="77777777" w:rsidR="003E0F58" w:rsidRPr="007C705C" w:rsidRDefault="003E0F58" w:rsidP="004D2249">
            <w:pPr>
              <w:jc w:val="left"/>
              <w:rPr>
                <w:rFonts w:cs="Times New Roman"/>
                <w:color w:val="000000"/>
                <w:sz w:val="18"/>
                <w:lang w:val="cs-CZ"/>
              </w:rPr>
            </w:pPr>
          </w:p>
        </w:tc>
        <w:tc>
          <w:tcPr>
            <w:tcW w:w="359" w:type="pct"/>
            <w:vMerge/>
            <w:vAlign w:val="center"/>
            <w:hideMark/>
          </w:tcPr>
          <w:p w14:paraId="1F96F15D" w14:textId="77777777" w:rsidR="003E0F58" w:rsidRPr="007C705C" w:rsidRDefault="003E0F58" w:rsidP="004D2249">
            <w:pPr>
              <w:jc w:val="left"/>
              <w:rPr>
                <w:rFonts w:cs="Times New Roman"/>
                <w:color w:val="000000"/>
                <w:sz w:val="18"/>
                <w:lang w:val="cs-CZ"/>
              </w:rPr>
            </w:pPr>
          </w:p>
        </w:tc>
      </w:tr>
    </w:tbl>
    <w:p w14:paraId="790696BA" w14:textId="77777777" w:rsidR="003E0F58" w:rsidRPr="007C705C" w:rsidRDefault="003E0F58" w:rsidP="00D726A3">
      <w:pPr>
        <w:pStyle w:val="UZEIZdroj"/>
        <w:spacing w:after="0"/>
      </w:pPr>
      <w:r w:rsidRPr="007C705C">
        <w:lastRenderedPageBreak/>
        <w:t>Zdroj: VÚMOP v.v.i. 2018</w:t>
      </w:r>
    </w:p>
    <w:p w14:paraId="0CD15396" w14:textId="77777777" w:rsidR="003E0F58" w:rsidRPr="007C705C" w:rsidRDefault="003E0F58" w:rsidP="003E0F58">
      <w:pPr>
        <w:pStyle w:val="Odstavecseseznamem"/>
        <w:ind w:left="862"/>
        <w:rPr>
          <w:lang w:eastAsia="x-none"/>
        </w:rPr>
      </w:pPr>
    </w:p>
    <w:p w14:paraId="55805844" w14:textId="77777777" w:rsidR="003E0F58" w:rsidRPr="007C705C" w:rsidRDefault="003E0F58" w:rsidP="008A1AE3">
      <w:pPr>
        <w:pStyle w:val="Odstavecseseznamem"/>
        <w:numPr>
          <w:ilvl w:val="0"/>
          <w:numId w:val="28"/>
        </w:numPr>
        <w:spacing w:before="60" w:line="360" w:lineRule="atLeast"/>
        <w:sectPr w:rsidR="003E0F58" w:rsidRPr="007C705C" w:rsidSect="004D2249">
          <w:headerReference w:type="even" r:id="rId65"/>
          <w:headerReference w:type="default" r:id="rId66"/>
          <w:headerReference w:type="first" r:id="rId67"/>
          <w:footerReference w:type="first" r:id="rId68"/>
          <w:pgSz w:w="16838" w:h="11906" w:orient="landscape"/>
          <w:pgMar w:top="1417" w:right="1417" w:bottom="1417" w:left="1417" w:header="708" w:footer="708" w:gutter="0"/>
          <w:cols w:space="708"/>
          <w:titlePg/>
          <w:docGrid w:linePitch="360"/>
        </w:sectPr>
      </w:pPr>
    </w:p>
    <w:p w14:paraId="37C6FA13" w14:textId="28C1FE0B" w:rsidR="003E0F58" w:rsidRPr="007C705C" w:rsidRDefault="003E0F58" w:rsidP="00D726A3">
      <w:pPr>
        <w:pStyle w:val="UZEIOdrky"/>
        <w:rPr>
          <w:rFonts w:eastAsiaTheme="minorEastAsia"/>
        </w:rPr>
      </w:pPr>
      <w:r w:rsidRPr="007C705C">
        <w:rPr>
          <w:rFonts w:eastAsiaTheme="minorEastAsia"/>
        </w:rPr>
        <w:lastRenderedPageBreak/>
        <w:t>Pomalé zavádění technologií snižujících emise GHG a NH3 v živočišné a rostlinné výrobě</w:t>
      </w:r>
    </w:p>
    <w:p w14:paraId="67748EC8" w14:textId="77777777" w:rsidR="003E0F58" w:rsidRPr="007C705C" w:rsidRDefault="003E0F58" w:rsidP="00D726A3">
      <w:pPr>
        <w:pStyle w:val="UZEINormaln"/>
        <w:rPr>
          <w:rFonts w:eastAsiaTheme="minorEastAsia"/>
        </w:rPr>
      </w:pPr>
      <w:r w:rsidRPr="007C705C">
        <w:rPr>
          <w:rFonts w:eastAsiaTheme="minorEastAsia"/>
        </w:rPr>
        <w:t>Zemědělci jsou povinni dodržovat nitrátovou směrnici (předpis Evropské unie 91/676/EHS – uplatněna v § 33 vodního zákona). Prováděcím předpisem je nařízení vlády č. 262/2012 Sb., o stanovení zranitelných oblastí a akčním programu, ve znění pozdějších předpisů a všechny navazující předpisy.</w:t>
      </w:r>
    </w:p>
    <w:p w14:paraId="7D966D5D" w14:textId="77777777" w:rsidR="003E0F58" w:rsidRPr="007C705C" w:rsidRDefault="003E0F58" w:rsidP="00D726A3">
      <w:pPr>
        <w:pStyle w:val="UZEINormaln"/>
        <w:rPr>
          <w:rFonts w:eastAsiaTheme="minorEastAsia"/>
        </w:rPr>
      </w:pPr>
      <w:r w:rsidRPr="007C705C">
        <w:rPr>
          <w:rFonts w:eastAsiaTheme="minorEastAsia"/>
        </w:rPr>
        <w:t>Pro výpočet ročních emisí NH3 ze zemědělské činnosti jsou využívány tzv. emisní faktory, které byly stanoveny téměř před 20 lety a díky využívání snižujících technologií, aplikaci výzkumu v krmivářství a vývoji ve šlechtitelství již v současné době nejsou aktuální. Přehled emisních faktorů je uveden v Metodickém pokynu odboru ochrany ovzduší „k zařazování chovů hospodářských zvířat podle zákona č. 201/2012 Sb. o ochraně ovzduší, k výpočtu emisí znečišťujících látek z těchto stacionárních zdrojů a k seznamu technologií snižujících emise z těchto stacionárních zdrojů“, který je publikován ve Věstníku MŽP č. 2/2013.</w:t>
      </w:r>
    </w:p>
    <w:p w14:paraId="0EEE7968" w14:textId="77777777" w:rsidR="003E0F58" w:rsidRPr="007C705C" w:rsidRDefault="003E0F58" w:rsidP="00C073DE">
      <w:pPr>
        <w:pStyle w:val="UZEINadpis2stbezsla"/>
      </w:pPr>
      <w:bookmarkStart w:id="609" w:name="_Ref522802287"/>
      <w:bookmarkStart w:id="610" w:name="_Ref522802288"/>
      <w:bookmarkStart w:id="611" w:name="_Ref522802537"/>
      <w:bookmarkStart w:id="612" w:name="_Ref522884789"/>
      <w:bookmarkStart w:id="613" w:name="_Toc523146653"/>
      <w:bookmarkStart w:id="614" w:name="_Toc77245907"/>
      <w:bookmarkStart w:id="615" w:name="_Toc81343113"/>
      <w:bookmarkStart w:id="616" w:name="_Toc81343176"/>
      <w:bookmarkStart w:id="617" w:name="_Toc81343245"/>
      <w:r w:rsidRPr="007C705C">
        <w:t>Nízký obsah organického uhlíku v půdě</w:t>
      </w:r>
      <w:bookmarkEnd w:id="609"/>
      <w:bookmarkEnd w:id="610"/>
      <w:bookmarkEnd w:id="611"/>
      <w:bookmarkEnd w:id="612"/>
      <w:bookmarkEnd w:id="613"/>
      <w:bookmarkEnd w:id="614"/>
      <w:bookmarkEnd w:id="615"/>
      <w:bookmarkEnd w:id="616"/>
      <w:bookmarkEnd w:id="617"/>
    </w:p>
    <w:p w14:paraId="6DB43E8E" w14:textId="77777777" w:rsidR="003E0F58" w:rsidRPr="007C705C" w:rsidRDefault="003E0F58" w:rsidP="00D726A3">
      <w:pPr>
        <w:pStyle w:val="UZEIOdrky"/>
        <w:rPr>
          <w:rFonts w:eastAsiaTheme="minorEastAsia"/>
        </w:rPr>
      </w:pPr>
      <w:r w:rsidRPr="007C705C">
        <w:rPr>
          <w:rFonts w:eastAsiaTheme="minorEastAsia"/>
        </w:rPr>
        <w:t>Úbytek organického uhlíku v orné půdě</w:t>
      </w:r>
    </w:p>
    <w:p w14:paraId="36D0BB22" w14:textId="77777777" w:rsidR="003E0F58" w:rsidRPr="007C705C" w:rsidRDefault="003E0F58" w:rsidP="00D726A3">
      <w:pPr>
        <w:pStyle w:val="UZEINormaln"/>
        <w:rPr>
          <w:rFonts w:eastAsiaTheme="minorEastAsia"/>
        </w:rPr>
      </w:pPr>
      <w:r w:rsidRPr="007C705C">
        <w:rPr>
          <w:rFonts w:eastAsiaTheme="minorEastAsia"/>
        </w:rPr>
        <w:t xml:space="preserve">Půda představuje po oceánech a hloubkových úložištích fosilních paliv třetí největší úložiště uhlíku, a to zejména v stabilních formách humusu. Současně se ale v důsledku intenzivního obdělávání půdy, hnojení minerálními hnojivy a eroze kapacita tohoto úložiště poměrně rychle snižuje. Snižování obsahu stabilního organického uhlíku v půdě je značně nerovnoměrné, přičemž jsou půdy, kde došlo k dramatickému úbytku organického uhlíku (v důsledku kombinace eroze a dekompozice jako následku intenzivního obdělávání). Ačkoliv v některých případech je obnovení původní úrovně obsahu organického uhlíku v půdě nemožné, nebo je to otázkou století, potenciál pro zásadní zvyšování stabilních forem organického uhlíku, a tudíž pro sekvestraci uhlíku existuje prakticky na všech půdách. V současné době lze považovat část uhlíkového cyklu, která probíhá mezi půdou, vegetací a atmosférou za vyrovnaný. Roční globální objem uhlíku fixovaného v procesu fotosyntézy činí asi 120 Gt, z toho 60 Gt se zpět uvolní do atmosféry a 60 Gt zůstává v půdě, přičemž současně ca 60 Gt se uvolní dekompozicí organické hmoty. Emise CO2 ze zemědělství představují podstatně nižší podíl na celkových emisích (asi 35%) než je tomu v případě emisí CH4 (47%) nebo N2O (53%). Jedná se však o velké objemy, jejichž snížení má význam nejen pro omezení skleníkového efektu ale i pro zlepšení retenční schopnosti půd a vodní kapacity. </w:t>
      </w:r>
    </w:p>
    <w:p w14:paraId="00A7D069" w14:textId="77777777" w:rsidR="003E0F58" w:rsidRPr="007C705C" w:rsidRDefault="003E0F58" w:rsidP="00D726A3">
      <w:pPr>
        <w:pStyle w:val="UZEINormaln"/>
        <w:rPr>
          <w:rFonts w:eastAsiaTheme="minorEastAsia"/>
        </w:rPr>
      </w:pPr>
      <w:r w:rsidRPr="007C705C">
        <w:rPr>
          <w:rFonts w:eastAsiaTheme="minorEastAsia"/>
        </w:rPr>
        <w:t xml:space="preserve">Přitom jen zvýšení stability uhlíku v půdě o 1 % představující ca 0.6 Gt ročně by znamenalo příspěvek k omezení antropogenních emisí CO2 o téměř 10 %. Toto jsou spíše teoretická čísla, nicméně některé studie zaměřené na kombinovaný vliv ekologického zemědělství a živočišné výroby se k těmto hodnotám přibližují (Gattinger et al. 2012).  Dosažení hodnoty zvyšování obsahu Corg v půdě o 1 % (relativně vůči obsahu uhlíku v půdě) ročně což představuje okolo 400–500 kg C ha-1 za rok. Je dlouhodobě reálné při kombinaci více opatření, tedy použití bezorebných technologií zakládání porostů, setí do mulče meziplodiny, kombinace rostlinné a živočišné výroby, případně aplikace pyrolizovaného uhlíku (biouhlu). Obecně ke zvýšení sekvestrace uhlíku přispívá také snížení dávek dusíku, případně ekologické hospodaření. Nicméně již cíl zvýšení obsahu organického uhlíku o 0.4 % který byl vyhlášen v rámci Francouzského programu 4 per 1000 má potenciál kompenzovat globální emise skleníkových plynů a je poměrně realistický, protože stávající obsah organického uhlíku v intenzivně zemědělsky obhospodařované půdě je na úrovni 50-70 % původních hodnot. </w:t>
      </w:r>
    </w:p>
    <w:p w14:paraId="40F30371" w14:textId="77777777" w:rsidR="003E0F58" w:rsidRPr="007C705C" w:rsidRDefault="003E0F58" w:rsidP="00D726A3">
      <w:pPr>
        <w:pStyle w:val="UZEINormaln"/>
        <w:rPr>
          <w:rFonts w:eastAsiaTheme="minorEastAsia"/>
        </w:rPr>
      </w:pPr>
      <w:r w:rsidRPr="007C705C">
        <w:rPr>
          <w:rFonts w:eastAsiaTheme="minorEastAsia"/>
        </w:rPr>
        <w:t xml:space="preserve">Ačkoliv systém pěstování meziplodiny a mělké kultivace do 10 cm může zvyšovat emise N2O, výsledky ukazují, že toto zvýšení emisí je zcela kompenzováno snížením emisí CO2 (Abdala et al. 2014). Kombinace experimentálních výsledků a model v rámci této studie ukázala, že </w:t>
      </w:r>
      <w:r w:rsidRPr="007C705C">
        <w:rPr>
          <w:rFonts w:eastAsiaTheme="minorEastAsia"/>
        </w:rPr>
        <w:lastRenderedPageBreak/>
        <w:t xml:space="preserve">dlouhodobé uplatnění technologie omezeného zpracování půdy a meziplodiny může v průběhu 20 let vést k rozdílu až 25 t C ha-1. To je dáno nejen nárůstem C v půdě u technologie omezeného zpracování půdy a pěstování meziplodiny ale také poklesem obsahu C v půdě při konvenčním obdělávání.  To znamená, že sekvestrace uhlíku při kombinaci mělkého setí nebo bezorebného zpracování půdy a pěstování meziplodiny může činit i více jak 1 t C ha-1 za rok. </w:t>
      </w:r>
    </w:p>
    <w:p w14:paraId="45D7E1D7" w14:textId="77777777" w:rsidR="003E0F58" w:rsidRPr="007C705C" w:rsidRDefault="003E0F58" w:rsidP="00D726A3">
      <w:pPr>
        <w:pStyle w:val="UZEINormaln"/>
        <w:rPr>
          <w:rFonts w:eastAsiaTheme="minorEastAsia"/>
        </w:rPr>
      </w:pPr>
      <w:r w:rsidRPr="007C705C">
        <w:rPr>
          <w:rFonts w:eastAsiaTheme="minorEastAsia"/>
        </w:rPr>
        <w:t>Je zřejmé, že u bezorebných technologií musí být zvýšená pozornost věnována optimalizaci výživy N, protože při nadbytku dusíku v kombinaci s nadměrnými srážkami tyto technologie vedou ke zvyšování emisí N</w:t>
      </w:r>
      <w:r w:rsidRPr="007C705C">
        <w:rPr>
          <w:rFonts w:eastAsiaTheme="minorEastAsia"/>
          <w:vertAlign w:val="subscript"/>
        </w:rPr>
        <w:t>2</w:t>
      </w:r>
      <w:r w:rsidRPr="007C705C">
        <w:rPr>
          <w:rFonts w:eastAsiaTheme="minorEastAsia"/>
        </w:rPr>
        <w:t xml:space="preserve">O (Mangalassery et al. 2014), nicméně tato studie rovněž prokázala, že i při stejné úrovni hnojení N, se GWP (global warming potential) u bezorebné technologie snižuje v důsledku snížení emisí CO2 i metanu, a to až téměř o 25 %. </w:t>
      </w:r>
    </w:p>
    <w:p w14:paraId="05FFC79B" w14:textId="77777777" w:rsidR="003E0F58" w:rsidRPr="007C705C" w:rsidRDefault="003E0F58" w:rsidP="00D726A3">
      <w:pPr>
        <w:pStyle w:val="UZEINormaln"/>
        <w:rPr>
          <w:rFonts w:eastAsiaTheme="minorEastAsia"/>
        </w:rPr>
      </w:pPr>
      <w:r w:rsidRPr="007C705C">
        <w:rPr>
          <w:rFonts w:eastAsiaTheme="minorEastAsia"/>
        </w:rPr>
        <w:t xml:space="preserve">Zvyšování stability organického uhlíku v půdě má řadu dalších pozitivních dopadů, a to především zvýšení retenční schopnosti a vodní kapacity půd, snížení eroze, zvýšení mikrobiální činnosti a zlepšení cyklů živin. Z pohledu ukládání uhlíku v půdě má zásadní význam období zhruba 15–20 let, kdy je dosahováno nejvyšších nárůstů organického uhlíku v půdě. Zhruba po 20 letech dochází k nasycení tzv. sekvestrační funkce a přírůstky obsahu C v půdě jsou pak velmi malé (Smith, 2004). Podle Gattingera et al. (2012) může být rychlost sekvestrace uhlíku v prvních 10 letech okolo 0.84 t C ha-1 za rok, zatímco po 20 letech je to jen 0.11 t C ha-1 za rok.  </w:t>
      </w:r>
    </w:p>
    <w:p w14:paraId="40993843" w14:textId="77777777" w:rsidR="003E0F58" w:rsidRPr="007C705C" w:rsidRDefault="003E0F58" w:rsidP="00D726A3">
      <w:pPr>
        <w:pStyle w:val="UZEINormaln"/>
        <w:rPr>
          <w:rFonts w:eastAsiaTheme="minorEastAsia"/>
        </w:rPr>
      </w:pPr>
      <w:r w:rsidRPr="007C705C">
        <w:rPr>
          <w:rFonts w:eastAsiaTheme="minorEastAsia"/>
        </w:rPr>
        <w:t>Výsledky dlouhodobých pokusů ukazují, že množství uhlíku v půdě při porovnání hospodaření bez živočišné výroby s tržními plodinami a hospodaření se živočišnou výrobou může v průběhu 12 let znamenat zvýšení obsahu uhlíku v půdě až o 10 % ve prospěch podniků s živočišnou výrobou (Schulz et al. 2013). Živočišná výroba má pozitivní vliv na zvýšení obsahu uhlíku v půdě především na těžších jílovitých půdách, zatímco na lehčích písčitých a hlinitopísčitých půdách je dopad minimální (Capriel, 2006).</w:t>
      </w:r>
    </w:p>
    <w:p w14:paraId="51102999" w14:textId="77777777" w:rsidR="003E0F58" w:rsidRPr="007C705C" w:rsidRDefault="003E0F58" w:rsidP="003E0F58">
      <w:pPr>
        <w:rPr>
          <w:rFonts w:eastAsiaTheme="minorEastAsia" w:cs="Times New Roman"/>
          <w:lang w:val="cs-CZ"/>
        </w:rPr>
        <w:sectPr w:rsidR="003E0F58" w:rsidRPr="007C705C" w:rsidSect="004D2249">
          <w:headerReference w:type="even" r:id="rId69"/>
          <w:headerReference w:type="default" r:id="rId70"/>
          <w:headerReference w:type="first" r:id="rId71"/>
          <w:footerReference w:type="first" r:id="rId72"/>
          <w:pgSz w:w="11906" w:h="16838"/>
          <w:pgMar w:top="1417" w:right="1417" w:bottom="1417" w:left="1417" w:header="708" w:footer="708" w:gutter="0"/>
          <w:cols w:space="708"/>
          <w:titlePg/>
          <w:docGrid w:linePitch="360"/>
        </w:sectPr>
      </w:pPr>
    </w:p>
    <w:p w14:paraId="7418A274" w14:textId="77777777" w:rsidR="003E0F58" w:rsidRPr="007C705C" w:rsidRDefault="003E0F58" w:rsidP="00D726A3">
      <w:pPr>
        <w:pStyle w:val="UZEIOdrky"/>
        <w:rPr>
          <w:rFonts w:eastAsiaTheme="minorEastAsia"/>
        </w:rPr>
      </w:pPr>
      <w:r w:rsidRPr="007C705C">
        <w:rPr>
          <w:rFonts w:eastAsiaTheme="minorEastAsia"/>
        </w:rPr>
        <w:lastRenderedPageBreak/>
        <w:t>Nedostatečné hospodaření na půdě z hlediska bilancování organické hmoty</w:t>
      </w:r>
    </w:p>
    <w:p w14:paraId="701D2E1B" w14:textId="77777777" w:rsidR="003E0F58" w:rsidRPr="007C705C" w:rsidRDefault="003E0F58" w:rsidP="003E0F58">
      <w:pPr>
        <w:pStyle w:val="Odstavecseseznamem"/>
        <w:ind w:left="862"/>
        <w:rPr>
          <w:lang w:eastAsia="x-none"/>
        </w:rPr>
      </w:pPr>
    </w:p>
    <w:p w14:paraId="2A7EA64A" w14:textId="5CC90D63" w:rsidR="003E0F58" w:rsidRPr="007C705C" w:rsidRDefault="00D726A3" w:rsidP="00D726A3">
      <w:pPr>
        <w:pStyle w:val="UZEITaB"/>
        <w:rPr>
          <w:rFonts w:eastAsiaTheme="minorEastAsia"/>
        </w:rPr>
      </w:pPr>
      <w:bookmarkStart w:id="618" w:name="_Toc77245877"/>
      <w:r>
        <w:rPr>
          <w:rFonts w:eastAsiaTheme="minorEastAsia"/>
        </w:rPr>
        <w:t xml:space="preserve"> </w:t>
      </w:r>
      <w:bookmarkStart w:id="619" w:name="_Ref81423624"/>
      <w:bookmarkStart w:id="620" w:name="_Toc94181647"/>
      <w:r w:rsidR="003E0F58" w:rsidRPr="007C705C">
        <w:rPr>
          <w:rFonts w:eastAsiaTheme="minorEastAsia"/>
        </w:rPr>
        <w:t>Rozsah problému Bilancování organické hmoty</w:t>
      </w:r>
      <w:bookmarkEnd w:id="618"/>
      <w:bookmarkEnd w:id="619"/>
      <w:bookmarkEnd w:id="6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10"/>
        <w:gridCol w:w="1270"/>
        <w:gridCol w:w="1091"/>
        <w:gridCol w:w="1310"/>
        <w:gridCol w:w="901"/>
        <w:gridCol w:w="1330"/>
        <w:gridCol w:w="1245"/>
        <w:gridCol w:w="1460"/>
        <w:gridCol w:w="1441"/>
        <w:gridCol w:w="1344"/>
        <w:gridCol w:w="1492"/>
      </w:tblGrid>
      <w:tr w:rsidR="003E0F58" w:rsidRPr="007C705C" w14:paraId="22E11CD8" w14:textId="77777777" w:rsidTr="004D2249">
        <w:trPr>
          <w:trHeight w:val="1215"/>
        </w:trPr>
        <w:tc>
          <w:tcPr>
            <w:tcW w:w="313" w:type="pct"/>
            <w:vMerge w:val="restart"/>
            <w:shd w:val="clear" w:color="auto" w:fill="BDD7EE"/>
            <w:hideMark/>
          </w:tcPr>
          <w:p w14:paraId="57BE2EB0"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Problém: I.11 Podpora ukládání uhlíku: zvýšení obsahu organického uhlíku v půdě</w:t>
            </w:r>
          </w:p>
        </w:tc>
        <w:tc>
          <w:tcPr>
            <w:tcW w:w="383" w:type="pct"/>
            <w:vMerge w:val="restart"/>
            <w:shd w:val="clear" w:color="auto" w:fill="BDD7EE"/>
            <w:hideMark/>
          </w:tcPr>
          <w:p w14:paraId="3611EC8E"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Popis problému</w:t>
            </w:r>
          </w:p>
        </w:tc>
        <w:tc>
          <w:tcPr>
            <w:tcW w:w="306" w:type="pct"/>
            <w:shd w:val="clear" w:color="auto" w:fill="BDD7EE"/>
            <w:hideMark/>
          </w:tcPr>
          <w:p w14:paraId="68ACDC86"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 xml:space="preserve">Stanovení závažnosti jednotlivých problémů </w:t>
            </w:r>
          </w:p>
        </w:tc>
        <w:tc>
          <w:tcPr>
            <w:tcW w:w="393" w:type="pct"/>
            <w:vMerge w:val="restart"/>
            <w:shd w:val="clear" w:color="auto" w:fill="BDD7EE"/>
            <w:hideMark/>
          </w:tcPr>
          <w:p w14:paraId="4A94F1D2"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Stanovení příčin</w:t>
            </w:r>
          </w:p>
        </w:tc>
        <w:tc>
          <w:tcPr>
            <w:tcW w:w="255" w:type="pct"/>
            <w:shd w:val="clear" w:color="auto" w:fill="BDD7EE"/>
            <w:hideMark/>
          </w:tcPr>
          <w:p w14:paraId="4F0DE9C4"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Stanovení míry příčin na vzniku problému</w:t>
            </w:r>
          </w:p>
        </w:tc>
        <w:tc>
          <w:tcPr>
            <w:tcW w:w="396" w:type="pct"/>
            <w:vMerge w:val="restart"/>
            <w:shd w:val="clear" w:color="auto" w:fill="BDD7EE"/>
            <w:hideMark/>
          </w:tcPr>
          <w:p w14:paraId="63CDF44B"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 xml:space="preserve">Reakce zemědělců na příčiny </w:t>
            </w:r>
            <w:r w:rsidRPr="007C705C">
              <w:rPr>
                <w:rFonts w:eastAsiaTheme="minorEastAsia" w:cs="Times New Roman"/>
                <w:i/>
                <w:iCs/>
                <w:color w:val="000000" w:themeColor="text1"/>
                <w:sz w:val="18"/>
                <w:szCs w:val="18"/>
                <w:lang w:val="cs-CZ"/>
              </w:rPr>
              <w:t>(jak je respektováno / nerespektováno)</w:t>
            </w:r>
          </w:p>
        </w:tc>
        <w:tc>
          <w:tcPr>
            <w:tcW w:w="356" w:type="pct"/>
            <w:vMerge w:val="restart"/>
            <w:shd w:val="clear" w:color="auto" w:fill="BDD7EE"/>
            <w:hideMark/>
          </w:tcPr>
          <w:p w14:paraId="6F21D741"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 xml:space="preserve">Řešitelnost v rámci SZP - technologická, organizační </w:t>
            </w:r>
          </w:p>
        </w:tc>
        <w:tc>
          <w:tcPr>
            <w:tcW w:w="659" w:type="pct"/>
            <w:shd w:val="clear" w:color="auto" w:fill="BDD7EE"/>
            <w:hideMark/>
          </w:tcPr>
          <w:p w14:paraId="004BDC0B"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S</w:t>
            </w:r>
          </w:p>
        </w:tc>
        <w:tc>
          <w:tcPr>
            <w:tcW w:w="652" w:type="pct"/>
            <w:shd w:val="clear" w:color="auto" w:fill="BDD7EE"/>
            <w:hideMark/>
          </w:tcPr>
          <w:p w14:paraId="7945362F"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W</w:t>
            </w:r>
          </w:p>
        </w:tc>
        <w:tc>
          <w:tcPr>
            <w:tcW w:w="617" w:type="pct"/>
            <w:shd w:val="clear" w:color="auto" w:fill="BDD7EE"/>
            <w:hideMark/>
          </w:tcPr>
          <w:p w14:paraId="6F3C9F03"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O</w:t>
            </w:r>
          </w:p>
        </w:tc>
        <w:tc>
          <w:tcPr>
            <w:tcW w:w="671" w:type="pct"/>
            <w:shd w:val="clear" w:color="auto" w:fill="BDD7EE"/>
            <w:hideMark/>
          </w:tcPr>
          <w:p w14:paraId="03AD1A93" w14:textId="77777777" w:rsidR="003E0F58" w:rsidRPr="007C705C" w:rsidRDefault="003E0F58" w:rsidP="004D2249">
            <w:pPr>
              <w:jc w:val="left"/>
              <w:rPr>
                <w:rFonts w:eastAsiaTheme="minorEastAsia" w:cs="Times New Roman"/>
                <w:b/>
                <w:bCs/>
                <w:color w:val="000000" w:themeColor="text1"/>
                <w:sz w:val="18"/>
                <w:szCs w:val="18"/>
                <w:lang w:val="cs-CZ"/>
              </w:rPr>
            </w:pPr>
            <w:r w:rsidRPr="007C705C">
              <w:rPr>
                <w:rFonts w:eastAsiaTheme="minorEastAsia" w:cs="Times New Roman"/>
                <w:b/>
                <w:bCs/>
                <w:color w:val="000000" w:themeColor="text1"/>
                <w:sz w:val="18"/>
                <w:szCs w:val="18"/>
                <w:lang w:val="cs-CZ"/>
              </w:rPr>
              <w:t>T</w:t>
            </w:r>
          </w:p>
        </w:tc>
      </w:tr>
      <w:tr w:rsidR="003E0F58" w:rsidRPr="007C705C" w14:paraId="10C52755" w14:textId="77777777" w:rsidTr="004D2249">
        <w:trPr>
          <w:trHeight w:val="315"/>
        </w:trPr>
        <w:tc>
          <w:tcPr>
            <w:tcW w:w="313" w:type="pct"/>
            <w:vMerge/>
            <w:vAlign w:val="center"/>
            <w:hideMark/>
          </w:tcPr>
          <w:p w14:paraId="311C6116" w14:textId="77777777" w:rsidR="003E0F58" w:rsidRPr="007C705C" w:rsidRDefault="003E0F58" w:rsidP="004D2249">
            <w:pPr>
              <w:jc w:val="left"/>
              <w:rPr>
                <w:rFonts w:cs="Times New Roman"/>
                <w:b/>
                <w:bCs/>
                <w:color w:val="000000"/>
                <w:sz w:val="18"/>
                <w:lang w:val="cs-CZ"/>
              </w:rPr>
            </w:pPr>
          </w:p>
        </w:tc>
        <w:tc>
          <w:tcPr>
            <w:tcW w:w="383" w:type="pct"/>
            <w:vMerge/>
            <w:vAlign w:val="center"/>
            <w:hideMark/>
          </w:tcPr>
          <w:p w14:paraId="28C561EF" w14:textId="77777777" w:rsidR="003E0F58" w:rsidRPr="007C705C" w:rsidRDefault="003E0F58" w:rsidP="004D2249">
            <w:pPr>
              <w:jc w:val="left"/>
              <w:rPr>
                <w:rFonts w:cs="Times New Roman"/>
                <w:b/>
                <w:bCs/>
                <w:color w:val="000000"/>
                <w:sz w:val="18"/>
                <w:lang w:val="cs-CZ"/>
              </w:rPr>
            </w:pPr>
          </w:p>
        </w:tc>
        <w:tc>
          <w:tcPr>
            <w:tcW w:w="306" w:type="pct"/>
            <w:shd w:val="clear" w:color="auto" w:fill="BDD7EE"/>
            <w:hideMark/>
          </w:tcPr>
          <w:p w14:paraId="374AD89A" w14:textId="77777777" w:rsidR="003E0F58" w:rsidRPr="007C705C" w:rsidRDefault="003E0F58" w:rsidP="004D2249">
            <w:pPr>
              <w:jc w:val="left"/>
              <w:rPr>
                <w:rFonts w:eastAsiaTheme="minorEastAsia" w:cs="Times New Roman"/>
                <w:i/>
                <w:iCs/>
                <w:color w:val="000000" w:themeColor="text1"/>
                <w:sz w:val="18"/>
                <w:szCs w:val="18"/>
                <w:lang w:val="cs-CZ"/>
              </w:rPr>
            </w:pPr>
            <w:r w:rsidRPr="007C705C">
              <w:rPr>
                <w:rFonts w:eastAsiaTheme="minorEastAsia" w:cs="Times New Roman"/>
                <w:i/>
                <w:iCs/>
                <w:color w:val="000000" w:themeColor="text1"/>
                <w:sz w:val="18"/>
                <w:szCs w:val="18"/>
                <w:lang w:val="cs-CZ"/>
              </w:rPr>
              <w:t>(1-5)*</w:t>
            </w:r>
          </w:p>
        </w:tc>
        <w:tc>
          <w:tcPr>
            <w:tcW w:w="393" w:type="pct"/>
            <w:vMerge/>
            <w:vAlign w:val="center"/>
            <w:hideMark/>
          </w:tcPr>
          <w:p w14:paraId="4D64706C" w14:textId="77777777" w:rsidR="003E0F58" w:rsidRPr="007C705C" w:rsidRDefault="003E0F58" w:rsidP="004D2249">
            <w:pPr>
              <w:jc w:val="left"/>
              <w:rPr>
                <w:rFonts w:cs="Times New Roman"/>
                <w:b/>
                <w:bCs/>
                <w:color w:val="000000"/>
                <w:sz w:val="18"/>
                <w:lang w:val="cs-CZ"/>
              </w:rPr>
            </w:pPr>
          </w:p>
        </w:tc>
        <w:tc>
          <w:tcPr>
            <w:tcW w:w="255" w:type="pct"/>
            <w:shd w:val="clear" w:color="auto" w:fill="BDD7EE"/>
            <w:hideMark/>
          </w:tcPr>
          <w:p w14:paraId="2139CF54" w14:textId="77777777" w:rsidR="003E0F58" w:rsidRPr="007C705C" w:rsidRDefault="003E0F58" w:rsidP="004D2249">
            <w:pPr>
              <w:jc w:val="left"/>
              <w:rPr>
                <w:rFonts w:eastAsiaTheme="minorEastAsia" w:cs="Times New Roman"/>
                <w:i/>
                <w:iCs/>
                <w:color w:val="000000" w:themeColor="text1"/>
                <w:sz w:val="18"/>
                <w:szCs w:val="18"/>
                <w:lang w:val="cs-CZ"/>
              </w:rPr>
            </w:pPr>
            <w:r w:rsidRPr="007C705C">
              <w:rPr>
                <w:rFonts w:eastAsiaTheme="minorEastAsia" w:cs="Times New Roman"/>
                <w:i/>
                <w:iCs/>
                <w:color w:val="000000" w:themeColor="text1"/>
                <w:sz w:val="18"/>
                <w:szCs w:val="18"/>
                <w:lang w:val="cs-CZ"/>
              </w:rPr>
              <w:t>(1-5)**</w:t>
            </w:r>
          </w:p>
        </w:tc>
        <w:tc>
          <w:tcPr>
            <w:tcW w:w="396" w:type="pct"/>
            <w:vMerge/>
            <w:vAlign w:val="center"/>
            <w:hideMark/>
          </w:tcPr>
          <w:p w14:paraId="41D3992A" w14:textId="77777777" w:rsidR="003E0F58" w:rsidRPr="007C705C" w:rsidRDefault="003E0F58" w:rsidP="004D2249">
            <w:pPr>
              <w:jc w:val="left"/>
              <w:rPr>
                <w:rFonts w:cs="Times New Roman"/>
                <w:b/>
                <w:bCs/>
                <w:color w:val="000000"/>
                <w:sz w:val="18"/>
                <w:lang w:val="cs-CZ"/>
              </w:rPr>
            </w:pPr>
          </w:p>
        </w:tc>
        <w:tc>
          <w:tcPr>
            <w:tcW w:w="356" w:type="pct"/>
            <w:vMerge/>
            <w:vAlign w:val="center"/>
            <w:hideMark/>
          </w:tcPr>
          <w:p w14:paraId="6DA7BD51" w14:textId="77777777" w:rsidR="003E0F58" w:rsidRPr="007C705C" w:rsidRDefault="003E0F58" w:rsidP="004D2249">
            <w:pPr>
              <w:jc w:val="left"/>
              <w:rPr>
                <w:rFonts w:cs="Times New Roman"/>
                <w:b/>
                <w:bCs/>
                <w:color w:val="000000"/>
                <w:sz w:val="18"/>
                <w:lang w:val="cs-CZ"/>
              </w:rPr>
            </w:pPr>
          </w:p>
        </w:tc>
        <w:tc>
          <w:tcPr>
            <w:tcW w:w="659" w:type="pct"/>
            <w:shd w:val="clear" w:color="auto" w:fill="BDD7EE"/>
            <w:hideMark/>
          </w:tcPr>
          <w:p w14:paraId="5716BD31" w14:textId="77777777" w:rsidR="003E0F58" w:rsidRPr="007C705C" w:rsidRDefault="003E0F58" w:rsidP="004D2249">
            <w:pPr>
              <w:jc w:val="left"/>
              <w:rPr>
                <w:rFonts w:eastAsiaTheme="minorEastAsia" w:cs="Times New Roman"/>
                <w:i/>
                <w:iCs/>
                <w:color w:val="000000" w:themeColor="text1"/>
                <w:sz w:val="18"/>
                <w:szCs w:val="18"/>
                <w:lang w:val="cs-CZ"/>
              </w:rPr>
            </w:pPr>
            <w:r w:rsidRPr="007C705C">
              <w:rPr>
                <w:rFonts w:eastAsiaTheme="minorEastAsia" w:cs="Times New Roman"/>
                <w:i/>
                <w:iCs/>
                <w:color w:val="000000" w:themeColor="text1"/>
                <w:sz w:val="18"/>
                <w:szCs w:val="18"/>
                <w:lang w:val="cs-CZ"/>
              </w:rPr>
              <w:t>Silné stránky:</w:t>
            </w:r>
          </w:p>
        </w:tc>
        <w:tc>
          <w:tcPr>
            <w:tcW w:w="652" w:type="pct"/>
            <w:shd w:val="clear" w:color="auto" w:fill="BDD7EE"/>
            <w:hideMark/>
          </w:tcPr>
          <w:p w14:paraId="1E64E8E1" w14:textId="77777777" w:rsidR="003E0F58" w:rsidRPr="007C705C" w:rsidRDefault="003E0F58" w:rsidP="004D2249">
            <w:pPr>
              <w:jc w:val="left"/>
              <w:rPr>
                <w:rFonts w:eastAsiaTheme="minorEastAsia" w:cs="Times New Roman"/>
                <w:i/>
                <w:iCs/>
                <w:color w:val="000000" w:themeColor="text1"/>
                <w:sz w:val="18"/>
                <w:szCs w:val="18"/>
                <w:lang w:val="cs-CZ"/>
              </w:rPr>
            </w:pPr>
            <w:r w:rsidRPr="007C705C">
              <w:rPr>
                <w:rFonts w:eastAsiaTheme="minorEastAsia" w:cs="Times New Roman"/>
                <w:i/>
                <w:iCs/>
                <w:color w:val="000000" w:themeColor="text1"/>
                <w:sz w:val="18"/>
                <w:szCs w:val="18"/>
                <w:lang w:val="cs-CZ"/>
              </w:rPr>
              <w:t>Slabé stránky:</w:t>
            </w:r>
          </w:p>
        </w:tc>
        <w:tc>
          <w:tcPr>
            <w:tcW w:w="617" w:type="pct"/>
            <w:shd w:val="clear" w:color="auto" w:fill="BDD7EE"/>
            <w:hideMark/>
          </w:tcPr>
          <w:p w14:paraId="2046BEAE" w14:textId="77777777" w:rsidR="003E0F58" w:rsidRPr="007C705C" w:rsidRDefault="003E0F58" w:rsidP="004D2249">
            <w:pPr>
              <w:jc w:val="left"/>
              <w:rPr>
                <w:rFonts w:eastAsiaTheme="minorEastAsia" w:cs="Times New Roman"/>
                <w:i/>
                <w:iCs/>
                <w:color w:val="000000" w:themeColor="text1"/>
                <w:sz w:val="18"/>
                <w:szCs w:val="18"/>
                <w:lang w:val="cs-CZ"/>
              </w:rPr>
            </w:pPr>
            <w:r w:rsidRPr="007C705C">
              <w:rPr>
                <w:rFonts w:eastAsiaTheme="minorEastAsia" w:cs="Times New Roman"/>
                <w:i/>
                <w:iCs/>
                <w:color w:val="000000" w:themeColor="text1"/>
                <w:sz w:val="18"/>
                <w:szCs w:val="18"/>
                <w:lang w:val="cs-CZ"/>
              </w:rPr>
              <w:t>Příležitosti:</w:t>
            </w:r>
          </w:p>
        </w:tc>
        <w:tc>
          <w:tcPr>
            <w:tcW w:w="671" w:type="pct"/>
            <w:shd w:val="clear" w:color="auto" w:fill="BDD7EE"/>
            <w:hideMark/>
          </w:tcPr>
          <w:p w14:paraId="550DE2DD" w14:textId="77777777" w:rsidR="003E0F58" w:rsidRPr="007C705C" w:rsidRDefault="003E0F58" w:rsidP="004D2249">
            <w:pPr>
              <w:jc w:val="left"/>
              <w:rPr>
                <w:rFonts w:eastAsiaTheme="minorEastAsia" w:cs="Times New Roman"/>
                <w:i/>
                <w:iCs/>
                <w:color w:val="000000" w:themeColor="text1"/>
                <w:sz w:val="18"/>
                <w:szCs w:val="18"/>
                <w:lang w:val="cs-CZ"/>
              </w:rPr>
            </w:pPr>
            <w:r w:rsidRPr="007C705C">
              <w:rPr>
                <w:rFonts w:eastAsiaTheme="minorEastAsia" w:cs="Times New Roman"/>
                <w:i/>
                <w:iCs/>
                <w:color w:val="000000" w:themeColor="text1"/>
                <w:sz w:val="18"/>
                <w:szCs w:val="18"/>
                <w:lang w:val="cs-CZ"/>
              </w:rPr>
              <w:t>Hrozby:</w:t>
            </w:r>
          </w:p>
        </w:tc>
      </w:tr>
      <w:tr w:rsidR="003E0F58" w:rsidRPr="007C705C" w14:paraId="7D28257D" w14:textId="77777777" w:rsidTr="004D2249">
        <w:trPr>
          <w:trHeight w:val="1005"/>
        </w:trPr>
        <w:tc>
          <w:tcPr>
            <w:tcW w:w="313" w:type="pct"/>
            <w:vMerge w:val="restart"/>
            <w:shd w:val="clear" w:color="auto" w:fill="auto"/>
            <w:hideMark/>
          </w:tcPr>
          <w:p w14:paraId="7682A2B2"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Nedostatečné hospodaření na půdě z hlediska bilancování organické hmoty</w:t>
            </w:r>
          </w:p>
        </w:tc>
        <w:tc>
          <w:tcPr>
            <w:tcW w:w="383" w:type="pct"/>
            <w:vMerge w:val="restart"/>
            <w:shd w:val="clear" w:color="auto" w:fill="auto"/>
            <w:hideMark/>
          </w:tcPr>
          <w:p w14:paraId="0CA8770F"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 xml:space="preserve">Půdní organická hmota (POH) představuje v půdě významnou a nezastupitelnou roli. Půda s optimálním obsahem POH dokáže lépe odolávat degradačním činitelům (eroze, utužení), zvyšuje se její retenční potenciál a v neposlední řadě ovlivňuje úrodnost. V posledních letech jsme </w:t>
            </w:r>
            <w:r w:rsidRPr="007C705C">
              <w:rPr>
                <w:rFonts w:eastAsiaTheme="minorEastAsia" w:cs="Times New Roman"/>
                <w:color w:val="000000" w:themeColor="text1"/>
                <w:sz w:val="18"/>
                <w:szCs w:val="18"/>
                <w:lang w:val="cs-CZ"/>
              </w:rPr>
              <w:lastRenderedPageBreak/>
              <w:t>svědky extrémních výkyvů počasí. Často se vyskytují dlouhá období sucha a intenzivní přívalové deště, během kterých se voda do půdy nestačí infiltrovat, dochází k velkému povrchovému odtoku, s nímž jsou z pozemků odplaveny i částice půdy. Přitom zdravá půda s optimálním obsahem POH dokáže infiltrovat až 340 l/m2.</w:t>
            </w:r>
            <w:r w:rsidRPr="007C705C">
              <w:rPr>
                <w:rFonts w:cs="Times New Roman"/>
                <w:lang w:val="cs-CZ"/>
              </w:rPr>
              <w:br/>
            </w:r>
            <w:r w:rsidRPr="007C705C">
              <w:rPr>
                <w:rFonts w:eastAsiaTheme="minorEastAsia" w:cs="Times New Roman"/>
                <w:color w:val="000000" w:themeColor="text1"/>
                <w:sz w:val="18"/>
                <w:szCs w:val="18"/>
                <w:lang w:val="cs-CZ"/>
              </w:rPr>
              <w:t xml:space="preserve">POH je přibližně z 52 % tvořena uhlíkem. V poslední době se stále intenzivně setkáváme se snahou o snížení atmosférického oxidu uhličitého - mitigační </w:t>
            </w:r>
            <w:r w:rsidRPr="007C705C">
              <w:rPr>
                <w:rFonts w:eastAsiaTheme="minorEastAsia" w:cs="Times New Roman"/>
                <w:color w:val="000000" w:themeColor="text1"/>
                <w:sz w:val="18"/>
                <w:szCs w:val="18"/>
                <w:lang w:val="cs-CZ"/>
              </w:rPr>
              <w:lastRenderedPageBreak/>
              <w:t>opatření. Půdní prostředí představuje významný prostor k ukládání uhlíku (půdní sekvestrace), proto je snaha evropských autorit tento prostor využít a tím snížit koncentraci skleníkové plynu v ovzduší.</w:t>
            </w:r>
            <w:r w:rsidRPr="007C705C">
              <w:rPr>
                <w:rFonts w:cs="Times New Roman"/>
                <w:lang w:val="cs-CZ"/>
              </w:rPr>
              <w:br/>
            </w:r>
            <w:r w:rsidRPr="007C705C">
              <w:rPr>
                <w:rFonts w:eastAsiaTheme="minorEastAsia" w:cs="Times New Roman"/>
                <w:color w:val="000000" w:themeColor="text1"/>
                <w:sz w:val="18"/>
                <w:szCs w:val="18"/>
                <w:lang w:val="cs-CZ"/>
              </w:rPr>
              <w:t xml:space="preserve">Zvyšování obsahu POH v půdě tedy řeší otázky spojené s kvalitou půdy a snižování koncentrace oxidu uhličitého z atmosféry. </w:t>
            </w:r>
          </w:p>
        </w:tc>
        <w:tc>
          <w:tcPr>
            <w:tcW w:w="306" w:type="pct"/>
            <w:vMerge w:val="restart"/>
            <w:shd w:val="clear" w:color="auto" w:fill="auto"/>
            <w:hideMark/>
          </w:tcPr>
          <w:p w14:paraId="35EC3F9C"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lastRenderedPageBreak/>
              <w:t>2</w:t>
            </w:r>
          </w:p>
        </w:tc>
        <w:tc>
          <w:tcPr>
            <w:tcW w:w="393" w:type="pct"/>
            <w:vMerge w:val="restart"/>
            <w:shd w:val="clear" w:color="auto" w:fill="auto"/>
            <w:hideMark/>
          </w:tcPr>
          <w:p w14:paraId="43511040"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 xml:space="preserve">Již několik desetiletí není pravidelně na ornou půdu dodávána organická hmota statkovými hnojivy, jako důsledek poklesu chovaných hospodářských zvířat. S tím klesly výměry pícnin pěstovaných jako krmivo, čímž se narušila optimální rotace střídání hluboko a mělce kořenících </w:t>
            </w:r>
            <w:r w:rsidRPr="007C705C">
              <w:rPr>
                <w:rFonts w:eastAsiaTheme="minorEastAsia" w:cs="Times New Roman"/>
                <w:color w:val="000000" w:themeColor="text1"/>
                <w:sz w:val="18"/>
                <w:szCs w:val="18"/>
                <w:lang w:val="cs-CZ"/>
              </w:rPr>
              <w:lastRenderedPageBreak/>
              <w:t>plodin. V důsledku toho narůstá procento půd, u kterých se setkáváme s poklesem půdní organické hmoty. Návrat organických hmot do půdy je mnohdy v nedostatečném množství a kvalitě a dochází k omezení biotransformace C v půdě a tím k poklesu půdní úrodnosti. V neposlední řadě je náhlý úbytek POH způsobem rozoráním luk nebo odvodněním pozemků.</w:t>
            </w:r>
          </w:p>
        </w:tc>
        <w:tc>
          <w:tcPr>
            <w:tcW w:w="255" w:type="pct"/>
            <w:vMerge w:val="restart"/>
            <w:shd w:val="clear" w:color="auto" w:fill="auto"/>
            <w:hideMark/>
          </w:tcPr>
          <w:p w14:paraId="17E93328"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lastRenderedPageBreak/>
              <w:t>2</w:t>
            </w:r>
          </w:p>
        </w:tc>
        <w:tc>
          <w:tcPr>
            <w:tcW w:w="396" w:type="pct"/>
            <w:vMerge w:val="restart"/>
            <w:shd w:val="clear" w:color="auto" w:fill="auto"/>
            <w:hideMark/>
          </w:tcPr>
          <w:p w14:paraId="685C3914"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t xml:space="preserve">Zemědělské podniky v první řadě reagují na poptávku trhu, dotační politiku a ekonomické hospodaření. Další důležitý faktor je, že zemědělci často hospodaří na pronajatých pozemcích. Z praxe je známo, že zemědělci vlastním pozemků věnují adekvátní péči. V případě kombinace vlastních a pronajatých poté vlastní upřednostňují </w:t>
            </w:r>
            <w:r w:rsidRPr="007C705C">
              <w:rPr>
                <w:rFonts w:eastAsiaTheme="minorEastAsia" w:cs="Times New Roman"/>
                <w:color w:val="000000" w:themeColor="text1"/>
                <w:sz w:val="18"/>
                <w:szCs w:val="18"/>
                <w:lang w:val="cs-CZ"/>
              </w:rPr>
              <w:lastRenderedPageBreak/>
              <w:t>na úkor těch pronajatých (problémy pachtovních smluv).</w:t>
            </w:r>
            <w:r w:rsidRPr="007C705C">
              <w:rPr>
                <w:rFonts w:cs="Times New Roman"/>
                <w:lang w:val="cs-CZ"/>
              </w:rPr>
              <w:br/>
            </w:r>
            <w:r w:rsidRPr="007C705C">
              <w:rPr>
                <w:rFonts w:eastAsiaTheme="minorEastAsia" w:cs="Times New Roman"/>
                <w:color w:val="000000" w:themeColor="text1"/>
                <w:sz w:val="18"/>
                <w:szCs w:val="18"/>
                <w:lang w:val="cs-CZ"/>
              </w:rPr>
              <w:t>Pokles živočišné produkce je dán politickou a ekonomickou situací. Zemědělcům se proto nevyplatí živočišnou výrobu udržovat. Poklesem počtu hospodářských zvířat zaniká potřeba pěstování víceletých pícnin, které mají příznivý vliv na obsah POH.</w:t>
            </w:r>
            <w:r w:rsidRPr="007C705C">
              <w:rPr>
                <w:rFonts w:cs="Times New Roman"/>
                <w:lang w:val="cs-CZ"/>
              </w:rPr>
              <w:br/>
            </w:r>
            <w:r w:rsidRPr="007C705C">
              <w:rPr>
                <w:rFonts w:eastAsiaTheme="minorEastAsia" w:cs="Times New Roman"/>
                <w:color w:val="000000" w:themeColor="text1"/>
                <w:sz w:val="18"/>
                <w:szCs w:val="18"/>
                <w:lang w:val="cs-CZ"/>
              </w:rPr>
              <w:t>Poptávka po vedlejších produktech rostlinné výroby např. pro využití v bioplynových stanicích.</w:t>
            </w:r>
            <w:r w:rsidRPr="007C705C">
              <w:rPr>
                <w:rFonts w:cs="Times New Roman"/>
                <w:lang w:val="cs-CZ"/>
              </w:rPr>
              <w:br/>
            </w:r>
            <w:r w:rsidRPr="007C705C">
              <w:rPr>
                <w:rFonts w:eastAsiaTheme="minorEastAsia" w:cs="Times New Roman"/>
                <w:color w:val="000000" w:themeColor="text1"/>
                <w:sz w:val="18"/>
                <w:szCs w:val="18"/>
                <w:lang w:val="cs-CZ"/>
              </w:rPr>
              <w:t>Z ekonomických důvodů není dodržena optimální rotace plodin.</w:t>
            </w:r>
          </w:p>
        </w:tc>
        <w:tc>
          <w:tcPr>
            <w:tcW w:w="356" w:type="pct"/>
            <w:vMerge w:val="restart"/>
            <w:shd w:val="clear" w:color="auto" w:fill="auto"/>
            <w:hideMark/>
          </w:tcPr>
          <w:p w14:paraId="3506B345"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lastRenderedPageBreak/>
              <w:t>• Podpora živočišné výroby</w:t>
            </w:r>
            <w:r w:rsidRPr="007C705C">
              <w:rPr>
                <w:rFonts w:cs="Times New Roman"/>
                <w:lang w:val="cs-CZ"/>
              </w:rPr>
              <w:br/>
            </w:r>
            <w:r w:rsidRPr="007C705C">
              <w:rPr>
                <w:rFonts w:eastAsiaTheme="minorEastAsia" w:cs="Times New Roman"/>
                <w:color w:val="000000" w:themeColor="text1"/>
                <w:sz w:val="18"/>
                <w:szCs w:val="18"/>
                <w:lang w:val="cs-CZ"/>
              </w:rPr>
              <w:t>• Podpora pěstování meziplodin</w:t>
            </w:r>
            <w:r w:rsidRPr="007C705C">
              <w:rPr>
                <w:rFonts w:cs="Times New Roman"/>
                <w:lang w:val="cs-CZ"/>
              </w:rPr>
              <w:br/>
            </w:r>
            <w:r w:rsidRPr="007C705C">
              <w:rPr>
                <w:rFonts w:eastAsiaTheme="minorEastAsia" w:cs="Times New Roman"/>
                <w:color w:val="000000" w:themeColor="text1"/>
                <w:sz w:val="18"/>
                <w:szCs w:val="18"/>
                <w:lang w:val="cs-CZ"/>
              </w:rPr>
              <w:t>• Podpora ochranných způsobů zpracování půdy</w:t>
            </w:r>
            <w:r w:rsidRPr="007C705C">
              <w:rPr>
                <w:rFonts w:cs="Times New Roman"/>
                <w:lang w:val="cs-CZ"/>
              </w:rPr>
              <w:br/>
            </w:r>
            <w:r w:rsidRPr="007C705C">
              <w:rPr>
                <w:rFonts w:eastAsiaTheme="minorEastAsia" w:cs="Times New Roman"/>
                <w:color w:val="000000" w:themeColor="text1"/>
                <w:sz w:val="18"/>
                <w:szCs w:val="18"/>
                <w:lang w:val="cs-CZ"/>
              </w:rPr>
              <w:t>• Optimalizace osevních postupů</w:t>
            </w:r>
            <w:r w:rsidRPr="007C705C">
              <w:rPr>
                <w:rFonts w:cs="Times New Roman"/>
                <w:lang w:val="cs-CZ"/>
              </w:rPr>
              <w:br/>
            </w:r>
            <w:r w:rsidRPr="007C705C">
              <w:rPr>
                <w:rFonts w:eastAsiaTheme="minorEastAsia" w:cs="Times New Roman"/>
                <w:color w:val="000000" w:themeColor="text1"/>
                <w:sz w:val="18"/>
                <w:szCs w:val="18"/>
                <w:lang w:val="cs-CZ"/>
              </w:rPr>
              <w:t>• Ponechání vedlejších produktů rostlinné výroby na pozemku</w:t>
            </w:r>
            <w:r w:rsidRPr="007C705C">
              <w:rPr>
                <w:rFonts w:cs="Times New Roman"/>
                <w:lang w:val="cs-CZ"/>
              </w:rPr>
              <w:br/>
            </w:r>
            <w:r w:rsidRPr="007C705C">
              <w:rPr>
                <w:rFonts w:eastAsiaTheme="minorEastAsia" w:cs="Times New Roman"/>
                <w:color w:val="000000" w:themeColor="text1"/>
                <w:sz w:val="18"/>
                <w:szCs w:val="18"/>
                <w:lang w:val="cs-CZ"/>
              </w:rPr>
              <w:t xml:space="preserve">• Povinnost evidence bilance půdních </w:t>
            </w:r>
            <w:r w:rsidRPr="007C705C">
              <w:rPr>
                <w:rFonts w:eastAsiaTheme="minorEastAsia" w:cs="Times New Roman"/>
                <w:color w:val="000000" w:themeColor="text1"/>
                <w:sz w:val="18"/>
                <w:szCs w:val="18"/>
                <w:lang w:val="cs-CZ"/>
              </w:rPr>
              <w:lastRenderedPageBreak/>
              <w:t>organických hmot podniku a hlavních a vedlejších produktů a zavést normativy odběru živin</w:t>
            </w:r>
          </w:p>
          <w:p w14:paraId="5D183355" w14:textId="77777777" w:rsidR="003E0F58" w:rsidRPr="007C705C" w:rsidRDefault="003E0F58" w:rsidP="004D2249">
            <w:pPr>
              <w:jc w:val="left"/>
              <w:rPr>
                <w:rFonts w:eastAsiaTheme="minorEastAsia" w:cs="Times New Roman"/>
                <w:sz w:val="18"/>
                <w:szCs w:val="18"/>
                <w:lang w:val="cs-CZ"/>
              </w:rPr>
            </w:pPr>
            <w:r w:rsidRPr="007C705C">
              <w:rPr>
                <w:rFonts w:eastAsiaTheme="minorEastAsia" w:cs="Times New Roman"/>
                <w:color w:val="000000" w:themeColor="text1"/>
                <w:sz w:val="18"/>
                <w:szCs w:val="18"/>
                <w:lang w:val="cs-CZ"/>
              </w:rPr>
              <w:t xml:space="preserve">• </w:t>
            </w:r>
            <w:r w:rsidRPr="007C705C">
              <w:rPr>
                <w:rFonts w:eastAsiaTheme="minorEastAsia" w:cs="Times New Roman"/>
                <w:sz w:val="18"/>
                <w:szCs w:val="18"/>
                <w:lang w:val="cs-CZ"/>
              </w:rPr>
              <w:t>Hospodaření v režimu EZ a Osvěta vlastníků půd, kteří půdu pronajímají – kvalita součástí pachtovní smlouvy</w:t>
            </w:r>
          </w:p>
        </w:tc>
        <w:tc>
          <w:tcPr>
            <w:tcW w:w="659" w:type="pct"/>
            <w:vMerge w:val="restart"/>
            <w:shd w:val="clear" w:color="auto" w:fill="auto"/>
            <w:hideMark/>
          </w:tcPr>
          <w:p w14:paraId="047638D9"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lastRenderedPageBreak/>
              <w:t>• Existence a dlouhá tradice výzkumných institucí zaměřených na výzkum půdy a její ochrany</w:t>
            </w:r>
            <w:r w:rsidRPr="007C705C">
              <w:rPr>
                <w:rFonts w:cs="Times New Roman"/>
                <w:lang w:val="cs-CZ"/>
              </w:rPr>
              <w:br/>
            </w:r>
            <w:r w:rsidRPr="007C705C">
              <w:rPr>
                <w:rFonts w:eastAsiaTheme="minorEastAsia" w:cs="Times New Roman"/>
                <w:color w:val="000000" w:themeColor="text1"/>
                <w:sz w:val="18"/>
                <w:szCs w:val="18"/>
                <w:lang w:val="cs-CZ"/>
              </w:rPr>
              <w:t>• Bazální monitoring půd (ÚKZUZ)</w:t>
            </w:r>
            <w:r w:rsidRPr="007C705C">
              <w:rPr>
                <w:rFonts w:cs="Times New Roman"/>
                <w:lang w:val="cs-CZ"/>
              </w:rPr>
              <w:br/>
            </w:r>
            <w:r w:rsidRPr="007C705C">
              <w:rPr>
                <w:rFonts w:eastAsiaTheme="minorEastAsia" w:cs="Times New Roman"/>
                <w:color w:val="000000" w:themeColor="text1"/>
                <w:sz w:val="18"/>
                <w:szCs w:val="18"/>
                <w:lang w:val="cs-CZ"/>
              </w:rPr>
              <w:t>• Existence bilančních modelů půdní organické hmoty</w:t>
            </w:r>
            <w:r w:rsidRPr="007C705C">
              <w:rPr>
                <w:rFonts w:cs="Times New Roman"/>
                <w:lang w:val="cs-CZ"/>
              </w:rPr>
              <w:br/>
            </w:r>
            <w:r w:rsidRPr="007C705C">
              <w:rPr>
                <w:rFonts w:eastAsiaTheme="minorEastAsia" w:cs="Times New Roman"/>
                <w:color w:val="000000" w:themeColor="text1"/>
                <w:sz w:val="18"/>
                <w:szCs w:val="18"/>
                <w:lang w:val="cs-CZ"/>
              </w:rPr>
              <w:t>• Registr uživatelských vztahů LPIS</w:t>
            </w:r>
            <w:r w:rsidRPr="007C705C">
              <w:rPr>
                <w:rFonts w:cs="Times New Roman"/>
                <w:lang w:val="cs-CZ"/>
              </w:rPr>
              <w:br/>
            </w:r>
            <w:r w:rsidRPr="007C705C">
              <w:rPr>
                <w:rFonts w:eastAsiaTheme="minorEastAsia" w:cs="Times New Roman"/>
                <w:color w:val="000000" w:themeColor="text1"/>
                <w:sz w:val="18"/>
                <w:szCs w:val="18"/>
                <w:lang w:val="cs-CZ"/>
              </w:rPr>
              <w:t>• Jedinečná databáze Bonitovaných půdně ekologických jednotek (BPEJ)</w:t>
            </w:r>
            <w:r w:rsidRPr="007C705C">
              <w:rPr>
                <w:rFonts w:cs="Times New Roman"/>
                <w:lang w:val="cs-CZ"/>
              </w:rPr>
              <w:br/>
            </w:r>
            <w:r w:rsidRPr="007C705C">
              <w:rPr>
                <w:rFonts w:eastAsiaTheme="minorEastAsia" w:cs="Times New Roman"/>
                <w:color w:val="000000" w:themeColor="text1"/>
                <w:sz w:val="18"/>
                <w:szCs w:val="18"/>
                <w:lang w:val="cs-CZ"/>
              </w:rPr>
              <w:t xml:space="preserve">• Jedinečná </w:t>
            </w:r>
            <w:r w:rsidRPr="007C705C">
              <w:rPr>
                <w:rFonts w:eastAsiaTheme="minorEastAsia" w:cs="Times New Roman"/>
                <w:color w:val="000000" w:themeColor="text1"/>
                <w:sz w:val="18"/>
                <w:szCs w:val="18"/>
                <w:lang w:val="cs-CZ"/>
              </w:rPr>
              <w:lastRenderedPageBreak/>
              <w:t>databáze Komplexního průzkumu půd (KPP)</w:t>
            </w:r>
            <w:r w:rsidRPr="007C705C">
              <w:rPr>
                <w:rFonts w:cs="Times New Roman"/>
                <w:lang w:val="cs-CZ"/>
              </w:rPr>
              <w:br/>
            </w:r>
            <w:r w:rsidRPr="007C705C">
              <w:rPr>
                <w:rFonts w:eastAsiaTheme="minorEastAsia" w:cs="Times New Roman"/>
                <w:color w:val="000000" w:themeColor="text1"/>
                <w:sz w:val="18"/>
                <w:szCs w:val="18"/>
                <w:lang w:val="cs-CZ"/>
              </w:rPr>
              <w:t>• Podrobné mapové podklady</w:t>
            </w:r>
          </w:p>
        </w:tc>
        <w:tc>
          <w:tcPr>
            <w:tcW w:w="652" w:type="pct"/>
            <w:vMerge w:val="restart"/>
            <w:shd w:val="clear" w:color="auto" w:fill="auto"/>
            <w:hideMark/>
          </w:tcPr>
          <w:p w14:paraId="466F7EB3"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lastRenderedPageBreak/>
              <w:t>• V současné době není definována jednoznačná legislativa k této problematice (nejasné kompetence rezortů)</w:t>
            </w:r>
            <w:r w:rsidRPr="007C705C">
              <w:rPr>
                <w:rFonts w:cs="Times New Roman"/>
                <w:lang w:val="cs-CZ"/>
              </w:rPr>
              <w:br/>
            </w:r>
            <w:r w:rsidRPr="007C705C">
              <w:rPr>
                <w:rFonts w:eastAsiaTheme="minorEastAsia" w:cs="Times New Roman"/>
                <w:color w:val="000000" w:themeColor="text1"/>
                <w:sz w:val="18"/>
                <w:szCs w:val="18"/>
                <w:lang w:val="cs-CZ"/>
              </w:rPr>
              <w:t>• Stávající politika není integrovaná, neexistuje strategie na ochranu půd, na české ani mezinárodní úrovni</w:t>
            </w:r>
            <w:r w:rsidRPr="007C705C">
              <w:rPr>
                <w:rFonts w:cs="Times New Roman"/>
                <w:lang w:val="cs-CZ"/>
              </w:rPr>
              <w:br/>
            </w:r>
            <w:r w:rsidRPr="007C705C">
              <w:rPr>
                <w:rFonts w:eastAsiaTheme="minorEastAsia" w:cs="Times New Roman"/>
                <w:color w:val="000000" w:themeColor="text1"/>
                <w:sz w:val="18"/>
                <w:szCs w:val="18"/>
                <w:lang w:val="cs-CZ"/>
              </w:rPr>
              <w:t xml:space="preserve">• Dosud nevyjasněné vlastnicko-uživatelské vztahy – cca 80 % půdy je </w:t>
            </w:r>
            <w:r w:rsidRPr="007C705C">
              <w:rPr>
                <w:rFonts w:eastAsiaTheme="minorEastAsia" w:cs="Times New Roman"/>
                <w:color w:val="000000" w:themeColor="text1"/>
                <w:sz w:val="18"/>
                <w:szCs w:val="18"/>
                <w:lang w:val="cs-CZ"/>
              </w:rPr>
              <w:lastRenderedPageBreak/>
              <w:t>propachtováno</w:t>
            </w:r>
            <w:r w:rsidRPr="007C705C">
              <w:rPr>
                <w:rFonts w:cs="Times New Roman"/>
                <w:lang w:val="cs-CZ"/>
              </w:rPr>
              <w:br/>
            </w:r>
            <w:r w:rsidRPr="007C705C">
              <w:rPr>
                <w:rFonts w:eastAsiaTheme="minorEastAsia" w:cs="Times New Roman"/>
                <w:color w:val="000000" w:themeColor="text1"/>
                <w:sz w:val="18"/>
                <w:szCs w:val="18"/>
                <w:lang w:val="cs-CZ"/>
              </w:rPr>
              <w:t>• Dlouhodobost pachtovních smluv, dnes často jen na jeden rok, tím jsou zmařeny investice ze strany pachtýře do půdy</w:t>
            </w:r>
            <w:r w:rsidRPr="007C705C">
              <w:rPr>
                <w:rFonts w:cs="Times New Roman"/>
                <w:lang w:val="cs-CZ"/>
              </w:rPr>
              <w:br/>
            </w:r>
            <w:r w:rsidRPr="007C705C">
              <w:rPr>
                <w:rFonts w:eastAsiaTheme="minorEastAsia" w:cs="Times New Roman"/>
                <w:color w:val="000000" w:themeColor="text1"/>
                <w:sz w:val="18"/>
                <w:szCs w:val="18"/>
                <w:lang w:val="cs-CZ"/>
              </w:rPr>
              <w:t>• Udržitelné zemědělství naráží na ekonomické problémy</w:t>
            </w:r>
            <w:r w:rsidRPr="007C705C">
              <w:rPr>
                <w:rFonts w:cs="Times New Roman"/>
                <w:lang w:val="cs-CZ"/>
              </w:rPr>
              <w:br/>
            </w:r>
            <w:r w:rsidRPr="007C705C">
              <w:rPr>
                <w:rFonts w:eastAsiaTheme="minorEastAsia" w:cs="Times New Roman"/>
                <w:color w:val="000000" w:themeColor="text1"/>
                <w:sz w:val="18"/>
                <w:szCs w:val="18"/>
                <w:lang w:val="cs-CZ"/>
              </w:rPr>
              <w:t>• Nejsou podpořeny systémy hospodaření, které se blíží hospodaření s vyrovnanou bilanci C v půdě (DZES)</w:t>
            </w:r>
            <w:r w:rsidRPr="007C705C">
              <w:rPr>
                <w:rStyle w:val="Znakapoznpodarou"/>
                <w:rFonts w:eastAsiaTheme="minorEastAsia"/>
                <w:color w:val="000000" w:themeColor="text1"/>
                <w:sz w:val="18"/>
                <w:szCs w:val="18"/>
                <w:lang w:val="cs-CZ"/>
              </w:rPr>
              <w:footnoteReference w:id="16"/>
            </w:r>
          </w:p>
        </w:tc>
        <w:tc>
          <w:tcPr>
            <w:tcW w:w="617" w:type="pct"/>
            <w:vMerge w:val="restart"/>
            <w:shd w:val="clear" w:color="auto" w:fill="auto"/>
            <w:hideMark/>
          </w:tcPr>
          <w:p w14:paraId="3E5C76C3" w14:textId="77777777" w:rsidR="003E0F58" w:rsidRPr="007C705C" w:rsidRDefault="003E0F58" w:rsidP="004D2249">
            <w:pPr>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lastRenderedPageBreak/>
              <w:t>• Společná zemědělská politika EU – důraz kladen i na ochranu půdy</w:t>
            </w:r>
            <w:r w:rsidRPr="007C705C">
              <w:rPr>
                <w:rFonts w:cs="Times New Roman"/>
                <w:lang w:val="cs-CZ"/>
              </w:rPr>
              <w:br/>
            </w:r>
            <w:r w:rsidRPr="007C705C">
              <w:rPr>
                <w:rFonts w:eastAsiaTheme="minorEastAsia" w:cs="Times New Roman"/>
                <w:color w:val="000000" w:themeColor="text1"/>
                <w:sz w:val="18"/>
                <w:szCs w:val="18"/>
                <w:lang w:val="cs-CZ"/>
              </w:rPr>
              <w:t>• Ukládání oxidu uhličitého do půdy</w:t>
            </w:r>
            <w:r w:rsidRPr="007C705C">
              <w:rPr>
                <w:rFonts w:cs="Times New Roman"/>
                <w:lang w:val="cs-CZ"/>
              </w:rPr>
              <w:br/>
            </w:r>
            <w:r w:rsidRPr="007C705C">
              <w:rPr>
                <w:rFonts w:eastAsiaTheme="minorEastAsia" w:cs="Times New Roman"/>
                <w:color w:val="000000" w:themeColor="text1"/>
                <w:sz w:val="18"/>
                <w:szCs w:val="18"/>
                <w:lang w:val="cs-CZ"/>
              </w:rPr>
              <w:t>• Zlepšování povědomí mezi veřejností o ochraně půdy, zájem sdělovacích prostředků a médií</w:t>
            </w:r>
            <w:r w:rsidRPr="007C705C">
              <w:rPr>
                <w:rFonts w:cs="Times New Roman"/>
                <w:lang w:val="cs-CZ"/>
              </w:rPr>
              <w:br/>
            </w:r>
            <w:r w:rsidRPr="007C705C">
              <w:rPr>
                <w:rFonts w:eastAsiaTheme="minorEastAsia" w:cs="Times New Roman"/>
                <w:color w:val="000000" w:themeColor="text1"/>
                <w:sz w:val="18"/>
                <w:szCs w:val="18"/>
                <w:lang w:val="cs-CZ"/>
              </w:rPr>
              <w:t>• Rozvoj bilančních modelů v kombinaci s rozborem půd do zemědělské praxe</w:t>
            </w:r>
            <w:r w:rsidRPr="007C705C">
              <w:rPr>
                <w:rFonts w:cs="Times New Roman"/>
                <w:lang w:val="cs-CZ"/>
              </w:rPr>
              <w:br/>
            </w:r>
            <w:r w:rsidRPr="007C705C">
              <w:rPr>
                <w:rFonts w:eastAsiaTheme="minorEastAsia" w:cs="Times New Roman"/>
                <w:color w:val="000000" w:themeColor="text1"/>
                <w:sz w:val="18"/>
                <w:szCs w:val="18"/>
                <w:lang w:val="cs-CZ"/>
              </w:rPr>
              <w:t xml:space="preserve">• Jednotný </w:t>
            </w:r>
            <w:r w:rsidRPr="007C705C">
              <w:rPr>
                <w:rFonts w:eastAsiaTheme="minorEastAsia" w:cs="Times New Roman"/>
                <w:color w:val="000000" w:themeColor="text1"/>
                <w:sz w:val="18"/>
                <w:szCs w:val="18"/>
                <w:lang w:val="cs-CZ"/>
              </w:rPr>
              <w:lastRenderedPageBreak/>
              <w:t>systém sběru dat (pěstované plodiny, výnosy, hospodaření s vedlejšími produkty, aplikace organických a statkových hnojiv)</w:t>
            </w:r>
            <w:r w:rsidRPr="007C705C">
              <w:rPr>
                <w:rFonts w:cs="Times New Roman"/>
                <w:lang w:val="cs-CZ"/>
              </w:rPr>
              <w:br/>
            </w:r>
            <w:r w:rsidRPr="007C705C">
              <w:rPr>
                <w:rFonts w:eastAsiaTheme="minorEastAsia" w:cs="Times New Roman"/>
                <w:color w:val="000000" w:themeColor="text1"/>
                <w:sz w:val="18"/>
                <w:szCs w:val="18"/>
                <w:lang w:val="cs-CZ"/>
              </w:rPr>
              <w:t>• Obnova živočišné produkce – dostupnost statkových hnojiv</w:t>
            </w:r>
            <w:r w:rsidRPr="007C705C">
              <w:rPr>
                <w:rFonts w:cs="Times New Roman"/>
                <w:lang w:val="cs-CZ"/>
              </w:rPr>
              <w:br/>
            </w:r>
            <w:r w:rsidRPr="007C705C">
              <w:rPr>
                <w:rFonts w:eastAsiaTheme="minorEastAsia" w:cs="Times New Roman"/>
                <w:color w:val="000000" w:themeColor="text1"/>
                <w:sz w:val="18"/>
                <w:szCs w:val="18"/>
                <w:lang w:val="cs-CZ"/>
              </w:rPr>
              <w:t>• Cílené pěstování meziplodin</w:t>
            </w:r>
            <w:r w:rsidRPr="007C705C">
              <w:rPr>
                <w:rFonts w:cs="Times New Roman"/>
                <w:lang w:val="cs-CZ"/>
              </w:rPr>
              <w:br/>
            </w:r>
            <w:r w:rsidRPr="007C705C">
              <w:rPr>
                <w:rFonts w:eastAsiaTheme="minorEastAsia" w:cs="Times New Roman"/>
                <w:color w:val="000000" w:themeColor="text1"/>
                <w:sz w:val="18"/>
                <w:szCs w:val="18"/>
                <w:lang w:val="cs-CZ"/>
              </w:rPr>
              <w:t>• Udržitelné hospodaření a udržitelný stav půdy reflektující cenu pozemku</w:t>
            </w:r>
          </w:p>
        </w:tc>
        <w:tc>
          <w:tcPr>
            <w:tcW w:w="671" w:type="pct"/>
            <w:vMerge w:val="restart"/>
            <w:shd w:val="clear" w:color="auto" w:fill="auto"/>
            <w:hideMark/>
          </w:tcPr>
          <w:p w14:paraId="7C44F998" w14:textId="77777777" w:rsidR="003E0F58" w:rsidRPr="007C705C" w:rsidRDefault="003E0F58" w:rsidP="004D2249">
            <w:pPr>
              <w:spacing w:after="240"/>
              <w:jc w:val="left"/>
              <w:rPr>
                <w:rFonts w:eastAsiaTheme="minorEastAsia" w:cs="Times New Roman"/>
                <w:color w:val="000000" w:themeColor="text1"/>
                <w:sz w:val="18"/>
                <w:szCs w:val="18"/>
                <w:lang w:val="cs-CZ"/>
              </w:rPr>
            </w:pPr>
            <w:r w:rsidRPr="007C705C">
              <w:rPr>
                <w:rFonts w:eastAsiaTheme="minorEastAsia" w:cs="Times New Roman"/>
                <w:color w:val="000000" w:themeColor="text1"/>
                <w:sz w:val="18"/>
                <w:szCs w:val="18"/>
                <w:lang w:val="cs-CZ"/>
              </w:rPr>
              <w:lastRenderedPageBreak/>
              <w:t>• Klimatická změna – dlouhé období sucha a přívalové deště</w:t>
            </w:r>
            <w:r w:rsidRPr="007C705C">
              <w:rPr>
                <w:rFonts w:cs="Times New Roman"/>
                <w:lang w:val="cs-CZ"/>
              </w:rPr>
              <w:br/>
            </w:r>
            <w:r w:rsidRPr="007C705C">
              <w:rPr>
                <w:rFonts w:eastAsiaTheme="minorEastAsia" w:cs="Times New Roman"/>
                <w:color w:val="000000" w:themeColor="text1"/>
                <w:sz w:val="18"/>
                <w:szCs w:val="18"/>
                <w:lang w:val="cs-CZ"/>
              </w:rPr>
              <w:t>• Zvyšování koncentrace oxidu uhličitého v atmosféře</w:t>
            </w:r>
            <w:r w:rsidRPr="007C705C">
              <w:rPr>
                <w:rFonts w:cs="Times New Roman"/>
                <w:lang w:val="cs-CZ"/>
              </w:rPr>
              <w:br/>
            </w:r>
            <w:r w:rsidRPr="007C705C">
              <w:rPr>
                <w:rFonts w:eastAsiaTheme="minorEastAsia" w:cs="Times New Roman"/>
                <w:color w:val="000000" w:themeColor="text1"/>
                <w:sz w:val="18"/>
                <w:szCs w:val="18"/>
                <w:lang w:val="cs-CZ"/>
              </w:rPr>
              <w:t>• Zvýšení rizika ostatních degradačních faktorů půdy</w:t>
            </w:r>
            <w:r w:rsidRPr="007C705C">
              <w:rPr>
                <w:rFonts w:cs="Times New Roman"/>
                <w:lang w:val="cs-CZ"/>
              </w:rPr>
              <w:br/>
            </w:r>
            <w:r w:rsidRPr="007C705C">
              <w:rPr>
                <w:rFonts w:eastAsiaTheme="minorEastAsia" w:cs="Times New Roman"/>
                <w:color w:val="000000" w:themeColor="text1"/>
                <w:sz w:val="18"/>
                <w:szCs w:val="18"/>
                <w:lang w:val="cs-CZ"/>
              </w:rPr>
              <w:t>• Kontaminace povrchových a podpovrchových vod aplikací minerálních hnojiv</w:t>
            </w:r>
            <w:r w:rsidRPr="007C705C">
              <w:rPr>
                <w:rFonts w:cs="Times New Roman"/>
                <w:lang w:val="cs-CZ"/>
              </w:rPr>
              <w:br/>
            </w:r>
            <w:r w:rsidRPr="007C705C">
              <w:rPr>
                <w:rFonts w:eastAsiaTheme="minorEastAsia" w:cs="Times New Roman"/>
                <w:color w:val="000000" w:themeColor="text1"/>
                <w:sz w:val="18"/>
                <w:szCs w:val="18"/>
                <w:lang w:val="cs-CZ"/>
              </w:rPr>
              <w:t>• Vyčerpání půdy a její následná dlouhodobá regenerace</w:t>
            </w:r>
            <w:r w:rsidRPr="007C705C">
              <w:rPr>
                <w:rFonts w:cs="Times New Roman"/>
                <w:lang w:val="cs-CZ"/>
              </w:rPr>
              <w:br/>
            </w:r>
            <w:r w:rsidRPr="007C705C">
              <w:rPr>
                <w:rFonts w:eastAsiaTheme="minorEastAsia" w:cs="Times New Roman"/>
                <w:color w:val="000000" w:themeColor="text1"/>
                <w:sz w:val="18"/>
                <w:szCs w:val="18"/>
                <w:lang w:val="cs-CZ"/>
              </w:rPr>
              <w:t xml:space="preserve">• Stálé snižování počtu chovaných </w:t>
            </w:r>
            <w:r w:rsidRPr="007C705C">
              <w:rPr>
                <w:rFonts w:eastAsiaTheme="minorEastAsia" w:cs="Times New Roman"/>
                <w:color w:val="000000" w:themeColor="text1"/>
                <w:sz w:val="18"/>
                <w:szCs w:val="18"/>
                <w:lang w:val="cs-CZ"/>
              </w:rPr>
              <w:lastRenderedPageBreak/>
              <w:t>hospodářských zvířat</w:t>
            </w:r>
            <w:r w:rsidRPr="007C705C">
              <w:rPr>
                <w:rFonts w:cs="Times New Roman"/>
                <w:lang w:val="cs-CZ"/>
              </w:rPr>
              <w:br/>
            </w:r>
            <w:r w:rsidRPr="007C705C">
              <w:rPr>
                <w:rFonts w:eastAsiaTheme="minorEastAsia" w:cs="Times New Roman"/>
                <w:color w:val="000000" w:themeColor="text1"/>
                <w:sz w:val="18"/>
                <w:szCs w:val="18"/>
                <w:lang w:val="cs-CZ"/>
              </w:rPr>
              <w:t>• Poptávka po vedlejších produktech rostlinné výroby (bioplynové stanice)</w:t>
            </w:r>
            <w:r w:rsidRPr="007C705C">
              <w:rPr>
                <w:rFonts w:cs="Times New Roman"/>
                <w:lang w:val="cs-CZ"/>
              </w:rPr>
              <w:br/>
            </w:r>
            <w:r w:rsidRPr="007C705C">
              <w:rPr>
                <w:rFonts w:eastAsiaTheme="minorEastAsia" w:cs="Times New Roman"/>
                <w:color w:val="000000" w:themeColor="text1"/>
                <w:sz w:val="18"/>
                <w:szCs w:val="18"/>
                <w:lang w:val="cs-CZ"/>
              </w:rPr>
              <w:t>• Nehodné zdroje strukturálního C - snížení aktivity půdních mikroorganismů – omezení procesu humifikace – akcelerace mineralizace POH - ohrožení zdraví půdy</w:t>
            </w:r>
          </w:p>
        </w:tc>
      </w:tr>
      <w:tr w:rsidR="003E0F58" w:rsidRPr="007C705C" w14:paraId="7681A1AD" w14:textId="77777777" w:rsidTr="004D2249">
        <w:trPr>
          <w:trHeight w:val="1005"/>
        </w:trPr>
        <w:tc>
          <w:tcPr>
            <w:tcW w:w="313" w:type="pct"/>
            <w:vMerge/>
            <w:vAlign w:val="center"/>
            <w:hideMark/>
          </w:tcPr>
          <w:p w14:paraId="0833348F" w14:textId="77777777" w:rsidR="003E0F58" w:rsidRPr="007C705C" w:rsidRDefault="003E0F58" w:rsidP="004D2249">
            <w:pPr>
              <w:jc w:val="left"/>
              <w:rPr>
                <w:rFonts w:cs="Times New Roman"/>
                <w:color w:val="000000"/>
                <w:sz w:val="18"/>
                <w:lang w:val="cs-CZ"/>
              </w:rPr>
            </w:pPr>
          </w:p>
        </w:tc>
        <w:tc>
          <w:tcPr>
            <w:tcW w:w="383" w:type="pct"/>
            <w:vMerge/>
            <w:vAlign w:val="center"/>
            <w:hideMark/>
          </w:tcPr>
          <w:p w14:paraId="2F740713" w14:textId="77777777" w:rsidR="003E0F58" w:rsidRPr="007C705C" w:rsidRDefault="003E0F58" w:rsidP="004D2249">
            <w:pPr>
              <w:jc w:val="left"/>
              <w:rPr>
                <w:rFonts w:cs="Times New Roman"/>
                <w:color w:val="000000"/>
                <w:sz w:val="18"/>
                <w:lang w:val="cs-CZ"/>
              </w:rPr>
            </w:pPr>
          </w:p>
        </w:tc>
        <w:tc>
          <w:tcPr>
            <w:tcW w:w="306" w:type="pct"/>
            <w:vMerge/>
            <w:vAlign w:val="center"/>
            <w:hideMark/>
          </w:tcPr>
          <w:p w14:paraId="1140356D" w14:textId="77777777" w:rsidR="003E0F58" w:rsidRPr="007C705C" w:rsidRDefault="003E0F58" w:rsidP="004D2249">
            <w:pPr>
              <w:jc w:val="left"/>
              <w:rPr>
                <w:rFonts w:cs="Times New Roman"/>
                <w:color w:val="000000"/>
                <w:sz w:val="18"/>
                <w:lang w:val="cs-CZ"/>
              </w:rPr>
            </w:pPr>
          </w:p>
        </w:tc>
        <w:tc>
          <w:tcPr>
            <w:tcW w:w="393" w:type="pct"/>
            <w:vMerge/>
            <w:vAlign w:val="center"/>
            <w:hideMark/>
          </w:tcPr>
          <w:p w14:paraId="674E620C" w14:textId="77777777" w:rsidR="003E0F58" w:rsidRPr="007C705C" w:rsidRDefault="003E0F58" w:rsidP="004D2249">
            <w:pPr>
              <w:jc w:val="left"/>
              <w:rPr>
                <w:rFonts w:cs="Times New Roman"/>
                <w:color w:val="000000"/>
                <w:sz w:val="18"/>
                <w:lang w:val="cs-CZ"/>
              </w:rPr>
            </w:pPr>
          </w:p>
        </w:tc>
        <w:tc>
          <w:tcPr>
            <w:tcW w:w="255" w:type="pct"/>
            <w:vMerge/>
            <w:vAlign w:val="center"/>
            <w:hideMark/>
          </w:tcPr>
          <w:p w14:paraId="45146331" w14:textId="77777777" w:rsidR="003E0F58" w:rsidRPr="007C705C" w:rsidRDefault="003E0F58" w:rsidP="004D2249">
            <w:pPr>
              <w:jc w:val="left"/>
              <w:rPr>
                <w:rFonts w:cs="Times New Roman"/>
                <w:color w:val="000000"/>
                <w:sz w:val="18"/>
                <w:lang w:val="cs-CZ"/>
              </w:rPr>
            </w:pPr>
          </w:p>
        </w:tc>
        <w:tc>
          <w:tcPr>
            <w:tcW w:w="396" w:type="pct"/>
            <w:vMerge/>
            <w:vAlign w:val="center"/>
            <w:hideMark/>
          </w:tcPr>
          <w:p w14:paraId="3A2E19CE" w14:textId="77777777" w:rsidR="003E0F58" w:rsidRPr="007C705C" w:rsidRDefault="003E0F58" w:rsidP="004D2249">
            <w:pPr>
              <w:jc w:val="left"/>
              <w:rPr>
                <w:rFonts w:cs="Times New Roman"/>
                <w:color w:val="000000"/>
                <w:sz w:val="18"/>
                <w:lang w:val="cs-CZ"/>
              </w:rPr>
            </w:pPr>
          </w:p>
        </w:tc>
        <w:tc>
          <w:tcPr>
            <w:tcW w:w="356" w:type="pct"/>
            <w:vMerge/>
            <w:vAlign w:val="center"/>
            <w:hideMark/>
          </w:tcPr>
          <w:p w14:paraId="15A0C6DC" w14:textId="77777777" w:rsidR="003E0F58" w:rsidRPr="007C705C" w:rsidRDefault="003E0F58" w:rsidP="004D2249">
            <w:pPr>
              <w:jc w:val="left"/>
              <w:rPr>
                <w:rFonts w:cs="Times New Roman"/>
                <w:color w:val="000000"/>
                <w:sz w:val="18"/>
                <w:lang w:val="cs-CZ"/>
              </w:rPr>
            </w:pPr>
          </w:p>
        </w:tc>
        <w:tc>
          <w:tcPr>
            <w:tcW w:w="659" w:type="pct"/>
            <w:vMerge/>
            <w:vAlign w:val="center"/>
            <w:hideMark/>
          </w:tcPr>
          <w:p w14:paraId="53F9A34A" w14:textId="77777777" w:rsidR="003E0F58" w:rsidRPr="007C705C" w:rsidRDefault="003E0F58" w:rsidP="004D2249">
            <w:pPr>
              <w:jc w:val="left"/>
              <w:rPr>
                <w:rFonts w:cs="Times New Roman"/>
                <w:color w:val="000000"/>
                <w:sz w:val="18"/>
                <w:lang w:val="cs-CZ"/>
              </w:rPr>
            </w:pPr>
          </w:p>
        </w:tc>
        <w:tc>
          <w:tcPr>
            <w:tcW w:w="652" w:type="pct"/>
            <w:vMerge/>
            <w:vAlign w:val="center"/>
            <w:hideMark/>
          </w:tcPr>
          <w:p w14:paraId="2AFA1EA8" w14:textId="77777777" w:rsidR="003E0F58" w:rsidRPr="007C705C" w:rsidRDefault="003E0F58" w:rsidP="004D2249">
            <w:pPr>
              <w:jc w:val="left"/>
              <w:rPr>
                <w:rFonts w:cs="Times New Roman"/>
                <w:color w:val="000000"/>
                <w:sz w:val="18"/>
                <w:lang w:val="cs-CZ"/>
              </w:rPr>
            </w:pPr>
          </w:p>
        </w:tc>
        <w:tc>
          <w:tcPr>
            <w:tcW w:w="617" w:type="pct"/>
            <w:vMerge/>
            <w:vAlign w:val="center"/>
            <w:hideMark/>
          </w:tcPr>
          <w:p w14:paraId="5876E587" w14:textId="77777777" w:rsidR="003E0F58" w:rsidRPr="007C705C" w:rsidRDefault="003E0F58" w:rsidP="004D2249">
            <w:pPr>
              <w:jc w:val="left"/>
              <w:rPr>
                <w:rFonts w:cs="Times New Roman"/>
                <w:color w:val="000000"/>
                <w:sz w:val="18"/>
                <w:lang w:val="cs-CZ"/>
              </w:rPr>
            </w:pPr>
          </w:p>
        </w:tc>
        <w:tc>
          <w:tcPr>
            <w:tcW w:w="671" w:type="pct"/>
            <w:vMerge/>
            <w:vAlign w:val="center"/>
            <w:hideMark/>
          </w:tcPr>
          <w:p w14:paraId="6450455B" w14:textId="77777777" w:rsidR="003E0F58" w:rsidRPr="007C705C" w:rsidRDefault="003E0F58" w:rsidP="004D2249">
            <w:pPr>
              <w:jc w:val="left"/>
              <w:rPr>
                <w:rFonts w:cs="Times New Roman"/>
                <w:color w:val="000000"/>
                <w:sz w:val="18"/>
                <w:lang w:val="cs-CZ"/>
              </w:rPr>
            </w:pPr>
          </w:p>
        </w:tc>
      </w:tr>
      <w:tr w:rsidR="003E0F58" w:rsidRPr="007C705C" w14:paraId="34CC18D5" w14:textId="77777777" w:rsidTr="004D2249">
        <w:trPr>
          <w:trHeight w:val="1005"/>
        </w:trPr>
        <w:tc>
          <w:tcPr>
            <w:tcW w:w="313" w:type="pct"/>
            <w:vMerge/>
            <w:vAlign w:val="center"/>
            <w:hideMark/>
          </w:tcPr>
          <w:p w14:paraId="66246015" w14:textId="77777777" w:rsidR="003E0F58" w:rsidRPr="007C705C" w:rsidRDefault="003E0F58" w:rsidP="004D2249">
            <w:pPr>
              <w:jc w:val="left"/>
              <w:rPr>
                <w:rFonts w:cs="Times New Roman"/>
                <w:color w:val="000000"/>
                <w:sz w:val="18"/>
                <w:lang w:val="cs-CZ"/>
              </w:rPr>
            </w:pPr>
          </w:p>
        </w:tc>
        <w:tc>
          <w:tcPr>
            <w:tcW w:w="383" w:type="pct"/>
            <w:vMerge/>
            <w:vAlign w:val="center"/>
            <w:hideMark/>
          </w:tcPr>
          <w:p w14:paraId="1C86F7BF" w14:textId="77777777" w:rsidR="003E0F58" w:rsidRPr="007C705C" w:rsidRDefault="003E0F58" w:rsidP="004D2249">
            <w:pPr>
              <w:jc w:val="left"/>
              <w:rPr>
                <w:rFonts w:cs="Times New Roman"/>
                <w:color w:val="000000"/>
                <w:sz w:val="18"/>
                <w:lang w:val="cs-CZ"/>
              </w:rPr>
            </w:pPr>
          </w:p>
        </w:tc>
        <w:tc>
          <w:tcPr>
            <w:tcW w:w="306" w:type="pct"/>
            <w:vMerge/>
            <w:vAlign w:val="center"/>
            <w:hideMark/>
          </w:tcPr>
          <w:p w14:paraId="00DB265E" w14:textId="77777777" w:rsidR="003E0F58" w:rsidRPr="007C705C" w:rsidRDefault="003E0F58" w:rsidP="004D2249">
            <w:pPr>
              <w:jc w:val="left"/>
              <w:rPr>
                <w:rFonts w:cs="Times New Roman"/>
                <w:color w:val="000000"/>
                <w:sz w:val="18"/>
                <w:lang w:val="cs-CZ"/>
              </w:rPr>
            </w:pPr>
          </w:p>
        </w:tc>
        <w:tc>
          <w:tcPr>
            <w:tcW w:w="393" w:type="pct"/>
            <w:vMerge/>
            <w:vAlign w:val="center"/>
            <w:hideMark/>
          </w:tcPr>
          <w:p w14:paraId="725B9EAA" w14:textId="77777777" w:rsidR="003E0F58" w:rsidRPr="007C705C" w:rsidRDefault="003E0F58" w:rsidP="004D2249">
            <w:pPr>
              <w:jc w:val="left"/>
              <w:rPr>
                <w:rFonts w:cs="Times New Roman"/>
                <w:color w:val="000000"/>
                <w:sz w:val="18"/>
                <w:lang w:val="cs-CZ"/>
              </w:rPr>
            </w:pPr>
          </w:p>
        </w:tc>
        <w:tc>
          <w:tcPr>
            <w:tcW w:w="255" w:type="pct"/>
            <w:vMerge/>
            <w:vAlign w:val="center"/>
            <w:hideMark/>
          </w:tcPr>
          <w:p w14:paraId="3FE2DAA4" w14:textId="77777777" w:rsidR="003E0F58" w:rsidRPr="007C705C" w:rsidRDefault="003E0F58" w:rsidP="004D2249">
            <w:pPr>
              <w:jc w:val="left"/>
              <w:rPr>
                <w:rFonts w:cs="Times New Roman"/>
                <w:color w:val="000000"/>
                <w:sz w:val="18"/>
                <w:lang w:val="cs-CZ"/>
              </w:rPr>
            </w:pPr>
          </w:p>
        </w:tc>
        <w:tc>
          <w:tcPr>
            <w:tcW w:w="396" w:type="pct"/>
            <w:vMerge/>
            <w:vAlign w:val="center"/>
            <w:hideMark/>
          </w:tcPr>
          <w:p w14:paraId="7CEAA6C2" w14:textId="77777777" w:rsidR="003E0F58" w:rsidRPr="007C705C" w:rsidRDefault="003E0F58" w:rsidP="004D2249">
            <w:pPr>
              <w:jc w:val="left"/>
              <w:rPr>
                <w:rFonts w:cs="Times New Roman"/>
                <w:color w:val="000000"/>
                <w:sz w:val="18"/>
                <w:lang w:val="cs-CZ"/>
              </w:rPr>
            </w:pPr>
          </w:p>
        </w:tc>
        <w:tc>
          <w:tcPr>
            <w:tcW w:w="356" w:type="pct"/>
            <w:vMerge/>
            <w:vAlign w:val="center"/>
            <w:hideMark/>
          </w:tcPr>
          <w:p w14:paraId="510C50DE" w14:textId="77777777" w:rsidR="003E0F58" w:rsidRPr="007C705C" w:rsidRDefault="003E0F58" w:rsidP="004D2249">
            <w:pPr>
              <w:jc w:val="left"/>
              <w:rPr>
                <w:rFonts w:cs="Times New Roman"/>
                <w:color w:val="000000"/>
                <w:sz w:val="18"/>
                <w:lang w:val="cs-CZ"/>
              </w:rPr>
            </w:pPr>
          </w:p>
        </w:tc>
        <w:tc>
          <w:tcPr>
            <w:tcW w:w="659" w:type="pct"/>
            <w:vMerge/>
            <w:vAlign w:val="center"/>
            <w:hideMark/>
          </w:tcPr>
          <w:p w14:paraId="6087402B" w14:textId="77777777" w:rsidR="003E0F58" w:rsidRPr="007C705C" w:rsidRDefault="003E0F58" w:rsidP="004D2249">
            <w:pPr>
              <w:jc w:val="left"/>
              <w:rPr>
                <w:rFonts w:cs="Times New Roman"/>
                <w:color w:val="000000"/>
                <w:sz w:val="18"/>
                <w:lang w:val="cs-CZ"/>
              </w:rPr>
            </w:pPr>
          </w:p>
        </w:tc>
        <w:tc>
          <w:tcPr>
            <w:tcW w:w="652" w:type="pct"/>
            <w:vMerge/>
            <w:vAlign w:val="center"/>
            <w:hideMark/>
          </w:tcPr>
          <w:p w14:paraId="3FB5A490" w14:textId="77777777" w:rsidR="003E0F58" w:rsidRPr="007C705C" w:rsidRDefault="003E0F58" w:rsidP="004D2249">
            <w:pPr>
              <w:jc w:val="left"/>
              <w:rPr>
                <w:rFonts w:cs="Times New Roman"/>
                <w:color w:val="000000"/>
                <w:sz w:val="18"/>
                <w:lang w:val="cs-CZ"/>
              </w:rPr>
            </w:pPr>
          </w:p>
        </w:tc>
        <w:tc>
          <w:tcPr>
            <w:tcW w:w="617" w:type="pct"/>
            <w:vMerge/>
            <w:vAlign w:val="center"/>
            <w:hideMark/>
          </w:tcPr>
          <w:p w14:paraId="3676F437" w14:textId="77777777" w:rsidR="003E0F58" w:rsidRPr="007C705C" w:rsidRDefault="003E0F58" w:rsidP="004D2249">
            <w:pPr>
              <w:jc w:val="left"/>
              <w:rPr>
                <w:rFonts w:cs="Times New Roman"/>
                <w:color w:val="000000"/>
                <w:sz w:val="18"/>
                <w:lang w:val="cs-CZ"/>
              </w:rPr>
            </w:pPr>
          </w:p>
        </w:tc>
        <w:tc>
          <w:tcPr>
            <w:tcW w:w="671" w:type="pct"/>
            <w:vMerge/>
            <w:vAlign w:val="center"/>
            <w:hideMark/>
          </w:tcPr>
          <w:p w14:paraId="0C83BBE6" w14:textId="77777777" w:rsidR="003E0F58" w:rsidRPr="007C705C" w:rsidRDefault="003E0F58" w:rsidP="004D2249">
            <w:pPr>
              <w:jc w:val="left"/>
              <w:rPr>
                <w:rFonts w:cs="Times New Roman"/>
                <w:color w:val="000000"/>
                <w:sz w:val="18"/>
                <w:lang w:val="cs-CZ"/>
              </w:rPr>
            </w:pPr>
          </w:p>
        </w:tc>
      </w:tr>
      <w:tr w:rsidR="003E0F58" w:rsidRPr="007C705C" w14:paraId="2ED2612C" w14:textId="77777777" w:rsidTr="004D2249">
        <w:trPr>
          <w:trHeight w:val="1005"/>
        </w:trPr>
        <w:tc>
          <w:tcPr>
            <w:tcW w:w="313" w:type="pct"/>
            <w:vMerge/>
            <w:vAlign w:val="center"/>
            <w:hideMark/>
          </w:tcPr>
          <w:p w14:paraId="14E178A6" w14:textId="77777777" w:rsidR="003E0F58" w:rsidRPr="007C705C" w:rsidRDefault="003E0F58" w:rsidP="004D2249">
            <w:pPr>
              <w:jc w:val="left"/>
              <w:rPr>
                <w:rFonts w:cs="Times New Roman"/>
                <w:color w:val="000000"/>
                <w:sz w:val="18"/>
                <w:lang w:val="cs-CZ"/>
              </w:rPr>
            </w:pPr>
          </w:p>
        </w:tc>
        <w:tc>
          <w:tcPr>
            <w:tcW w:w="383" w:type="pct"/>
            <w:vMerge/>
            <w:vAlign w:val="center"/>
            <w:hideMark/>
          </w:tcPr>
          <w:p w14:paraId="28DE46E8" w14:textId="77777777" w:rsidR="003E0F58" w:rsidRPr="007C705C" w:rsidRDefault="003E0F58" w:rsidP="004D2249">
            <w:pPr>
              <w:jc w:val="left"/>
              <w:rPr>
                <w:rFonts w:cs="Times New Roman"/>
                <w:color w:val="000000"/>
                <w:sz w:val="18"/>
                <w:lang w:val="cs-CZ"/>
              </w:rPr>
            </w:pPr>
          </w:p>
        </w:tc>
        <w:tc>
          <w:tcPr>
            <w:tcW w:w="306" w:type="pct"/>
            <w:vMerge/>
            <w:vAlign w:val="center"/>
            <w:hideMark/>
          </w:tcPr>
          <w:p w14:paraId="7252FA82" w14:textId="77777777" w:rsidR="003E0F58" w:rsidRPr="007C705C" w:rsidRDefault="003E0F58" w:rsidP="004D2249">
            <w:pPr>
              <w:jc w:val="left"/>
              <w:rPr>
                <w:rFonts w:cs="Times New Roman"/>
                <w:color w:val="000000"/>
                <w:sz w:val="18"/>
                <w:lang w:val="cs-CZ"/>
              </w:rPr>
            </w:pPr>
          </w:p>
        </w:tc>
        <w:tc>
          <w:tcPr>
            <w:tcW w:w="393" w:type="pct"/>
            <w:vMerge/>
            <w:vAlign w:val="center"/>
            <w:hideMark/>
          </w:tcPr>
          <w:p w14:paraId="74615153" w14:textId="77777777" w:rsidR="003E0F58" w:rsidRPr="007C705C" w:rsidRDefault="003E0F58" w:rsidP="004D2249">
            <w:pPr>
              <w:jc w:val="left"/>
              <w:rPr>
                <w:rFonts w:cs="Times New Roman"/>
                <w:color w:val="000000"/>
                <w:sz w:val="18"/>
                <w:lang w:val="cs-CZ"/>
              </w:rPr>
            </w:pPr>
          </w:p>
        </w:tc>
        <w:tc>
          <w:tcPr>
            <w:tcW w:w="255" w:type="pct"/>
            <w:vMerge/>
            <w:vAlign w:val="center"/>
            <w:hideMark/>
          </w:tcPr>
          <w:p w14:paraId="5479BFFB" w14:textId="77777777" w:rsidR="003E0F58" w:rsidRPr="007C705C" w:rsidRDefault="003E0F58" w:rsidP="004D2249">
            <w:pPr>
              <w:jc w:val="left"/>
              <w:rPr>
                <w:rFonts w:cs="Times New Roman"/>
                <w:color w:val="000000"/>
                <w:sz w:val="18"/>
                <w:lang w:val="cs-CZ"/>
              </w:rPr>
            </w:pPr>
          </w:p>
        </w:tc>
        <w:tc>
          <w:tcPr>
            <w:tcW w:w="396" w:type="pct"/>
            <w:vMerge/>
            <w:vAlign w:val="center"/>
            <w:hideMark/>
          </w:tcPr>
          <w:p w14:paraId="5DC6F080" w14:textId="77777777" w:rsidR="003E0F58" w:rsidRPr="007C705C" w:rsidRDefault="003E0F58" w:rsidP="004D2249">
            <w:pPr>
              <w:jc w:val="left"/>
              <w:rPr>
                <w:rFonts w:cs="Times New Roman"/>
                <w:color w:val="000000"/>
                <w:sz w:val="18"/>
                <w:lang w:val="cs-CZ"/>
              </w:rPr>
            </w:pPr>
          </w:p>
        </w:tc>
        <w:tc>
          <w:tcPr>
            <w:tcW w:w="356" w:type="pct"/>
            <w:vMerge/>
            <w:vAlign w:val="center"/>
            <w:hideMark/>
          </w:tcPr>
          <w:p w14:paraId="3405430E" w14:textId="77777777" w:rsidR="003E0F58" w:rsidRPr="007C705C" w:rsidRDefault="003E0F58" w:rsidP="004D2249">
            <w:pPr>
              <w:jc w:val="left"/>
              <w:rPr>
                <w:rFonts w:cs="Times New Roman"/>
                <w:color w:val="000000"/>
                <w:sz w:val="18"/>
                <w:lang w:val="cs-CZ"/>
              </w:rPr>
            </w:pPr>
          </w:p>
        </w:tc>
        <w:tc>
          <w:tcPr>
            <w:tcW w:w="659" w:type="pct"/>
            <w:vMerge/>
            <w:vAlign w:val="center"/>
            <w:hideMark/>
          </w:tcPr>
          <w:p w14:paraId="48EA40C9" w14:textId="77777777" w:rsidR="003E0F58" w:rsidRPr="007C705C" w:rsidRDefault="003E0F58" w:rsidP="004D2249">
            <w:pPr>
              <w:jc w:val="left"/>
              <w:rPr>
                <w:rFonts w:cs="Times New Roman"/>
                <w:color w:val="000000"/>
                <w:sz w:val="18"/>
                <w:lang w:val="cs-CZ"/>
              </w:rPr>
            </w:pPr>
          </w:p>
        </w:tc>
        <w:tc>
          <w:tcPr>
            <w:tcW w:w="652" w:type="pct"/>
            <w:vMerge/>
            <w:vAlign w:val="center"/>
            <w:hideMark/>
          </w:tcPr>
          <w:p w14:paraId="5DC42A8C" w14:textId="77777777" w:rsidR="003E0F58" w:rsidRPr="007C705C" w:rsidRDefault="003E0F58" w:rsidP="004D2249">
            <w:pPr>
              <w:jc w:val="left"/>
              <w:rPr>
                <w:rFonts w:cs="Times New Roman"/>
                <w:color w:val="000000"/>
                <w:sz w:val="18"/>
                <w:lang w:val="cs-CZ"/>
              </w:rPr>
            </w:pPr>
          </w:p>
        </w:tc>
        <w:tc>
          <w:tcPr>
            <w:tcW w:w="617" w:type="pct"/>
            <w:vMerge/>
            <w:vAlign w:val="center"/>
            <w:hideMark/>
          </w:tcPr>
          <w:p w14:paraId="49A11A4B" w14:textId="77777777" w:rsidR="003E0F58" w:rsidRPr="007C705C" w:rsidRDefault="003E0F58" w:rsidP="004D2249">
            <w:pPr>
              <w:jc w:val="left"/>
              <w:rPr>
                <w:rFonts w:cs="Times New Roman"/>
                <w:color w:val="000000"/>
                <w:sz w:val="18"/>
                <w:lang w:val="cs-CZ"/>
              </w:rPr>
            </w:pPr>
          </w:p>
        </w:tc>
        <w:tc>
          <w:tcPr>
            <w:tcW w:w="671" w:type="pct"/>
            <w:vMerge/>
            <w:vAlign w:val="center"/>
            <w:hideMark/>
          </w:tcPr>
          <w:p w14:paraId="447A9C7E" w14:textId="77777777" w:rsidR="003E0F58" w:rsidRPr="007C705C" w:rsidRDefault="003E0F58" w:rsidP="004D2249">
            <w:pPr>
              <w:jc w:val="left"/>
              <w:rPr>
                <w:rFonts w:cs="Times New Roman"/>
                <w:color w:val="000000"/>
                <w:sz w:val="18"/>
                <w:lang w:val="cs-CZ"/>
              </w:rPr>
            </w:pPr>
          </w:p>
        </w:tc>
      </w:tr>
      <w:tr w:rsidR="003E0F58" w:rsidRPr="007C705C" w14:paraId="23032E60" w14:textId="77777777" w:rsidTr="004D2249">
        <w:trPr>
          <w:trHeight w:val="1005"/>
        </w:trPr>
        <w:tc>
          <w:tcPr>
            <w:tcW w:w="313" w:type="pct"/>
            <w:vMerge/>
            <w:vAlign w:val="center"/>
            <w:hideMark/>
          </w:tcPr>
          <w:p w14:paraId="57E68ED4" w14:textId="77777777" w:rsidR="003E0F58" w:rsidRPr="007C705C" w:rsidRDefault="003E0F58" w:rsidP="004D2249">
            <w:pPr>
              <w:jc w:val="left"/>
              <w:rPr>
                <w:rFonts w:cs="Times New Roman"/>
                <w:color w:val="000000"/>
                <w:sz w:val="18"/>
                <w:lang w:val="cs-CZ"/>
              </w:rPr>
            </w:pPr>
          </w:p>
        </w:tc>
        <w:tc>
          <w:tcPr>
            <w:tcW w:w="383" w:type="pct"/>
            <w:vMerge/>
            <w:vAlign w:val="center"/>
            <w:hideMark/>
          </w:tcPr>
          <w:p w14:paraId="43023D8C" w14:textId="77777777" w:rsidR="003E0F58" w:rsidRPr="007C705C" w:rsidRDefault="003E0F58" w:rsidP="004D2249">
            <w:pPr>
              <w:jc w:val="left"/>
              <w:rPr>
                <w:rFonts w:cs="Times New Roman"/>
                <w:color w:val="000000"/>
                <w:sz w:val="18"/>
                <w:lang w:val="cs-CZ"/>
              </w:rPr>
            </w:pPr>
          </w:p>
        </w:tc>
        <w:tc>
          <w:tcPr>
            <w:tcW w:w="306" w:type="pct"/>
            <w:vMerge/>
            <w:vAlign w:val="center"/>
            <w:hideMark/>
          </w:tcPr>
          <w:p w14:paraId="47FFF83A" w14:textId="77777777" w:rsidR="003E0F58" w:rsidRPr="007C705C" w:rsidRDefault="003E0F58" w:rsidP="004D2249">
            <w:pPr>
              <w:jc w:val="left"/>
              <w:rPr>
                <w:rFonts w:cs="Times New Roman"/>
                <w:color w:val="000000"/>
                <w:sz w:val="18"/>
                <w:lang w:val="cs-CZ"/>
              </w:rPr>
            </w:pPr>
          </w:p>
        </w:tc>
        <w:tc>
          <w:tcPr>
            <w:tcW w:w="393" w:type="pct"/>
            <w:vMerge/>
            <w:vAlign w:val="center"/>
            <w:hideMark/>
          </w:tcPr>
          <w:p w14:paraId="41E2B724" w14:textId="77777777" w:rsidR="003E0F58" w:rsidRPr="007C705C" w:rsidRDefault="003E0F58" w:rsidP="004D2249">
            <w:pPr>
              <w:jc w:val="left"/>
              <w:rPr>
                <w:rFonts w:cs="Times New Roman"/>
                <w:color w:val="000000"/>
                <w:sz w:val="18"/>
                <w:lang w:val="cs-CZ"/>
              </w:rPr>
            </w:pPr>
          </w:p>
        </w:tc>
        <w:tc>
          <w:tcPr>
            <w:tcW w:w="255" w:type="pct"/>
            <w:vMerge/>
            <w:vAlign w:val="center"/>
            <w:hideMark/>
          </w:tcPr>
          <w:p w14:paraId="3198B366" w14:textId="77777777" w:rsidR="003E0F58" w:rsidRPr="007C705C" w:rsidRDefault="003E0F58" w:rsidP="004D2249">
            <w:pPr>
              <w:jc w:val="left"/>
              <w:rPr>
                <w:rFonts w:cs="Times New Roman"/>
                <w:color w:val="000000"/>
                <w:sz w:val="18"/>
                <w:lang w:val="cs-CZ"/>
              </w:rPr>
            </w:pPr>
          </w:p>
        </w:tc>
        <w:tc>
          <w:tcPr>
            <w:tcW w:w="396" w:type="pct"/>
            <w:vMerge/>
            <w:vAlign w:val="center"/>
            <w:hideMark/>
          </w:tcPr>
          <w:p w14:paraId="4A27294B" w14:textId="77777777" w:rsidR="003E0F58" w:rsidRPr="007C705C" w:rsidRDefault="003E0F58" w:rsidP="004D2249">
            <w:pPr>
              <w:jc w:val="left"/>
              <w:rPr>
                <w:rFonts w:cs="Times New Roman"/>
                <w:color w:val="000000"/>
                <w:sz w:val="18"/>
                <w:lang w:val="cs-CZ"/>
              </w:rPr>
            </w:pPr>
          </w:p>
        </w:tc>
        <w:tc>
          <w:tcPr>
            <w:tcW w:w="356" w:type="pct"/>
            <w:vMerge/>
            <w:vAlign w:val="center"/>
            <w:hideMark/>
          </w:tcPr>
          <w:p w14:paraId="5B6808E6" w14:textId="77777777" w:rsidR="003E0F58" w:rsidRPr="007C705C" w:rsidRDefault="003E0F58" w:rsidP="004D2249">
            <w:pPr>
              <w:jc w:val="left"/>
              <w:rPr>
                <w:rFonts w:cs="Times New Roman"/>
                <w:color w:val="000000"/>
                <w:sz w:val="18"/>
                <w:lang w:val="cs-CZ"/>
              </w:rPr>
            </w:pPr>
          </w:p>
        </w:tc>
        <w:tc>
          <w:tcPr>
            <w:tcW w:w="659" w:type="pct"/>
            <w:vMerge/>
            <w:vAlign w:val="center"/>
            <w:hideMark/>
          </w:tcPr>
          <w:p w14:paraId="412A338D" w14:textId="77777777" w:rsidR="003E0F58" w:rsidRPr="007C705C" w:rsidRDefault="003E0F58" w:rsidP="004D2249">
            <w:pPr>
              <w:jc w:val="left"/>
              <w:rPr>
                <w:rFonts w:cs="Times New Roman"/>
                <w:color w:val="000000"/>
                <w:sz w:val="18"/>
                <w:lang w:val="cs-CZ"/>
              </w:rPr>
            </w:pPr>
          </w:p>
        </w:tc>
        <w:tc>
          <w:tcPr>
            <w:tcW w:w="652" w:type="pct"/>
            <w:vMerge/>
            <w:vAlign w:val="center"/>
            <w:hideMark/>
          </w:tcPr>
          <w:p w14:paraId="0B087374" w14:textId="77777777" w:rsidR="003E0F58" w:rsidRPr="007C705C" w:rsidRDefault="003E0F58" w:rsidP="004D2249">
            <w:pPr>
              <w:jc w:val="left"/>
              <w:rPr>
                <w:rFonts w:cs="Times New Roman"/>
                <w:color w:val="000000"/>
                <w:sz w:val="18"/>
                <w:lang w:val="cs-CZ"/>
              </w:rPr>
            </w:pPr>
          </w:p>
        </w:tc>
        <w:tc>
          <w:tcPr>
            <w:tcW w:w="617" w:type="pct"/>
            <w:vMerge/>
            <w:vAlign w:val="center"/>
            <w:hideMark/>
          </w:tcPr>
          <w:p w14:paraId="5E41EAB4" w14:textId="77777777" w:rsidR="003E0F58" w:rsidRPr="007C705C" w:rsidRDefault="003E0F58" w:rsidP="004D2249">
            <w:pPr>
              <w:jc w:val="left"/>
              <w:rPr>
                <w:rFonts w:cs="Times New Roman"/>
                <w:color w:val="000000"/>
                <w:sz w:val="18"/>
                <w:lang w:val="cs-CZ"/>
              </w:rPr>
            </w:pPr>
          </w:p>
        </w:tc>
        <w:tc>
          <w:tcPr>
            <w:tcW w:w="671" w:type="pct"/>
            <w:vMerge/>
            <w:vAlign w:val="center"/>
            <w:hideMark/>
          </w:tcPr>
          <w:p w14:paraId="21D5D2C2" w14:textId="77777777" w:rsidR="003E0F58" w:rsidRPr="007C705C" w:rsidRDefault="003E0F58" w:rsidP="004D2249">
            <w:pPr>
              <w:jc w:val="left"/>
              <w:rPr>
                <w:rFonts w:cs="Times New Roman"/>
                <w:color w:val="000000"/>
                <w:sz w:val="18"/>
                <w:lang w:val="cs-CZ"/>
              </w:rPr>
            </w:pPr>
          </w:p>
        </w:tc>
      </w:tr>
      <w:tr w:rsidR="003E0F58" w:rsidRPr="007C705C" w14:paraId="36A350FF" w14:textId="77777777" w:rsidTr="004D2249">
        <w:trPr>
          <w:trHeight w:val="1005"/>
        </w:trPr>
        <w:tc>
          <w:tcPr>
            <w:tcW w:w="313" w:type="pct"/>
            <w:vMerge/>
            <w:vAlign w:val="center"/>
            <w:hideMark/>
          </w:tcPr>
          <w:p w14:paraId="4C16E0CE" w14:textId="77777777" w:rsidR="003E0F58" w:rsidRPr="007C705C" w:rsidRDefault="003E0F58" w:rsidP="004D2249">
            <w:pPr>
              <w:jc w:val="left"/>
              <w:rPr>
                <w:rFonts w:cs="Times New Roman"/>
                <w:color w:val="000000"/>
                <w:sz w:val="18"/>
                <w:lang w:val="cs-CZ"/>
              </w:rPr>
            </w:pPr>
          </w:p>
        </w:tc>
        <w:tc>
          <w:tcPr>
            <w:tcW w:w="383" w:type="pct"/>
            <w:vMerge/>
            <w:vAlign w:val="center"/>
            <w:hideMark/>
          </w:tcPr>
          <w:p w14:paraId="24BB2710" w14:textId="77777777" w:rsidR="003E0F58" w:rsidRPr="007C705C" w:rsidRDefault="003E0F58" w:rsidP="004D2249">
            <w:pPr>
              <w:jc w:val="left"/>
              <w:rPr>
                <w:rFonts w:cs="Times New Roman"/>
                <w:color w:val="000000"/>
                <w:sz w:val="18"/>
                <w:lang w:val="cs-CZ"/>
              </w:rPr>
            </w:pPr>
          </w:p>
        </w:tc>
        <w:tc>
          <w:tcPr>
            <w:tcW w:w="306" w:type="pct"/>
            <w:vMerge/>
            <w:vAlign w:val="center"/>
            <w:hideMark/>
          </w:tcPr>
          <w:p w14:paraId="3AD65DB1" w14:textId="77777777" w:rsidR="003E0F58" w:rsidRPr="007C705C" w:rsidRDefault="003E0F58" w:rsidP="004D2249">
            <w:pPr>
              <w:jc w:val="left"/>
              <w:rPr>
                <w:rFonts w:cs="Times New Roman"/>
                <w:color w:val="000000"/>
                <w:sz w:val="18"/>
                <w:lang w:val="cs-CZ"/>
              </w:rPr>
            </w:pPr>
          </w:p>
        </w:tc>
        <w:tc>
          <w:tcPr>
            <w:tcW w:w="393" w:type="pct"/>
            <w:vMerge/>
            <w:vAlign w:val="center"/>
            <w:hideMark/>
          </w:tcPr>
          <w:p w14:paraId="4CD510B6" w14:textId="77777777" w:rsidR="003E0F58" w:rsidRPr="007C705C" w:rsidRDefault="003E0F58" w:rsidP="004D2249">
            <w:pPr>
              <w:jc w:val="left"/>
              <w:rPr>
                <w:rFonts w:cs="Times New Roman"/>
                <w:color w:val="000000"/>
                <w:sz w:val="18"/>
                <w:lang w:val="cs-CZ"/>
              </w:rPr>
            </w:pPr>
          </w:p>
        </w:tc>
        <w:tc>
          <w:tcPr>
            <w:tcW w:w="255" w:type="pct"/>
            <w:vMerge/>
            <w:vAlign w:val="center"/>
            <w:hideMark/>
          </w:tcPr>
          <w:p w14:paraId="24EF05EA" w14:textId="77777777" w:rsidR="003E0F58" w:rsidRPr="007C705C" w:rsidRDefault="003E0F58" w:rsidP="004D2249">
            <w:pPr>
              <w:jc w:val="left"/>
              <w:rPr>
                <w:rFonts w:cs="Times New Roman"/>
                <w:color w:val="000000"/>
                <w:sz w:val="18"/>
                <w:lang w:val="cs-CZ"/>
              </w:rPr>
            </w:pPr>
          </w:p>
        </w:tc>
        <w:tc>
          <w:tcPr>
            <w:tcW w:w="396" w:type="pct"/>
            <w:vMerge/>
            <w:vAlign w:val="center"/>
            <w:hideMark/>
          </w:tcPr>
          <w:p w14:paraId="00C295CA" w14:textId="77777777" w:rsidR="003E0F58" w:rsidRPr="007C705C" w:rsidRDefault="003E0F58" w:rsidP="004D2249">
            <w:pPr>
              <w:jc w:val="left"/>
              <w:rPr>
                <w:rFonts w:cs="Times New Roman"/>
                <w:color w:val="000000"/>
                <w:sz w:val="18"/>
                <w:lang w:val="cs-CZ"/>
              </w:rPr>
            </w:pPr>
          </w:p>
        </w:tc>
        <w:tc>
          <w:tcPr>
            <w:tcW w:w="356" w:type="pct"/>
            <w:vMerge/>
            <w:vAlign w:val="center"/>
            <w:hideMark/>
          </w:tcPr>
          <w:p w14:paraId="43F90734" w14:textId="77777777" w:rsidR="003E0F58" w:rsidRPr="007C705C" w:rsidRDefault="003E0F58" w:rsidP="004D2249">
            <w:pPr>
              <w:jc w:val="left"/>
              <w:rPr>
                <w:rFonts w:cs="Times New Roman"/>
                <w:color w:val="000000"/>
                <w:sz w:val="18"/>
                <w:lang w:val="cs-CZ"/>
              </w:rPr>
            </w:pPr>
          </w:p>
        </w:tc>
        <w:tc>
          <w:tcPr>
            <w:tcW w:w="659" w:type="pct"/>
            <w:vMerge/>
            <w:vAlign w:val="center"/>
            <w:hideMark/>
          </w:tcPr>
          <w:p w14:paraId="43961ECC" w14:textId="77777777" w:rsidR="003E0F58" w:rsidRPr="007C705C" w:rsidRDefault="003E0F58" w:rsidP="004D2249">
            <w:pPr>
              <w:jc w:val="left"/>
              <w:rPr>
                <w:rFonts w:cs="Times New Roman"/>
                <w:color w:val="000000"/>
                <w:sz w:val="18"/>
                <w:lang w:val="cs-CZ"/>
              </w:rPr>
            </w:pPr>
          </w:p>
        </w:tc>
        <w:tc>
          <w:tcPr>
            <w:tcW w:w="652" w:type="pct"/>
            <w:vMerge/>
            <w:vAlign w:val="center"/>
            <w:hideMark/>
          </w:tcPr>
          <w:p w14:paraId="7128534B" w14:textId="77777777" w:rsidR="003E0F58" w:rsidRPr="007C705C" w:rsidRDefault="003E0F58" w:rsidP="004D2249">
            <w:pPr>
              <w:jc w:val="left"/>
              <w:rPr>
                <w:rFonts w:cs="Times New Roman"/>
                <w:color w:val="000000"/>
                <w:sz w:val="18"/>
                <w:lang w:val="cs-CZ"/>
              </w:rPr>
            </w:pPr>
          </w:p>
        </w:tc>
        <w:tc>
          <w:tcPr>
            <w:tcW w:w="617" w:type="pct"/>
            <w:vMerge/>
            <w:vAlign w:val="center"/>
            <w:hideMark/>
          </w:tcPr>
          <w:p w14:paraId="3310669F" w14:textId="77777777" w:rsidR="003E0F58" w:rsidRPr="007C705C" w:rsidRDefault="003E0F58" w:rsidP="004D2249">
            <w:pPr>
              <w:jc w:val="left"/>
              <w:rPr>
                <w:rFonts w:cs="Times New Roman"/>
                <w:color w:val="000000"/>
                <w:sz w:val="18"/>
                <w:lang w:val="cs-CZ"/>
              </w:rPr>
            </w:pPr>
          </w:p>
        </w:tc>
        <w:tc>
          <w:tcPr>
            <w:tcW w:w="671" w:type="pct"/>
            <w:vMerge/>
            <w:vAlign w:val="center"/>
            <w:hideMark/>
          </w:tcPr>
          <w:p w14:paraId="173DBDB4" w14:textId="77777777" w:rsidR="003E0F58" w:rsidRPr="007C705C" w:rsidRDefault="003E0F58" w:rsidP="004D2249">
            <w:pPr>
              <w:jc w:val="left"/>
              <w:rPr>
                <w:rFonts w:cs="Times New Roman"/>
                <w:color w:val="000000"/>
                <w:sz w:val="18"/>
                <w:lang w:val="cs-CZ"/>
              </w:rPr>
            </w:pPr>
          </w:p>
        </w:tc>
      </w:tr>
      <w:tr w:rsidR="003E0F58" w:rsidRPr="007C705C" w14:paraId="14911D2F" w14:textId="77777777" w:rsidTr="004D2249">
        <w:trPr>
          <w:trHeight w:val="1005"/>
        </w:trPr>
        <w:tc>
          <w:tcPr>
            <w:tcW w:w="313" w:type="pct"/>
            <w:vMerge/>
            <w:vAlign w:val="center"/>
            <w:hideMark/>
          </w:tcPr>
          <w:p w14:paraId="32671FBA" w14:textId="77777777" w:rsidR="003E0F58" w:rsidRPr="007C705C" w:rsidRDefault="003E0F58" w:rsidP="004D2249">
            <w:pPr>
              <w:jc w:val="left"/>
              <w:rPr>
                <w:rFonts w:cs="Times New Roman"/>
                <w:color w:val="000000"/>
                <w:sz w:val="18"/>
                <w:lang w:val="cs-CZ"/>
              </w:rPr>
            </w:pPr>
          </w:p>
        </w:tc>
        <w:tc>
          <w:tcPr>
            <w:tcW w:w="383" w:type="pct"/>
            <w:vMerge/>
            <w:vAlign w:val="center"/>
            <w:hideMark/>
          </w:tcPr>
          <w:p w14:paraId="3938FB49" w14:textId="77777777" w:rsidR="003E0F58" w:rsidRPr="007C705C" w:rsidRDefault="003E0F58" w:rsidP="004D2249">
            <w:pPr>
              <w:jc w:val="left"/>
              <w:rPr>
                <w:rFonts w:cs="Times New Roman"/>
                <w:color w:val="000000"/>
                <w:sz w:val="18"/>
                <w:lang w:val="cs-CZ"/>
              </w:rPr>
            </w:pPr>
          </w:p>
        </w:tc>
        <w:tc>
          <w:tcPr>
            <w:tcW w:w="306" w:type="pct"/>
            <w:vMerge/>
            <w:vAlign w:val="center"/>
            <w:hideMark/>
          </w:tcPr>
          <w:p w14:paraId="5A0CFBC1" w14:textId="77777777" w:rsidR="003E0F58" w:rsidRPr="007C705C" w:rsidRDefault="003E0F58" w:rsidP="004D2249">
            <w:pPr>
              <w:jc w:val="left"/>
              <w:rPr>
                <w:rFonts w:cs="Times New Roman"/>
                <w:color w:val="000000"/>
                <w:sz w:val="18"/>
                <w:lang w:val="cs-CZ"/>
              </w:rPr>
            </w:pPr>
          </w:p>
        </w:tc>
        <w:tc>
          <w:tcPr>
            <w:tcW w:w="393" w:type="pct"/>
            <w:vMerge/>
            <w:vAlign w:val="center"/>
            <w:hideMark/>
          </w:tcPr>
          <w:p w14:paraId="3F230BF5" w14:textId="77777777" w:rsidR="003E0F58" w:rsidRPr="007C705C" w:rsidRDefault="003E0F58" w:rsidP="004D2249">
            <w:pPr>
              <w:jc w:val="left"/>
              <w:rPr>
                <w:rFonts w:cs="Times New Roman"/>
                <w:color w:val="000000"/>
                <w:sz w:val="18"/>
                <w:lang w:val="cs-CZ"/>
              </w:rPr>
            </w:pPr>
          </w:p>
        </w:tc>
        <w:tc>
          <w:tcPr>
            <w:tcW w:w="255" w:type="pct"/>
            <w:vMerge/>
            <w:vAlign w:val="center"/>
            <w:hideMark/>
          </w:tcPr>
          <w:p w14:paraId="3E8E7E9C" w14:textId="77777777" w:rsidR="003E0F58" w:rsidRPr="007C705C" w:rsidRDefault="003E0F58" w:rsidP="004D2249">
            <w:pPr>
              <w:jc w:val="left"/>
              <w:rPr>
                <w:rFonts w:cs="Times New Roman"/>
                <w:color w:val="000000"/>
                <w:sz w:val="18"/>
                <w:lang w:val="cs-CZ"/>
              </w:rPr>
            </w:pPr>
          </w:p>
        </w:tc>
        <w:tc>
          <w:tcPr>
            <w:tcW w:w="396" w:type="pct"/>
            <w:vMerge/>
            <w:vAlign w:val="center"/>
            <w:hideMark/>
          </w:tcPr>
          <w:p w14:paraId="7B9C00E2" w14:textId="77777777" w:rsidR="003E0F58" w:rsidRPr="007C705C" w:rsidRDefault="003E0F58" w:rsidP="004D2249">
            <w:pPr>
              <w:jc w:val="left"/>
              <w:rPr>
                <w:rFonts w:cs="Times New Roman"/>
                <w:color w:val="000000"/>
                <w:sz w:val="18"/>
                <w:lang w:val="cs-CZ"/>
              </w:rPr>
            </w:pPr>
          </w:p>
        </w:tc>
        <w:tc>
          <w:tcPr>
            <w:tcW w:w="356" w:type="pct"/>
            <w:vMerge/>
            <w:vAlign w:val="center"/>
            <w:hideMark/>
          </w:tcPr>
          <w:p w14:paraId="2ADAD29E" w14:textId="77777777" w:rsidR="003E0F58" w:rsidRPr="007C705C" w:rsidRDefault="003E0F58" w:rsidP="004D2249">
            <w:pPr>
              <w:jc w:val="left"/>
              <w:rPr>
                <w:rFonts w:cs="Times New Roman"/>
                <w:color w:val="000000"/>
                <w:sz w:val="18"/>
                <w:lang w:val="cs-CZ"/>
              </w:rPr>
            </w:pPr>
          </w:p>
        </w:tc>
        <w:tc>
          <w:tcPr>
            <w:tcW w:w="659" w:type="pct"/>
            <w:vMerge/>
            <w:vAlign w:val="center"/>
            <w:hideMark/>
          </w:tcPr>
          <w:p w14:paraId="27CEBC42" w14:textId="77777777" w:rsidR="003E0F58" w:rsidRPr="007C705C" w:rsidRDefault="003E0F58" w:rsidP="004D2249">
            <w:pPr>
              <w:jc w:val="left"/>
              <w:rPr>
                <w:rFonts w:cs="Times New Roman"/>
                <w:color w:val="000000"/>
                <w:sz w:val="18"/>
                <w:lang w:val="cs-CZ"/>
              </w:rPr>
            </w:pPr>
          </w:p>
        </w:tc>
        <w:tc>
          <w:tcPr>
            <w:tcW w:w="652" w:type="pct"/>
            <w:vMerge/>
            <w:vAlign w:val="center"/>
            <w:hideMark/>
          </w:tcPr>
          <w:p w14:paraId="4119070B" w14:textId="77777777" w:rsidR="003E0F58" w:rsidRPr="007C705C" w:rsidRDefault="003E0F58" w:rsidP="004D2249">
            <w:pPr>
              <w:jc w:val="left"/>
              <w:rPr>
                <w:rFonts w:cs="Times New Roman"/>
                <w:color w:val="000000"/>
                <w:sz w:val="18"/>
                <w:lang w:val="cs-CZ"/>
              </w:rPr>
            </w:pPr>
          </w:p>
        </w:tc>
        <w:tc>
          <w:tcPr>
            <w:tcW w:w="617" w:type="pct"/>
            <w:vMerge/>
            <w:vAlign w:val="center"/>
            <w:hideMark/>
          </w:tcPr>
          <w:p w14:paraId="78300D61" w14:textId="77777777" w:rsidR="003E0F58" w:rsidRPr="007C705C" w:rsidRDefault="003E0F58" w:rsidP="004D2249">
            <w:pPr>
              <w:jc w:val="left"/>
              <w:rPr>
                <w:rFonts w:cs="Times New Roman"/>
                <w:color w:val="000000"/>
                <w:sz w:val="18"/>
                <w:lang w:val="cs-CZ"/>
              </w:rPr>
            </w:pPr>
          </w:p>
        </w:tc>
        <w:tc>
          <w:tcPr>
            <w:tcW w:w="671" w:type="pct"/>
            <w:vMerge/>
            <w:vAlign w:val="center"/>
            <w:hideMark/>
          </w:tcPr>
          <w:p w14:paraId="667E4104" w14:textId="77777777" w:rsidR="003E0F58" w:rsidRPr="007C705C" w:rsidRDefault="003E0F58" w:rsidP="004D2249">
            <w:pPr>
              <w:jc w:val="left"/>
              <w:rPr>
                <w:rFonts w:cs="Times New Roman"/>
                <w:color w:val="000000"/>
                <w:sz w:val="18"/>
                <w:lang w:val="cs-CZ"/>
              </w:rPr>
            </w:pPr>
          </w:p>
        </w:tc>
      </w:tr>
    </w:tbl>
    <w:p w14:paraId="1E1948AD" w14:textId="77777777" w:rsidR="003E0F58" w:rsidRPr="007C705C" w:rsidRDefault="003E0F58" w:rsidP="00D726A3">
      <w:pPr>
        <w:pStyle w:val="UZEIZdroj"/>
      </w:pPr>
      <w:r w:rsidRPr="007C705C">
        <w:t>Zdroj: VÚMOP v.v.i. 2018</w:t>
      </w:r>
    </w:p>
    <w:p w14:paraId="4B05DBF4" w14:textId="77777777" w:rsidR="003E0F58" w:rsidRPr="007C705C" w:rsidRDefault="003E0F58" w:rsidP="008A1AE3">
      <w:pPr>
        <w:pStyle w:val="Nadpis1"/>
        <w:keepLines w:val="0"/>
        <w:numPr>
          <w:ilvl w:val="1"/>
          <w:numId w:val="32"/>
        </w:numPr>
        <w:spacing w:before="480" w:after="0" w:line="360" w:lineRule="atLeast"/>
        <w:jc w:val="left"/>
        <w:sectPr w:rsidR="003E0F58" w:rsidRPr="007C705C" w:rsidSect="004D2249">
          <w:headerReference w:type="even" r:id="rId73"/>
          <w:headerReference w:type="default" r:id="rId74"/>
          <w:headerReference w:type="first" r:id="rId75"/>
          <w:footerReference w:type="first" r:id="rId76"/>
          <w:pgSz w:w="16838" w:h="11906" w:orient="landscape"/>
          <w:pgMar w:top="1417" w:right="1417" w:bottom="1417" w:left="1417" w:header="708" w:footer="708" w:gutter="0"/>
          <w:cols w:space="708"/>
          <w:titlePg/>
          <w:docGrid w:linePitch="360"/>
        </w:sectPr>
      </w:pPr>
    </w:p>
    <w:p w14:paraId="3AD407F1" w14:textId="77777777" w:rsidR="003E0F58" w:rsidRPr="007C705C" w:rsidRDefault="003E0F58" w:rsidP="00C073DE">
      <w:pPr>
        <w:pStyle w:val="UZEINadpis2stbezsla"/>
      </w:pPr>
      <w:bookmarkStart w:id="621" w:name="_Ref523146276"/>
      <w:bookmarkStart w:id="622" w:name="_Ref523146282"/>
      <w:bookmarkStart w:id="623" w:name="_Toc523146654"/>
      <w:bookmarkStart w:id="624" w:name="_Toc77245908"/>
      <w:bookmarkStart w:id="625" w:name="_Toc81343114"/>
      <w:bookmarkStart w:id="626" w:name="_Toc81343177"/>
      <w:bookmarkStart w:id="627" w:name="_Toc81343246"/>
      <w:r w:rsidRPr="007C705C">
        <w:lastRenderedPageBreak/>
        <w:t>Nevyužitý potenciál a neefektivní výroba energií z OZE v zemědělství a lesnictví</w:t>
      </w:r>
      <w:bookmarkEnd w:id="621"/>
      <w:bookmarkEnd w:id="622"/>
      <w:bookmarkEnd w:id="623"/>
      <w:bookmarkEnd w:id="624"/>
      <w:bookmarkEnd w:id="625"/>
      <w:bookmarkEnd w:id="626"/>
      <w:bookmarkEnd w:id="627"/>
    </w:p>
    <w:p w14:paraId="73417C65" w14:textId="77777777" w:rsidR="003E0F58" w:rsidRPr="007C705C" w:rsidRDefault="003E0F58" w:rsidP="00D726A3">
      <w:pPr>
        <w:pStyle w:val="UZEINormaln"/>
        <w:rPr>
          <w:rFonts w:eastAsiaTheme="minorEastAsia"/>
        </w:rPr>
      </w:pPr>
      <w:r w:rsidRPr="007C705C">
        <w:rPr>
          <w:rFonts w:eastAsiaTheme="minorEastAsia"/>
        </w:rPr>
        <w:t>Problémy, jejich rozsah a závažnost souhrnně níže v textu:</w:t>
      </w:r>
    </w:p>
    <w:p w14:paraId="324E1259" w14:textId="77777777" w:rsidR="003E0F58" w:rsidRPr="007C705C" w:rsidRDefault="003E0F58" w:rsidP="00D726A3">
      <w:pPr>
        <w:pStyle w:val="UZEIOdrky"/>
        <w:rPr>
          <w:rFonts w:eastAsiaTheme="minorEastAsia"/>
        </w:rPr>
      </w:pPr>
      <w:r w:rsidRPr="007C705C">
        <w:rPr>
          <w:rFonts w:eastAsiaTheme="minorEastAsia"/>
        </w:rPr>
        <w:t>Stagnující nárůst podílu biomasy na výrobě energie z OZE</w:t>
      </w:r>
    </w:p>
    <w:p w14:paraId="7822AA48" w14:textId="77777777" w:rsidR="003E0F58" w:rsidRPr="007C705C" w:rsidRDefault="003E0F58" w:rsidP="00D726A3">
      <w:pPr>
        <w:pStyle w:val="UZEIOdrky"/>
        <w:rPr>
          <w:rFonts w:eastAsiaTheme="minorEastAsia"/>
        </w:rPr>
      </w:pPr>
      <w:r w:rsidRPr="007C705C">
        <w:rPr>
          <w:rFonts w:eastAsiaTheme="minorEastAsia"/>
        </w:rPr>
        <w:t>Nedostatečná produkce cíleně pěstované energetické biomasy s nízkým rizikem půdní eroze (traviny, jeteloviny, luskoviny a případně další druhy plodin nebo jejich směsi využitelné v energetice, rychle rostoucí dřeviny – RRD)</w:t>
      </w:r>
    </w:p>
    <w:p w14:paraId="64EB9712" w14:textId="77777777" w:rsidR="003E0F58" w:rsidRPr="007C705C" w:rsidRDefault="003E0F58" w:rsidP="00D726A3">
      <w:pPr>
        <w:pStyle w:val="UZEIOdrky"/>
        <w:rPr>
          <w:rFonts w:eastAsiaTheme="minorEastAsia"/>
        </w:rPr>
      </w:pPr>
      <w:r w:rsidRPr="007C705C">
        <w:rPr>
          <w:rFonts w:eastAsiaTheme="minorEastAsia"/>
        </w:rPr>
        <w:t>Vysoký podíl využívání cíleně pěstované energetické biomasy s rizikem půdní eroze vůči biomase odpadní či cílené biomase s nízkým erozním rizikem</w:t>
      </w:r>
    </w:p>
    <w:p w14:paraId="3D0F84C0" w14:textId="77777777" w:rsidR="003E0F58" w:rsidRPr="007C705C" w:rsidRDefault="003E0F58" w:rsidP="00D726A3">
      <w:pPr>
        <w:pStyle w:val="UZEIOdrky"/>
        <w:rPr>
          <w:rFonts w:eastAsiaTheme="minorEastAsia"/>
        </w:rPr>
      </w:pPr>
      <w:r w:rsidRPr="007C705C">
        <w:rPr>
          <w:rFonts w:eastAsiaTheme="minorEastAsia"/>
        </w:rPr>
        <w:t>Využít potenciálu lesní dendromasy, BRKO</w:t>
      </w:r>
    </w:p>
    <w:p w14:paraId="08707A2D" w14:textId="1B7042DB" w:rsidR="003E0F58" w:rsidRPr="00D726A3" w:rsidRDefault="003E0F58" w:rsidP="003E0F58">
      <w:pPr>
        <w:pStyle w:val="UZEIOdrky"/>
        <w:rPr>
          <w:rFonts w:eastAsiaTheme="minorEastAsia"/>
        </w:rPr>
      </w:pPr>
      <w:r w:rsidRPr="007C705C">
        <w:rPr>
          <w:rFonts w:eastAsiaTheme="minorEastAsia"/>
        </w:rPr>
        <w:t>Nízká účinnost stávajících provozoven/výroben energií z biomasy</w:t>
      </w:r>
    </w:p>
    <w:p w14:paraId="5E0BD7FA" w14:textId="77777777" w:rsidR="003E0F58" w:rsidRPr="007C705C" w:rsidRDefault="003E0F58" w:rsidP="00D726A3">
      <w:pPr>
        <w:pStyle w:val="UZEINormaln"/>
        <w:rPr>
          <w:rFonts w:eastAsiaTheme="minorEastAsia"/>
        </w:rPr>
      </w:pPr>
      <w:r w:rsidRPr="007C705C">
        <w:rPr>
          <w:rFonts w:eastAsiaTheme="minorEastAsia"/>
        </w:rPr>
        <w:t>Venkov zaujímá 73 % plochy ČR, více než 95 % z tohoto území činí zemědělská půda a lesní pozemky.  Zemědělská půda produkuje ročně fytomasu na ploše 3,54 mil. ha, lesní půda poskytuje dendromasu na rozloze 2,66 mil. ha. Potenciál biomasy, především cíleně pěstované fytomasy pro energetické účely není stále využitý.</w:t>
      </w:r>
    </w:p>
    <w:p w14:paraId="760E5921" w14:textId="35AFA69E" w:rsidR="003E0F58" w:rsidRPr="00D726A3" w:rsidRDefault="003E0F58" w:rsidP="00D726A3">
      <w:pPr>
        <w:pStyle w:val="UZEINormaln"/>
        <w:rPr>
          <w:rFonts w:eastAsiaTheme="minorEastAsia"/>
        </w:rPr>
      </w:pPr>
      <w:r w:rsidRPr="007C705C">
        <w:rPr>
          <w:rFonts w:eastAsiaTheme="minorEastAsia"/>
        </w:rPr>
        <w:t>Následující tabulka ukazuje disponibilní plochu v závislosti na předpokládané míře soběstačnosti v produkci potravin a krmiv.</w:t>
      </w:r>
    </w:p>
    <w:p w14:paraId="1F7E2D45" w14:textId="78F339D0" w:rsidR="003E0F58" w:rsidRPr="007C705C" w:rsidRDefault="00D726A3" w:rsidP="00D726A3">
      <w:pPr>
        <w:pStyle w:val="UZEITaB"/>
        <w:rPr>
          <w:rFonts w:eastAsiaTheme="minorEastAsia"/>
        </w:rPr>
      </w:pPr>
      <w:bookmarkStart w:id="628" w:name="_Toc77245878"/>
      <w:r>
        <w:rPr>
          <w:rFonts w:eastAsiaTheme="minorEastAsia"/>
        </w:rPr>
        <w:t xml:space="preserve"> </w:t>
      </w:r>
      <w:bookmarkStart w:id="629" w:name="_Ref81423831"/>
      <w:bookmarkStart w:id="630" w:name="_Toc94181648"/>
      <w:r w:rsidR="003E0F58" w:rsidRPr="007C705C">
        <w:rPr>
          <w:rFonts w:eastAsiaTheme="minorEastAsia"/>
        </w:rPr>
        <w:t>Míra soběstačnosti ve výrobě potravin a z toho vyplývající využitelná zemědělská plocha pro produkci biomasy ze zemědělských ploch pro energetické využití</w:t>
      </w:r>
      <w:bookmarkEnd w:id="628"/>
      <w:bookmarkEnd w:id="629"/>
      <w:bookmarkEnd w:id="630"/>
    </w:p>
    <w:tbl>
      <w:tblPr>
        <w:tblStyle w:val="Mkatabulky"/>
        <w:tblpPr w:leftFromText="141" w:rightFromText="141" w:vertAnchor="text" w:horzAnchor="margin" w:tblpY="84"/>
        <w:tblW w:w="0" w:type="auto"/>
        <w:tblLook w:val="04A0" w:firstRow="1" w:lastRow="0" w:firstColumn="1" w:lastColumn="0" w:noHBand="0" w:noVBand="1"/>
      </w:tblPr>
      <w:tblGrid>
        <w:gridCol w:w="4008"/>
        <w:gridCol w:w="1814"/>
        <w:gridCol w:w="1536"/>
        <w:gridCol w:w="1704"/>
      </w:tblGrid>
      <w:tr w:rsidR="003E0F58" w:rsidRPr="00D726A3" w14:paraId="4244431C" w14:textId="77777777" w:rsidTr="004D2249">
        <w:tc>
          <w:tcPr>
            <w:tcW w:w="4013" w:type="dxa"/>
          </w:tcPr>
          <w:p w14:paraId="469B614B" w14:textId="77777777" w:rsidR="003E0F58" w:rsidRPr="00D726A3" w:rsidRDefault="003E0F58" w:rsidP="004D2249">
            <w:pPr>
              <w:spacing w:line="276" w:lineRule="auto"/>
              <w:ind w:firstLine="22"/>
              <w:rPr>
                <w:rFonts w:eastAsiaTheme="minorEastAsia"/>
                <w:sz w:val="20"/>
              </w:rPr>
            </w:pPr>
            <w:r w:rsidRPr="00D726A3">
              <w:rPr>
                <w:rFonts w:eastAsiaTheme="minorEastAsia"/>
                <w:sz w:val="20"/>
              </w:rPr>
              <w:t>Míra soběstačnosti</w:t>
            </w:r>
          </w:p>
        </w:tc>
        <w:tc>
          <w:tcPr>
            <w:tcW w:w="1816" w:type="dxa"/>
          </w:tcPr>
          <w:p w14:paraId="51F0610C" w14:textId="77777777" w:rsidR="003E0F58" w:rsidRPr="00D726A3" w:rsidRDefault="003E0F58" w:rsidP="004D2249">
            <w:pPr>
              <w:spacing w:line="276" w:lineRule="auto"/>
              <w:ind w:firstLine="22"/>
              <w:rPr>
                <w:rFonts w:eastAsiaTheme="minorEastAsia"/>
                <w:sz w:val="20"/>
              </w:rPr>
            </w:pPr>
            <w:r w:rsidRPr="00D726A3">
              <w:rPr>
                <w:rFonts w:eastAsiaTheme="minorEastAsia"/>
                <w:sz w:val="20"/>
              </w:rPr>
              <w:t>70 %</w:t>
            </w:r>
          </w:p>
        </w:tc>
        <w:tc>
          <w:tcPr>
            <w:tcW w:w="1537" w:type="dxa"/>
          </w:tcPr>
          <w:p w14:paraId="0DC7EB4B" w14:textId="77777777" w:rsidR="003E0F58" w:rsidRPr="00D726A3" w:rsidRDefault="003E0F58" w:rsidP="004D2249">
            <w:pPr>
              <w:spacing w:line="276" w:lineRule="auto"/>
              <w:ind w:firstLine="22"/>
              <w:rPr>
                <w:rFonts w:eastAsiaTheme="minorEastAsia"/>
                <w:sz w:val="20"/>
              </w:rPr>
            </w:pPr>
            <w:r w:rsidRPr="00D726A3">
              <w:rPr>
                <w:rFonts w:eastAsiaTheme="minorEastAsia"/>
                <w:sz w:val="20"/>
              </w:rPr>
              <w:t>100 %</w:t>
            </w:r>
          </w:p>
        </w:tc>
        <w:tc>
          <w:tcPr>
            <w:tcW w:w="1706" w:type="dxa"/>
          </w:tcPr>
          <w:p w14:paraId="499A5F3B" w14:textId="77777777" w:rsidR="003E0F58" w:rsidRPr="00D726A3" w:rsidRDefault="003E0F58" w:rsidP="004D2249">
            <w:pPr>
              <w:spacing w:line="276" w:lineRule="auto"/>
              <w:ind w:firstLine="22"/>
              <w:rPr>
                <w:rFonts w:eastAsiaTheme="minorEastAsia"/>
                <w:sz w:val="20"/>
              </w:rPr>
            </w:pPr>
            <w:r w:rsidRPr="00D726A3">
              <w:rPr>
                <w:rFonts w:eastAsiaTheme="minorEastAsia"/>
                <w:sz w:val="20"/>
              </w:rPr>
              <w:t>130 %</w:t>
            </w:r>
          </w:p>
        </w:tc>
      </w:tr>
      <w:tr w:rsidR="003E0F58" w:rsidRPr="00D726A3" w14:paraId="198F814A" w14:textId="77777777" w:rsidTr="004D2249">
        <w:tc>
          <w:tcPr>
            <w:tcW w:w="4013" w:type="dxa"/>
          </w:tcPr>
          <w:p w14:paraId="4FCF597F" w14:textId="77777777" w:rsidR="003E0F58" w:rsidRPr="00D726A3" w:rsidRDefault="003E0F58" w:rsidP="004D2249">
            <w:pPr>
              <w:spacing w:line="276" w:lineRule="auto"/>
              <w:ind w:firstLine="22"/>
              <w:rPr>
                <w:rFonts w:eastAsiaTheme="minorEastAsia"/>
                <w:sz w:val="20"/>
              </w:rPr>
            </w:pPr>
            <w:r w:rsidRPr="00D726A3">
              <w:rPr>
                <w:rFonts w:eastAsiaTheme="minorEastAsia"/>
                <w:sz w:val="20"/>
              </w:rPr>
              <w:t>Využitelná půda (OP a TP) pro OZE (tis. ha)</w:t>
            </w:r>
          </w:p>
        </w:tc>
        <w:tc>
          <w:tcPr>
            <w:tcW w:w="1816" w:type="dxa"/>
          </w:tcPr>
          <w:p w14:paraId="60A92C2F" w14:textId="77777777" w:rsidR="003E0F58" w:rsidRPr="00D726A3" w:rsidRDefault="003E0F58" w:rsidP="004D2249">
            <w:pPr>
              <w:spacing w:line="276" w:lineRule="auto"/>
              <w:ind w:firstLine="22"/>
              <w:rPr>
                <w:rFonts w:eastAsiaTheme="minorEastAsia"/>
                <w:sz w:val="20"/>
              </w:rPr>
            </w:pPr>
            <w:r w:rsidRPr="00D726A3">
              <w:rPr>
                <w:rFonts w:eastAsiaTheme="minorEastAsia"/>
                <w:sz w:val="20"/>
              </w:rPr>
              <w:t>2060</w:t>
            </w:r>
          </w:p>
        </w:tc>
        <w:tc>
          <w:tcPr>
            <w:tcW w:w="1537" w:type="dxa"/>
          </w:tcPr>
          <w:p w14:paraId="5510F91D" w14:textId="77777777" w:rsidR="003E0F58" w:rsidRPr="00D726A3" w:rsidRDefault="003E0F58" w:rsidP="004D2249">
            <w:pPr>
              <w:spacing w:line="276" w:lineRule="auto"/>
              <w:ind w:firstLine="22"/>
              <w:rPr>
                <w:rFonts w:eastAsiaTheme="minorEastAsia"/>
                <w:sz w:val="20"/>
              </w:rPr>
            </w:pPr>
            <w:r w:rsidRPr="00D726A3">
              <w:rPr>
                <w:rFonts w:eastAsiaTheme="minorEastAsia"/>
                <w:sz w:val="20"/>
              </w:rPr>
              <w:t>1120–1508</w:t>
            </w:r>
          </w:p>
        </w:tc>
        <w:tc>
          <w:tcPr>
            <w:tcW w:w="1706" w:type="dxa"/>
          </w:tcPr>
          <w:p w14:paraId="0731B8E9" w14:textId="77777777" w:rsidR="003E0F58" w:rsidRPr="00D726A3" w:rsidRDefault="003E0F58" w:rsidP="004D2249">
            <w:pPr>
              <w:spacing w:line="276" w:lineRule="auto"/>
              <w:ind w:firstLine="22"/>
              <w:rPr>
                <w:rFonts w:eastAsiaTheme="minorEastAsia"/>
                <w:sz w:val="20"/>
              </w:rPr>
            </w:pPr>
            <w:r w:rsidRPr="00D726A3">
              <w:rPr>
                <w:rFonts w:eastAsiaTheme="minorEastAsia"/>
                <w:sz w:val="20"/>
              </w:rPr>
              <w:t>268</w:t>
            </w:r>
          </w:p>
        </w:tc>
      </w:tr>
      <w:tr w:rsidR="003E0F58" w:rsidRPr="00D726A3" w14:paraId="2D8204C4" w14:textId="77777777" w:rsidTr="004D2249">
        <w:tc>
          <w:tcPr>
            <w:tcW w:w="4013" w:type="dxa"/>
          </w:tcPr>
          <w:p w14:paraId="315FA1AA" w14:textId="77777777" w:rsidR="003E0F58" w:rsidRPr="00D726A3" w:rsidRDefault="003E0F58" w:rsidP="004D2249">
            <w:pPr>
              <w:spacing w:line="276" w:lineRule="auto"/>
              <w:ind w:firstLine="22"/>
              <w:rPr>
                <w:rFonts w:eastAsiaTheme="minorEastAsia"/>
                <w:sz w:val="20"/>
              </w:rPr>
            </w:pPr>
            <w:r w:rsidRPr="00D726A3">
              <w:rPr>
                <w:rFonts w:eastAsiaTheme="minorEastAsia"/>
                <w:sz w:val="20"/>
              </w:rPr>
              <w:t>Množství biomasy v ´000 t (při výnosu 6 t/ha sušiny)</w:t>
            </w:r>
          </w:p>
        </w:tc>
        <w:tc>
          <w:tcPr>
            <w:tcW w:w="1816" w:type="dxa"/>
          </w:tcPr>
          <w:p w14:paraId="3CC9CFEC" w14:textId="77777777" w:rsidR="003E0F58" w:rsidRPr="00D726A3" w:rsidRDefault="003E0F58" w:rsidP="004D2249">
            <w:pPr>
              <w:spacing w:line="276" w:lineRule="auto"/>
              <w:ind w:firstLine="22"/>
              <w:rPr>
                <w:rFonts w:eastAsiaTheme="minorEastAsia"/>
                <w:sz w:val="20"/>
              </w:rPr>
            </w:pPr>
            <w:r w:rsidRPr="00D726A3">
              <w:rPr>
                <w:rFonts w:eastAsiaTheme="minorEastAsia"/>
                <w:sz w:val="20"/>
              </w:rPr>
              <w:t>12360</w:t>
            </w:r>
          </w:p>
        </w:tc>
        <w:tc>
          <w:tcPr>
            <w:tcW w:w="1537" w:type="dxa"/>
          </w:tcPr>
          <w:p w14:paraId="253A706B" w14:textId="77777777" w:rsidR="003E0F58" w:rsidRPr="00D726A3" w:rsidRDefault="003E0F58" w:rsidP="004D2249">
            <w:pPr>
              <w:spacing w:line="276" w:lineRule="auto"/>
              <w:ind w:firstLine="22"/>
              <w:rPr>
                <w:rFonts w:eastAsiaTheme="minorEastAsia"/>
                <w:sz w:val="20"/>
              </w:rPr>
            </w:pPr>
            <w:r w:rsidRPr="00D726A3">
              <w:rPr>
                <w:rFonts w:eastAsiaTheme="minorEastAsia"/>
                <w:sz w:val="20"/>
              </w:rPr>
              <w:t>6720–9048</w:t>
            </w:r>
          </w:p>
        </w:tc>
        <w:tc>
          <w:tcPr>
            <w:tcW w:w="1706" w:type="dxa"/>
          </w:tcPr>
          <w:p w14:paraId="4DF790FC" w14:textId="77777777" w:rsidR="003E0F58" w:rsidRPr="00D726A3" w:rsidRDefault="003E0F58" w:rsidP="004D2249">
            <w:pPr>
              <w:spacing w:line="276" w:lineRule="auto"/>
              <w:ind w:firstLine="22"/>
              <w:rPr>
                <w:rFonts w:eastAsiaTheme="minorEastAsia"/>
                <w:sz w:val="20"/>
              </w:rPr>
            </w:pPr>
            <w:r w:rsidRPr="00D726A3">
              <w:rPr>
                <w:rFonts w:eastAsiaTheme="minorEastAsia"/>
                <w:sz w:val="20"/>
              </w:rPr>
              <w:t>1608</w:t>
            </w:r>
          </w:p>
        </w:tc>
      </w:tr>
      <w:tr w:rsidR="003E0F58" w:rsidRPr="00D726A3" w14:paraId="102E423B" w14:textId="77777777" w:rsidTr="004D2249">
        <w:tc>
          <w:tcPr>
            <w:tcW w:w="4013" w:type="dxa"/>
          </w:tcPr>
          <w:p w14:paraId="6FFD9849" w14:textId="77777777" w:rsidR="003E0F58" w:rsidRPr="00D726A3" w:rsidRDefault="003E0F58" w:rsidP="004D2249">
            <w:pPr>
              <w:spacing w:line="276" w:lineRule="auto"/>
              <w:ind w:firstLine="22"/>
              <w:rPr>
                <w:rFonts w:eastAsiaTheme="minorEastAsia"/>
                <w:sz w:val="20"/>
              </w:rPr>
            </w:pPr>
            <w:r w:rsidRPr="00D726A3">
              <w:rPr>
                <w:rFonts w:eastAsiaTheme="minorEastAsia"/>
                <w:sz w:val="20"/>
              </w:rPr>
              <w:t>Množství potenciální energie (PJ)</w:t>
            </w:r>
          </w:p>
        </w:tc>
        <w:tc>
          <w:tcPr>
            <w:tcW w:w="1816" w:type="dxa"/>
          </w:tcPr>
          <w:p w14:paraId="6EC8147D" w14:textId="77777777" w:rsidR="003E0F58" w:rsidRPr="00D726A3" w:rsidRDefault="003E0F58" w:rsidP="004D2249">
            <w:pPr>
              <w:spacing w:line="276" w:lineRule="auto"/>
              <w:ind w:firstLine="22"/>
              <w:rPr>
                <w:rFonts w:eastAsiaTheme="minorEastAsia"/>
                <w:sz w:val="20"/>
              </w:rPr>
            </w:pPr>
            <w:r w:rsidRPr="00D726A3">
              <w:rPr>
                <w:rFonts w:eastAsiaTheme="minorEastAsia"/>
                <w:sz w:val="20"/>
              </w:rPr>
              <w:t>196</w:t>
            </w:r>
          </w:p>
        </w:tc>
        <w:tc>
          <w:tcPr>
            <w:tcW w:w="1537" w:type="dxa"/>
          </w:tcPr>
          <w:p w14:paraId="0CC6F5E0" w14:textId="77777777" w:rsidR="003E0F58" w:rsidRPr="00D726A3" w:rsidRDefault="003E0F58" w:rsidP="004D2249">
            <w:pPr>
              <w:spacing w:line="276" w:lineRule="auto"/>
              <w:ind w:firstLine="22"/>
              <w:rPr>
                <w:rFonts w:eastAsiaTheme="minorEastAsia"/>
                <w:sz w:val="20"/>
              </w:rPr>
            </w:pPr>
            <w:r w:rsidRPr="00D726A3">
              <w:rPr>
                <w:rFonts w:eastAsiaTheme="minorEastAsia"/>
                <w:sz w:val="20"/>
              </w:rPr>
              <w:t>140–160</w:t>
            </w:r>
          </w:p>
        </w:tc>
        <w:tc>
          <w:tcPr>
            <w:tcW w:w="1706" w:type="dxa"/>
          </w:tcPr>
          <w:p w14:paraId="47D34C98" w14:textId="77777777" w:rsidR="003E0F58" w:rsidRPr="00D726A3" w:rsidRDefault="003E0F58" w:rsidP="004D2249">
            <w:pPr>
              <w:spacing w:line="276" w:lineRule="auto"/>
              <w:ind w:firstLine="22"/>
              <w:rPr>
                <w:sz w:val="20"/>
              </w:rPr>
            </w:pPr>
          </w:p>
        </w:tc>
      </w:tr>
    </w:tbl>
    <w:p w14:paraId="59AF9132" w14:textId="77777777" w:rsidR="003E0F58" w:rsidRPr="007C705C" w:rsidRDefault="003E0F58" w:rsidP="003E0F58">
      <w:pPr>
        <w:spacing w:line="276" w:lineRule="auto"/>
        <w:rPr>
          <w:rFonts w:eastAsiaTheme="minorEastAsia" w:cs="Times New Roman"/>
          <w:i/>
          <w:iCs/>
          <w:sz w:val="20"/>
          <w:szCs w:val="20"/>
          <w:lang w:val="cs-CZ"/>
        </w:rPr>
      </w:pPr>
      <w:r w:rsidRPr="007C705C">
        <w:rPr>
          <w:rFonts w:eastAsiaTheme="minorEastAsia" w:cs="Times New Roman"/>
          <w:i/>
          <w:iCs/>
          <w:sz w:val="20"/>
          <w:szCs w:val="20"/>
          <w:lang w:val="cs-CZ"/>
        </w:rPr>
        <w:t>Zdroj: Akční plán pro biomasu (APB) 2012-2020</w:t>
      </w:r>
    </w:p>
    <w:p w14:paraId="55A7FB5E" w14:textId="77777777" w:rsidR="007C4202" w:rsidRDefault="003E0F58" w:rsidP="00B52450">
      <w:pPr>
        <w:keepNext/>
        <w:spacing w:line="276" w:lineRule="auto"/>
      </w:pPr>
      <w:r w:rsidRPr="007C705C">
        <w:rPr>
          <w:rFonts w:cs="Times New Roman"/>
          <w:noProof/>
          <w:lang w:val="cs-CZ" w:eastAsia="cs-CZ"/>
        </w:rPr>
        <w:drawing>
          <wp:inline distT="0" distB="0" distL="0" distR="0" wp14:anchorId="63099C34" wp14:editId="52575D68">
            <wp:extent cx="4610910" cy="3323412"/>
            <wp:effectExtent l="0" t="0" r="0" b="4445"/>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643521" cy="3346917"/>
                    </a:xfrm>
                    <a:prstGeom prst="rect">
                      <a:avLst/>
                    </a:prstGeom>
                    <a:noFill/>
                  </pic:spPr>
                </pic:pic>
              </a:graphicData>
            </a:graphic>
          </wp:inline>
        </w:drawing>
      </w:r>
    </w:p>
    <w:p w14:paraId="4B5F3D67" w14:textId="0B716C7D" w:rsidR="003E0F58" w:rsidRPr="00B52450" w:rsidRDefault="007C4202" w:rsidP="009305CE">
      <w:pPr>
        <w:pStyle w:val="Titulek"/>
        <w:rPr>
          <w:rFonts w:eastAsiaTheme="minorEastAsia" w:cs="Arial"/>
          <w:color w:val="000000" w:themeColor="text1"/>
          <w:sz w:val="20"/>
          <w:lang w:eastAsia="cs-CZ"/>
        </w:rPr>
      </w:pPr>
      <w:bookmarkStart w:id="631" w:name="_Toc93583794"/>
      <w:r w:rsidRPr="00B52450">
        <w:rPr>
          <w:rFonts w:eastAsiaTheme="minorEastAsia" w:cs="Arial"/>
          <w:bCs w:val="0"/>
          <w:color w:val="000000" w:themeColor="text1"/>
          <w:sz w:val="20"/>
          <w:lang w:eastAsia="cs-CZ"/>
        </w:rPr>
        <w:t xml:space="preserve">Obrázek </w:t>
      </w:r>
      <w:r w:rsidRPr="00B52450">
        <w:rPr>
          <w:rFonts w:eastAsiaTheme="minorEastAsia" w:cs="Arial"/>
          <w:bCs w:val="0"/>
          <w:color w:val="000000" w:themeColor="text1"/>
          <w:sz w:val="20"/>
          <w:lang w:eastAsia="cs-CZ"/>
        </w:rPr>
        <w:fldChar w:fldCharType="begin"/>
      </w:r>
      <w:r w:rsidRPr="00B52450">
        <w:rPr>
          <w:rFonts w:eastAsiaTheme="minorEastAsia" w:cs="Arial"/>
          <w:bCs w:val="0"/>
          <w:color w:val="000000" w:themeColor="text1"/>
          <w:sz w:val="20"/>
          <w:lang w:eastAsia="cs-CZ"/>
        </w:rPr>
        <w:instrText xml:space="preserve"> SEQ Obrázek \* ARABIC </w:instrText>
      </w:r>
      <w:r w:rsidRPr="00B52450">
        <w:rPr>
          <w:rFonts w:eastAsiaTheme="minorEastAsia" w:cs="Arial"/>
          <w:bCs w:val="0"/>
          <w:color w:val="000000" w:themeColor="text1"/>
          <w:sz w:val="20"/>
          <w:lang w:eastAsia="cs-CZ"/>
        </w:rPr>
        <w:fldChar w:fldCharType="separate"/>
      </w:r>
      <w:r w:rsidR="000C4C46">
        <w:rPr>
          <w:rFonts w:eastAsiaTheme="minorEastAsia" w:cs="Arial"/>
          <w:bCs w:val="0"/>
          <w:noProof/>
          <w:color w:val="000000" w:themeColor="text1"/>
          <w:sz w:val="20"/>
          <w:lang w:eastAsia="cs-CZ"/>
        </w:rPr>
        <w:t>11</w:t>
      </w:r>
      <w:r w:rsidRPr="00B52450">
        <w:rPr>
          <w:rFonts w:eastAsiaTheme="minorEastAsia" w:cs="Arial"/>
          <w:bCs w:val="0"/>
          <w:color w:val="000000" w:themeColor="text1"/>
          <w:sz w:val="20"/>
          <w:lang w:eastAsia="cs-CZ"/>
        </w:rPr>
        <w:fldChar w:fldCharType="end"/>
      </w:r>
      <w:r w:rsidRPr="00B52450">
        <w:rPr>
          <w:rFonts w:eastAsiaTheme="minorEastAsia" w:cs="Arial"/>
          <w:bCs w:val="0"/>
          <w:color w:val="000000" w:themeColor="text1"/>
          <w:sz w:val="20"/>
          <w:lang w:eastAsia="cs-CZ"/>
        </w:rPr>
        <w:t xml:space="preserve"> Struktura využití zemědělské půdy v roce 2017</w:t>
      </w:r>
      <w:bookmarkEnd w:id="631"/>
    </w:p>
    <w:p w14:paraId="1FC38870" w14:textId="77777777" w:rsidR="003E0F58" w:rsidRPr="007C705C" w:rsidRDefault="003E0F58" w:rsidP="003E0F58">
      <w:pPr>
        <w:spacing w:line="276" w:lineRule="auto"/>
        <w:rPr>
          <w:rFonts w:eastAsiaTheme="minorEastAsia" w:cs="Times New Roman"/>
          <w:lang w:val="cs-CZ"/>
        </w:rPr>
      </w:pPr>
      <w:r w:rsidRPr="007C705C">
        <w:rPr>
          <w:rFonts w:eastAsiaTheme="minorEastAsia" w:cs="Times New Roman"/>
          <w:lang w:val="cs-CZ"/>
        </w:rPr>
        <w:t xml:space="preserve">  </w:t>
      </w:r>
      <w:r w:rsidRPr="007C705C">
        <w:rPr>
          <w:rFonts w:eastAsiaTheme="minorEastAsia" w:cs="Times New Roman"/>
          <w:i/>
          <w:iCs/>
          <w:sz w:val="20"/>
          <w:szCs w:val="20"/>
          <w:lang w:val="cs-CZ"/>
        </w:rPr>
        <w:t>Zdroj: ČSÚ (zpracoval Nesňal, ÚZEI 2018)</w:t>
      </w:r>
    </w:p>
    <w:p w14:paraId="3AE4C2E9" w14:textId="015B12D2" w:rsidR="003E0F58" w:rsidRPr="007C705C" w:rsidRDefault="003E0F58" w:rsidP="00D726A3">
      <w:pPr>
        <w:pStyle w:val="UZEITaB"/>
        <w:rPr>
          <w:rFonts w:eastAsiaTheme="minorEastAsia"/>
        </w:rPr>
      </w:pPr>
      <w:bookmarkStart w:id="632" w:name="_Toc77245879"/>
      <w:bookmarkStart w:id="633" w:name="_Toc94181649"/>
      <w:r w:rsidRPr="007C705C">
        <w:rPr>
          <w:rFonts w:eastAsiaTheme="minorEastAsia"/>
        </w:rPr>
        <w:lastRenderedPageBreak/>
        <w:t>Celkový roční dostupný potenciál veškeré biomasy v České republice pro energetické využití (střední hodnoty)</w:t>
      </w:r>
      <w:bookmarkEnd w:id="632"/>
      <w:bookmarkEnd w:id="633"/>
    </w:p>
    <w:tbl>
      <w:tblPr>
        <w:tblStyle w:val="Mkatabulky"/>
        <w:tblW w:w="5000" w:type="pct"/>
        <w:tblLook w:val="04A0" w:firstRow="1" w:lastRow="0" w:firstColumn="1" w:lastColumn="0" w:noHBand="0" w:noVBand="1"/>
      </w:tblPr>
      <w:tblGrid>
        <w:gridCol w:w="4602"/>
        <w:gridCol w:w="4460"/>
      </w:tblGrid>
      <w:tr w:rsidR="003E0F58" w:rsidRPr="00D726A3" w14:paraId="5706FE8F" w14:textId="77777777" w:rsidTr="004D2249">
        <w:tc>
          <w:tcPr>
            <w:tcW w:w="2539" w:type="pct"/>
            <w:shd w:val="clear" w:color="auto" w:fill="E2EFD9" w:themeFill="accent6" w:themeFillTint="33"/>
          </w:tcPr>
          <w:p w14:paraId="751629CD" w14:textId="77777777" w:rsidR="003E0F58" w:rsidRPr="00D726A3" w:rsidRDefault="003E0F58" w:rsidP="004D2249">
            <w:pPr>
              <w:spacing w:line="276" w:lineRule="auto"/>
              <w:ind w:firstLine="22"/>
              <w:jc w:val="center"/>
              <w:rPr>
                <w:rFonts w:eastAsiaTheme="minorEastAsia"/>
                <w:sz w:val="20"/>
              </w:rPr>
            </w:pPr>
            <w:r w:rsidRPr="00D726A3">
              <w:rPr>
                <w:rFonts w:eastAsiaTheme="minorEastAsia"/>
                <w:sz w:val="20"/>
              </w:rPr>
              <w:t>Biomasa</w:t>
            </w:r>
          </w:p>
        </w:tc>
        <w:tc>
          <w:tcPr>
            <w:tcW w:w="2461" w:type="pct"/>
            <w:shd w:val="clear" w:color="auto" w:fill="E2EFD9" w:themeFill="accent6" w:themeFillTint="33"/>
          </w:tcPr>
          <w:p w14:paraId="6E4E9069" w14:textId="77777777" w:rsidR="003E0F58" w:rsidRPr="00D726A3" w:rsidRDefault="003E0F58" w:rsidP="004D2249">
            <w:pPr>
              <w:spacing w:line="276" w:lineRule="auto"/>
              <w:ind w:firstLine="5"/>
              <w:jc w:val="center"/>
              <w:rPr>
                <w:rFonts w:eastAsiaTheme="minorEastAsia"/>
                <w:sz w:val="20"/>
              </w:rPr>
            </w:pPr>
            <w:r w:rsidRPr="00D726A3">
              <w:rPr>
                <w:rFonts w:eastAsiaTheme="minorEastAsia"/>
                <w:sz w:val="20"/>
              </w:rPr>
              <w:t>100% potrav. soběstačnost (PJ)</w:t>
            </w:r>
          </w:p>
        </w:tc>
      </w:tr>
      <w:tr w:rsidR="003E0F58" w:rsidRPr="00D726A3" w14:paraId="73BDC5EB" w14:textId="77777777" w:rsidTr="004D2249">
        <w:tc>
          <w:tcPr>
            <w:tcW w:w="2539" w:type="pct"/>
          </w:tcPr>
          <w:p w14:paraId="42609BE0" w14:textId="77777777" w:rsidR="003E0F58" w:rsidRPr="00D726A3" w:rsidRDefault="003E0F58" w:rsidP="004D2249">
            <w:pPr>
              <w:spacing w:line="276" w:lineRule="auto"/>
              <w:ind w:firstLine="22"/>
              <w:rPr>
                <w:rFonts w:eastAsiaTheme="minorEastAsia"/>
                <w:sz w:val="20"/>
              </w:rPr>
            </w:pPr>
            <w:r w:rsidRPr="00D726A3">
              <w:rPr>
                <w:rFonts w:eastAsiaTheme="minorEastAsia"/>
                <w:sz w:val="20"/>
              </w:rPr>
              <w:t xml:space="preserve">Zemědělská </w:t>
            </w:r>
          </w:p>
        </w:tc>
        <w:tc>
          <w:tcPr>
            <w:tcW w:w="2461" w:type="pct"/>
            <w:vAlign w:val="center"/>
          </w:tcPr>
          <w:p w14:paraId="0F48B7BF" w14:textId="77777777" w:rsidR="003E0F58" w:rsidRPr="00D726A3" w:rsidRDefault="003E0F58" w:rsidP="004D2249">
            <w:pPr>
              <w:spacing w:line="276" w:lineRule="auto"/>
              <w:ind w:firstLine="5"/>
              <w:jc w:val="right"/>
              <w:rPr>
                <w:rFonts w:eastAsiaTheme="minorEastAsia"/>
                <w:sz w:val="20"/>
              </w:rPr>
            </w:pPr>
            <w:r w:rsidRPr="00D726A3">
              <w:rPr>
                <w:rFonts w:eastAsiaTheme="minorEastAsia"/>
                <w:sz w:val="20"/>
              </w:rPr>
              <w:t>90,7</w:t>
            </w:r>
          </w:p>
        </w:tc>
      </w:tr>
      <w:tr w:rsidR="003E0F58" w:rsidRPr="00D726A3" w14:paraId="0D44B36D" w14:textId="77777777" w:rsidTr="004D2249">
        <w:tc>
          <w:tcPr>
            <w:tcW w:w="2539" w:type="pct"/>
          </w:tcPr>
          <w:p w14:paraId="525EB6AA" w14:textId="77777777" w:rsidR="003E0F58" w:rsidRPr="00D726A3" w:rsidRDefault="003E0F58" w:rsidP="004D2249">
            <w:pPr>
              <w:spacing w:line="276" w:lineRule="auto"/>
              <w:ind w:firstLine="22"/>
              <w:rPr>
                <w:rFonts w:eastAsiaTheme="minorEastAsia"/>
                <w:sz w:val="20"/>
              </w:rPr>
            </w:pPr>
            <w:r w:rsidRPr="00D726A3">
              <w:rPr>
                <w:rFonts w:eastAsiaTheme="minorEastAsia"/>
                <w:sz w:val="20"/>
              </w:rPr>
              <w:t>Lesní</w:t>
            </w:r>
          </w:p>
        </w:tc>
        <w:tc>
          <w:tcPr>
            <w:tcW w:w="2461" w:type="pct"/>
            <w:vAlign w:val="center"/>
          </w:tcPr>
          <w:p w14:paraId="16927FFC" w14:textId="77777777" w:rsidR="003E0F58" w:rsidRPr="00D726A3" w:rsidRDefault="003E0F58" w:rsidP="004D2249">
            <w:pPr>
              <w:spacing w:line="276" w:lineRule="auto"/>
              <w:ind w:firstLine="5"/>
              <w:jc w:val="right"/>
              <w:rPr>
                <w:rFonts w:eastAsiaTheme="minorEastAsia"/>
                <w:sz w:val="20"/>
              </w:rPr>
            </w:pPr>
            <w:r w:rsidRPr="00D726A3">
              <w:rPr>
                <w:rFonts w:eastAsiaTheme="minorEastAsia"/>
                <w:sz w:val="20"/>
              </w:rPr>
              <w:t>46</w:t>
            </w:r>
          </w:p>
        </w:tc>
      </w:tr>
      <w:tr w:rsidR="003E0F58" w:rsidRPr="00D726A3" w14:paraId="49D92274" w14:textId="77777777" w:rsidTr="004D2249">
        <w:tc>
          <w:tcPr>
            <w:tcW w:w="2539" w:type="pct"/>
          </w:tcPr>
          <w:p w14:paraId="1FA41E03" w14:textId="77777777" w:rsidR="003E0F58" w:rsidRPr="00D726A3" w:rsidRDefault="003E0F58" w:rsidP="004D2249">
            <w:pPr>
              <w:spacing w:line="276" w:lineRule="auto"/>
              <w:ind w:firstLine="22"/>
              <w:rPr>
                <w:rFonts w:eastAsiaTheme="minorEastAsia"/>
                <w:sz w:val="20"/>
              </w:rPr>
            </w:pPr>
            <w:r w:rsidRPr="00D726A3">
              <w:rPr>
                <w:rFonts w:eastAsiaTheme="minorEastAsia"/>
                <w:sz w:val="20"/>
              </w:rPr>
              <w:t>Zbytková</w:t>
            </w:r>
          </w:p>
        </w:tc>
        <w:tc>
          <w:tcPr>
            <w:tcW w:w="2461" w:type="pct"/>
            <w:vAlign w:val="center"/>
          </w:tcPr>
          <w:p w14:paraId="76202284" w14:textId="77777777" w:rsidR="003E0F58" w:rsidRPr="00D726A3" w:rsidRDefault="003E0F58" w:rsidP="004D2249">
            <w:pPr>
              <w:spacing w:line="276" w:lineRule="auto"/>
              <w:ind w:firstLine="5"/>
              <w:jc w:val="right"/>
              <w:rPr>
                <w:rFonts w:eastAsiaTheme="minorEastAsia"/>
                <w:sz w:val="20"/>
              </w:rPr>
            </w:pPr>
            <w:r w:rsidRPr="00D726A3">
              <w:rPr>
                <w:rFonts w:eastAsiaTheme="minorEastAsia"/>
                <w:sz w:val="20"/>
              </w:rPr>
              <w:t>70,7</w:t>
            </w:r>
          </w:p>
        </w:tc>
      </w:tr>
      <w:tr w:rsidR="003E0F58" w:rsidRPr="00D726A3" w14:paraId="6C89D115" w14:textId="77777777" w:rsidTr="004D2249">
        <w:tc>
          <w:tcPr>
            <w:tcW w:w="2539" w:type="pct"/>
          </w:tcPr>
          <w:p w14:paraId="2A0BA9C3" w14:textId="77777777" w:rsidR="003E0F58" w:rsidRPr="00D726A3" w:rsidRDefault="003E0F58" w:rsidP="004D2249">
            <w:pPr>
              <w:spacing w:line="276" w:lineRule="auto"/>
              <w:ind w:firstLine="22"/>
              <w:rPr>
                <w:rFonts w:eastAsiaTheme="minorEastAsia"/>
                <w:sz w:val="20"/>
              </w:rPr>
            </w:pPr>
            <w:r w:rsidRPr="00D726A3">
              <w:rPr>
                <w:rFonts w:eastAsiaTheme="minorEastAsia"/>
                <w:sz w:val="20"/>
              </w:rPr>
              <w:t>Celkem</w:t>
            </w:r>
          </w:p>
        </w:tc>
        <w:tc>
          <w:tcPr>
            <w:tcW w:w="2461" w:type="pct"/>
            <w:vAlign w:val="center"/>
          </w:tcPr>
          <w:p w14:paraId="1C7C6DB7" w14:textId="77777777" w:rsidR="003E0F58" w:rsidRPr="00D726A3" w:rsidRDefault="003E0F58" w:rsidP="004D2249">
            <w:pPr>
              <w:spacing w:line="276" w:lineRule="auto"/>
              <w:ind w:firstLine="5"/>
              <w:jc w:val="right"/>
              <w:rPr>
                <w:rFonts w:eastAsiaTheme="minorEastAsia"/>
                <w:sz w:val="20"/>
              </w:rPr>
            </w:pPr>
            <w:r w:rsidRPr="00D726A3">
              <w:rPr>
                <w:rFonts w:eastAsiaTheme="minorEastAsia"/>
                <w:sz w:val="20"/>
              </w:rPr>
              <w:t>207,4</w:t>
            </w:r>
          </w:p>
        </w:tc>
      </w:tr>
    </w:tbl>
    <w:p w14:paraId="37DFD708" w14:textId="48DF19BB" w:rsidR="003E0F58" w:rsidRPr="00D726A3" w:rsidRDefault="003E0F58" w:rsidP="003E0F58">
      <w:pPr>
        <w:spacing w:line="276" w:lineRule="auto"/>
        <w:rPr>
          <w:rFonts w:eastAsiaTheme="minorEastAsia" w:cs="Times New Roman"/>
          <w:i/>
          <w:iCs/>
          <w:sz w:val="20"/>
          <w:szCs w:val="20"/>
          <w:lang w:val="cs-CZ"/>
        </w:rPr>
      </w:pPr>
      <w:r w:rsidRPr="007C705C">
        <w:rPr>
          <w:rFonts w:eastAsiaTheme="minorEastAsia" w:cs="Times New Roman"/>
          <w:i/>
          <w:iCs/>
          <w:sz w:val="20"/>
          <w:szCs w:val="20"/>
          <w:lang w:val="cs-CZ"/>
        </w:rPr>
        <w:t>Zdroj: APB 2012 – 2020</w:t>
      </w:r>
    </w:p>
    <w:p w14:paraId="214921C1" w14:textId="54204FDA" w:rsidR="003E0F58" w:rsidRPr="007C705C" w:rsidRDefault="00D726A3" w:rsidP="00D726A3">
      <w:pPr>
        <w:pStyle w:val="UZEITaB"/>
        <w:rPr>
          <w:rFonts w:eastAsiaTheme="minorEastAsia"/>
        </w:rPr>
      </w:pPr>
      <w:bookmarkStart w:id="634" w:name="_Toc77245880"/>
      <w:bookmarkStart w:id="635" w:name="_Toc94181650"/>
      <w:r>
        <w:rPr>
          <w:rFonts w:eastAsiaTheme="minorEastAsia"/>
        </w:rPr>
        <w:t>P</w:t>
      </w:r>
      <w:r w:rsidR="003E0F58" w:rsidRPr="007C705C">
        <w:rPr>
          <w:rFonts w:eastAsiaTheme="minorEastAsia"/>
        </w:rPr>
        <w:t>řehled trvání garantovaných provozních podpor dle druhu OZE na biomasu</w:t>
      </w:r>
      <w:bookmarkEnd w:id="634"/>
      <w:bookmarkEnd w:id="635"/>
    </w:p>
    <w:tbl>
      <w:tblPr>
        <w:tblStyle w:val="Mkatabulky"/>
        <w:tblW w:w="0" w:type="auto"/>
        <w:tblLook w:val="04A0" w:firstRow="1" w:lastRow="0" w:firstColumn="1" w:lastColumn="0" w:noHBand="0" w:noVBand="1"/>
      </w:tblPr>
      <w:tblGrid>
        <w:gridCol w:w="4531"/>
        <w:gridCol w:w="4531"/>
      </w:tblGrid>
      <w:tr w:rsidR="003E0F58" w:rsidRPr="00D726A3" w14:paraId="523C2A1C" w14:textId="77777777" w:rsidTr="004D2249">
        <w:tc>
          <w:tcPr>
            <w:tcW w:w="4531" w:type="dxa"/>
            <w:shd w:val="clear" w:color="auto" w:fill="E2EFD9" w:themeFill="accent6" w:themeFillTint="33"/>
          </w:tcPr>
          <w:p w14:paraId="0DA0A668" w14:textId="77777777" w:rsidR="003E0F58" w:rsidRPr="00D726A3" w:rsidRDefault="003E0F58" w:rsidP="004D2249">
            <w:pPr>
              <w:spacing w:line="276" w:lineRule="auto"/>
              <w:ind w:firstLine="22"/>
              <w:jc w:val="center"/>
              <w:rPr>
                <w:rFonts w:eastAsiaTheme="minorEastAsia"/>
                <w:sz w:val="20"/>
              </w:rPr>
            </w:pPr>
            <w:r w:rsidRPr="00D726A3">
              <w:rPr>
                <w:rFonts w:eastAsiaTheme="minorEastAsia"/>
                <w:sz w:val="20"/>
              </w:rPr>
              <w:t>Typ OZE</w:t>
            </w:r>
          </w:p>
        </w:tc>
        <w:tc>
          <w:tcPr>
            <w:tcW w:w="4531" w:type="dxa"/>
            <w:shd w:val="clear" w:color="auto" w:fill="E2EFD9" w:themeFill="accent6" w:themeFillTint="33"/>
          </w:tcPr>
          <w:p w14:paraId="671CAD95" w14:textId="77777777" w:rsidR="003E0F58" w:rsidRPr="00D726A3" w:rsidRDefault="003E0F58" w:rsidP="004D2249">
            <w:pPr>
              <w:spacing w:line="276" w:lineRule="auto"/>
              <w:ind w:firstLine="22"/>
              <w:jc w:val="center"/>
              <w:rPr>
                <w:rFonts w:eastAsiaTheme="minorEastAsia"/>
                <w:sz w:val="20"/>
              </w:rPr>
            </w:pPr>
            <w:r w:rsidRPr="00D726A3">
              <w:rPr>
                <w:rFonts w:eastAsiaTheme="minorEastAsia"/>
                <w:sz w:val="20"/>
              </w:rPr>
              <w:t>Garance výkupních cen [roky]</w:t>
            </w:r>
          </w:p>
        </w:tc>
      </w:tr>
      <w:tr w:rsidR="003E0F58" w:rsidRPr="00D726A3" w14:paraId="40020D8B" w14:textId="77777777" w:rsidTr="004D2249">
        <w:tc>
          <w:tcPr>
            <w:tcW w:w="4531" w:type="dxa"/>
          </w:tcPr>
          <w:p w14:paraId="69284D1C" w14:textId="77777777" w:rsidR="003E0F58" w:rsidRPr="00D726A3" w:rsidRDefault="003E0F58" w:rsidP="004D2249">
            <w:pPr>
              <w:spacing w:line="276" w:lineRule="auto"/>
              <w:ind w:firstLine="22"/>
              <w:rPr>
                <w:rFonts w:eastAsiaTheme="minorEastAsia"/>
                <w:sz w:val="20"/>
              </w:rPr>
            </w:pPr>
            <w:r w:rsidRPr="00D726A3">
              <w:rPr>
                <w:rFonts w:eastAsiaTheme="minorEastAsia"/>
                <w:sz w:val="20"/>
              </w:rPr>
              <w:t>Biomasa</w:t>
            </w:r>
          </w:p>
        </w:tc>
        <w:tc>
          <w:tcPr>
            <w:tcW w:w="4531" w:type="dxa"/>
            <w:vAlign w:val="center"/>
          </w:tcPr>
          <w:p w14:paraId="4A231C50" w14:textId="77777777" w:rsidR="003E0F58" w:rsidRPr="00D726A3" w:rsidRDefault="003E0F58" w:rsidP="004D2249">
            <w:pPr>
              <w:spacing w:line="276" w:lineRule="auto"/>
              <w:ind w:firstLine="22"/>
              <w:jc w:val="right"/>
              <w:rPr>
                <w:rFonts w:eastAsiaTheme="minorEastAsia"/>
                <w:sz w:val="20"/>
              </w:rPr>
            </w:pPr>
            <w:r w:rsidRPr="00D726A3">
              <w:rPr>
                <w:rFonts w:eastAsiaTheme="minorEastAsia"/>
                <w:sz w:val="20"/>
              </w:rPr>
              <w:t>20</w:t>
            </w:r>
          </w:p>
        </w:tc>
      </w:tr>
      <w:tr w:rsidR="003E0F58" w:rsidRPr="00D726A3" w14:paraId="35353EE8" w14:textId="77777777" w:rsidTr="004D2249">
        <w:tc>
          <w:tcPr>
            <w:tcW w:w="4531" w:type="dxa"/>
          </w:tcPr>
          <w:p w14:paraId="29CE573A" w14:textId="77777777" w:rsidR="003E0F58" w:rsidRPr="00D726A3" w:rsidRDefault="003E0F58" w:rsidP="004D2249">
            <w:pPr>
              <w:spacing w:line="276" w:lineRule="auto"/>
              <w:ind w:firstLine="22"/>
              <w:rPr>
                <w:rFonts w:eastAsiaTheme="minorEastAsia"/>
                <w:sz w:val="20"/>
              </w:rPr>
            </w:pPr>
            <w:r w:rsidRPr="00D726A3">
              <w:rPr>
                <w:rFonts w:eastAsiaTheme="minorEastAsia"/>
                <w:sz w:val="20"/>
              </w:rPr>
              <w:t>Bioplyn</w:t>
            </w:r>
          </w:p>
        </w:tc>
        <w:tc>
          <w:tcPr>
            <w:tcW w:w="4531" w:type="dxa"/>
            <w:vAlign w:val="center"/>
          </w:tcPr>
          <w:p w14:paraId="6BF51BB7" w14:textId="77777777" w:rsidR="003E0F58" w:rsidRPr="00D726A3" w:rsidRDefault="003E0F58" w:rsidP="004D2249">
            <w:pPr>
              <w:spacing w:line="276" w:lineRule="auto"/>
              <w:ind w:firstLine="22"/>
              <w:jc w:val="right"/>
              <w:rPr>
                <w:rFonts w:eastAsiaTheme="minorEastAsia"/>
                <w:sz w:val="20"/>
              </w:rPr>
            </w:pPr>
            <w:r w:rsidRPr="00D726A3">
              <w:rPr>
                <w:rFonts w:eastAsiaTheme="minorEastAsia"/>
                <w:sz w:val="20"/>
              </w:rPr>
              <w:t>20</w:t>
            </w:r>
          </w:p>
        </w:tc>
      </w:tr>
      <w:tr w:rsidR="003E0F58" w:rsidRPr="00D726A3" w14:paraId="46736A85" w14:textId="77777777" w:rsidTr="004D2249">
        <w:tc>
          <w:tcPr>
            <w:tcW w:w="4531" w:type="dxa"/>
          </w:tcPr>
          <w:p w14:paraId="56BB14D5" w14:textId="77777777" w:rsidR="003E0F58" w:rsidRPr="00D726A3" w:rsidRDefault="003E0F58" w:rsidP="004D2249">
            <w:pPr>
              <w:spacing w:line="276" w:lineRule="auto"/>
              <w:ind w:firstLine="22"/>
              <w:rPr>
                <w:rFonts w:eastAsiaTheme="minorEastAsia"/>
                <w:sz w:val="20"/>
              </w:rPr>
            </w:pPr>
            <w:r w:rsidRPr="00D726A3">
              <w:rPr>
                <w:rFonts w:eastAsiaTheme="minorEastAsia"/>
                <w:sz w:val="20"/>
              </w:rPr>
              <w:t>Skládkový, kalový, důlní plyn</w:t>
            </w:r>
          </w:p>
        </w:tc>
        <w:tc>
          <w:tcPr>
            <w:tcW w:w="4531" w:type="dxa"/>
            <w:vAlign w:val="center"/>
          </w:tcPr>
          <w:p w14:paraId="621B2550" w14:textId="77777777" w:rsidR="003E0F58" w:rsidRPr="00D726A3" w:rsidRDefault="003E0F58" w:rsidP="004D2249">
            <w:pPr>
              <w:spacing w:line="276" w:lineRule="auto"/>
              <w:ind w:firstLine="22"/>
              <w:jc w:val="right"/>
              <w:rPr>
                <w:rFonts w:eastAsiaTheme="minorEastAsia"/>
                <w:sz w:val="20"/>
              </w:rPr>
            </w:pPr>
            <w:r w:rsidRPr="00D726A3">
              <w:rPr>
                <w:rFonts w:eastAsiaTheme="minorEastAsia"/>
                <w:sz w:val="20"/>
              </w:rPr>
              <w:t>15</w:t>
            </w:r>
          </w:p>
        </w:tc>
      </w:tr>
    </w:tbl>
    <w:p w14:paraId="6DD9A5BB" w14:textId="020F2811" w:rsidR="003E0F58" w:rsidRPr="00D726A3" w:rsidRDefault="003E0F58" w:rsidP="003E0F58">
      <w:pPr>
        <w:spacing w:line="276" w:lineRule="auto"/>
        <w:rPr>
          <w:rFonts w:eastAsiaTheme="minorEastAsia" w:cs="Times New Roman"/>
          <w:i/>
          <w:iCs/>
          <w:sz w:val="20"/>
          <w:szCs w:val="20"/>
          <w:lang w:val="cs-CZ"/>
        </w:rPr>
      </w:pPr>
      <w:r w:rsidRPr="007C705C">
        <w:rPr>
          <w:rFonts w:eastAsiaTheme="minorEastAsia" w:cs="Times New Roman"/>
          <w:i/>
          <w:iCs/>
          <w:sz w:val="20"/>
          <w:szCs w:val="20"/>
          <w:lang w:val="cs-CZ"/>
        </w:rPr>
        <w:t>Zdroj: NAP OZE (MPO), aktualizace 2016</w:t>
      </w:r>
    </w:p>
    <w:p w14:paraId="15049FEB" w14:textId="6FBCD463" w:rsidR="003E0F58" w:rsidRPr="00D726A3" w:rsidRDefault="003E0F58" w:rsidP="00D726A3">
      <w:pPr>
        <w:pStyle w:val="UZEINormaln"/>
        <w:rPr>
          <w:rFonts w:eastAsiaTheme="minorEastAsia"/>
        </w:rPr>
      </w:pPr>
      <w:r w:rsidRPr="007C705C">
        <w:rPr>
          <w:rFonts w:eastAsiaTheme="minorEastAsia"/>
        </w:rPr>
        <w:t xml:space="preserve">Nárůst výroby energie u některých druhů OZE v ČR v letech 2015-2016 ukazuje </w:t>
      </w:r>
      <w:r w:rsidR="00D726A3">
        <w:fldChar w:fldCharType="begin"/>
      </w:r>
      <w:r w:rsidR="00D726A3">
        <w:rPr>
          <w:rFonts w:eastAsiaTheme="minorEastAsia"/>
        </w:rPr>
        <w:instrText xml:space="preserve"> REF _Ref81341279 \r \h </w:instrText>
      </w:r>
      <w:r w:rsidR="00D726A3">
        <w:fldChar w:fldCharType="separate"/>
      </w:r>
      <w:r w:rsidR="00127D64">
        <w:rPr>
          <w:rFonts w:eastAsiaTheme="minorEastAsia"/>
        </w:rPr>
        <w:t>Tabulka 91</w:t>
      </w:r>
      <w:r w:rsidR="00D726A3">
        <w:fldChar w:fldCharType="end"/>
      </w:r>
      <w:r w:rsidRPr="007C705C">
        <w:t>.</w:t>
      </w:r>
      <w:r w:rsidRPr="007C705C">
        <w:rPr>
          <w:rFonts w:eastAsiaTheme="minorEastAsia"/>
        </w:rPr>
        <w:t xml:space="preserve"> Celkový podíl obnovitelné energie na primárních energetických zdrojích (PEZ) činil dle MPO 10,6 % v roce 2016. Tento odhad se vztahuje k energii obsažené v použitém palivu (nezohledňuje účinnost zařízení).</w:t>
      </w:r>
    </w:p>
    <w:p w14:paraId="6D77A860" w14:textId="584FD1EC" w:rsidR="003E0F58" w:rsidRPr="007C705C" w:rsidRDefault="003E0F58" w:rsidP="00D726A3">
      <w:pPr>
        <w:pStyle w:val="UZEITaB"/>
        <w:rPr>
          <w:rFonts w:eastAsiaTheme="minorEastAsia"/>
        </w:rPr>
      </w:pPr>
      <w:bookmarkStart w:id="636" w:name="_Toc77245881"/>
      <w:bookmarkStart w:id="637" w:name="_Ref81341279"/>
      <w:bookmarkStart w:id="638" w:name="_Toc94181651"/>
      <w:r w:rsidRPr="007C705C">
        <w:rPr>
          <w:rFonts w:eastAsiaTheme="minorEastAsia"/>
        </w:rPr>
        <w:t>Celková energie z OZE a její podíl na PEZ v letech 2015 - 2016</w:t>
      </w:r>
      <w:bookmarkEnd w:id="636"/>
      <w:bookmarkEnd w:id="637"/>
      <w:bookmarkEnd w:id="638"/>
    </w:p>
    <w:p w14:paraId="23F80F50" w14:textId="536CEF42" w:rsidR="003E0F58" w:rsidRPr="007C705C" w:rsidRDefault="003E0F58" w:rsidP="003E0F58">
      <w:pPr>
        <w:spacing w:line="276" w:lineRule="auto"/>
        <w:rPr>
          <w:rFonts w:cs="Times New Roman"/>
          <w:szCs w:val="24"/>
          <w:lang w:val="cs-CZ"/>
        </w:rPr>
      </w:pPr>
      <w:r w:rsidRPr="007C705C">
        <w:rPr>
          <w:rFonts w:cs="Times New Roman"/>
          <w:noProof/>
          <w:szCs w:val="24"/>
          <w:lang w:val="cs-CZ" w:eastAsia="cs-CZ"/>
        </w:rPr>
        <w:drawing>
          <wp:inline distT="0" distB="0" distL="0" distR="0" wp14:anchorId="45E802DC" wp14:editId="70C2907B">
            <wp:extent cx="5761355" cy="2817495"/>
            <wp:effectExtent l="0" t="0" r="0" b="1905"/>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78">
                      <a:extLst>
                        <a:ext uri="{28A0092B-C50C-407E-A947-70E740481C1C}">
                          <a14:useLocalDpi xmlns:a14="http://schemas.microsoft.com/office/drawing/2010/main" val="0"/>
                        </a:ext>
                      </a:extLst>
                    </a:blip>
                    <a:srcRect t="6629"/>
                    <a:stretch/>
                  </pic:blipFill>
                  <pic:spPr bwMode="auto">
                    <a:xfrm>
                      <a:off x="0" y="0"/>
                      <a:ext cx="5761355" cy="2817495"/>
                    </a:xfrm>
                    <a:prstGeom prst="rect">
                      <a:avLst/>
                    </a:prstGeom>
                    <a:noFill/>
                    <a:ln>
                      <a:noFill/>
                    </a:ln>
                    <a:extLst>
                      <a:ext uri="{53640926-AAD7-44D8-BBD7-CCE9431645EC}">
                        <a14:shadowObscured xmlns:a14="http://schemas.microsoft.com/office/drawing/2010/main"/>
                      </a:ext>
                    </a:extLst>
                  </pic:spPr>
                </pic:pic>
              </a:graphicData>
            </a:graphic>
          </wp:inline>
        </w:drawing>
      </w:r>
    </w:p>
    <w:p w14:paraId="7E7029E7" w14:textId="77777777" w:rsidR="003E0F58" w:rsidRPr="007C705C" w:rsidRDefault="003E0F58" w:rsidP="00D726A3">
      <w:pPr>
        <w:pStyle w:val="UZEINormaln"/>
        <w:rPr>
          <w:rFonts w:eastAsiaTheme="minorEastAsia"/>
        </w:rPr>
      </w:pPr>
      <w:r w:rsidRPr="007C705C">
        <w:rPr>
          <w:rFonts w:eastAsiaTheme="minorEastAsia"/>
        </w:rPr>
        <w:t>Podle statistik MPO podíl obnovitelných zdrojů energie v roce 2016 na hrubé výrobě elektřiny dosáhl 11,3 %. Podíl obnovitelné energie na konečné spotřebě energie podle metodiky EUROSTAT – SHARES v roce 2016 činil přibližně 15 %.</w:t>
      </w:r>
    </w:p>
    <w:p w14:paraId="30048BD0" w14:textId="77777777" w:rsidR="003E0F58" w:rsidRPr="007C705C" w:rsidRDefault="003E0F58" w:rsidP="00D726A3">
      <w:pPr>
        <w:pStyle w:val="UZEINormaln"/>
        <w:rPr>
          <w:rFonts w:eastAsiaTheme="minorEastAsia"/>
        </w:rPr>
      </w:pPr>
      <w:r w:rsidRPr="007C705C">
        <w:rPr>
          <w:rFonts w:eastAsiaTheme="minorEastAsia"/>
        </w:rPr>
        <w:t>Celkově biomasa stále zaujímá největší podíl na energii z obnovitelných zdrojů, tento podíl se meziročně opět zvýšil – z 65,8 % v roce 2015 na 65,9 % v roce následujícím. Je to způsobeno především růstem podílu biomasy v domácnostech na 40,3 % v roce 2016. Podíl biomasy mimo domácnosti stagnoval na 25,6 % celkové energie z obnovitelných zdrojů. U vodních elektráren došlo k mírnému nárůstu podílu jimi vyrobené energie, stejně jako u BRKO, zatímco u bioplynu podíl výroby mírně poklesl. Podíl vyrobené energie u kapalných biopaliv v roce 2016 stagnoval. Mírný nárůst rovněž zaznamenala výroba energie z tepelných čerpadel. Mírně poklesla výroba fotovoltaických systémů. Zbývající podíly ostatních druhů obnovitelné energie na celkové energii z obnovitelných zdrojů se udržují víceméně na stejné úrovni.</w:t>
      </w:r>
    </w:p>
    <w:p w14:paraId="39747F02" w14:textId="77777777" w:rsidR="003E0F58" w:rsidRPr="007C705C" w:rsidRDefault="003E0F58" w:rsidP="003E0F58">
      <w:pPr>
        <w:spacing w:line="276" w:lineRule="auto"/>
        <w:rPr>
          <w:rFonts w:cs="Times New Roman"/>
          <w:szCs w:val="24"/>
          <w:lang w:val="cs-CZ"/>
        </w:rPr>
      </w:pPr>
    </w:p>
    <w:p w14:paraId="45393E67" w14:textId="77777777" w:rsidR="003E0F58" w:rsidRPr="00D726A3" w:rsidRDefault="003E0F58" w:rsidP="00D726A3">
      <w:pPr>
        <w:pStyle w:val="UZEINormaln"/>
        <w:rPr>
          <w:rFonts w:eastAsiaTheme="minorEastAsia"/>
          <w:b/>
          <w:bCs/>
        </w:rPr>
      </w:pPr>
      <w:r w:rsidRPr="00D726A3">
        <w:rPr>
          <w:rFonts w:eastAsiaTheme="minorEastAsia"/>
          <w:b/>
          <w:bCs/>
        </w:rPr>
        <w:t>Využití zemědělské produkce v energetice</w:t>
      </w:r>
    </w:p>
    <w:p w14:paraId="401BC49E" w14:textId="77777777" w:rsidR="003E0F58" w:rsidRPr="007C705C" w:rsidRDefault="003E0F58" w:rsidP="00D726A3">
      <w:pPr>
        <w:pStyle w:val="UZEINormaln"/>
        <w:rPr>
          <w:rFonts w:eastAsiaTheme="minorEastAsia"/>
        </w:rPr>
      </w:pPr>
      <w:r w:rsidRPr="007C705C">
        <w:rPr>
          <w:rFonts w:eastAsiaTheme="minorEastAsia"/>
        </w:rPr>
        <w:t>Energetické využívání pevné biomasy pro výrobu elektrické a tepelné energie spočívá především ve spalování dřevní hmoty (včetně celulózových výluhů) a v malé míře i rostlinné hmoty, a to jak samostatně, tak spolu s neobnovitelnými palivy za účelem výroby elektřiny a tepla především ve větších energetických provozech.</w:t>
      </w:r>
    </w:p>
    <w:p w14:paraId="0452BB04" w14:textId="77777777" w:rsidR="003E0F58" w:rsidRPr="007C705C" w:rsidRDefault="003E0F58" w:rsidP="00D726A3">
      <w:pPr>
        <w:pStyle w:val="UZEINormaln"/>
        <w:rPr>
          <w:rFonts w:eastAsiaTheme="minorEastAsia"/>
        </w:rPr>
      </w:pPr>
      <w:r w:rsidRPr="007C705C">
        <w:rPr>
          <w:rFonts w:eastAsiaTheme="minorEastAsia"/>
        </w:rPr>
        <w:t xml:space="preserve">Pro výrobu elektrické i tepelné energie je dále využíván bioplyn vyrobený v bioplynových stanicích. </w:t>
      </w:r>
    </w:p>
    <w:p w14:paraId="67B55B18" w14:textId="3D231AA4" w:rsidR="003E0F58" w:rsidRPr="00D726A3" w:rsidRDefault="003E0F58" w:rsidP="00D726A3">
      <w:pPr>
        <w:pStyle w:val="UZEINormaln"/>
        <w:rPr>
          <w:rFonts w:eastAsiaTheme="minorEastAsia"/>
        </w:rPr>
      </w:pPr>
      <w:r w:rsidRPr="007C705C">
        <w:rPr>
          <w:rFonts w:eastAsiaTheme="minorEastAsia"/>
        </w:rPr>
        <w:t>Výroba elektřiny z kapalných biopaliv dosáhla v roce 2016 jen malého podílu 0,17 % na elektřině vyrobené z OZE, v případě výroby tepelné energie byl tento podíl 0,02 %</w:t>
      </w:r>
    </w:p>
    <w:p w14:paraId="33749B56" w14:textId="729466D2" w:rsidR="003E0F58" w:rsidRPr="007C705C" w:rsidRDefault="003E0F58" w:rsidP="00D726A3">
      <w:pPr>
        <w:pStyle w:val="UZEITaB"/>
        <w:rPr>
          <w:rFonts w:eastAsiaTheme="minorEastAsia"/>
        </w:rPr>
      </w:pPr>
      <w:bookmarkStart w:id="639" w:name="_Toc77245882"/>
      <w:bookmarkStart w:id="640" w:name="_Ref81341350"/>
      <w:bookmarkStart w:id="641" w:name="_Toc94181652"/>
      <w:r w:rsidRPr="007C705C">
        <w:rPr>
          <w:rFonts w:eastAsiaTheme="minorEastAsia"/>
        </w:rPr>
        <w:t>Výroba energie spalováním biomasy mimo domácnosti v roce 2016</w:t>
      </w:r>
      <w:bookmarkEnd w:id="639"/>
      <w:bookmarkEnd w:id="640"/>
      <w:bookmarkEnd w:id="641"/>
    </w:p>
    <w:p w14:paraId="1B77F023" w14:textId="77777777" w:rsidR="003E0F58" w:rsidRPr="007C705C" w:rsidRDefault="003E0F58" w:rsidP="003E0F58">
      <w:pPr>
        <w:spacing w:line="276" w:lineRule="auto"/>
        <w:rPr>
          <w:rFonts w:cs="Times New Roman"/>
          <w:szCs w:val="24"/>
          <w:lang w:val="cs-CZ"/>
        </w:rPr>
      </w:pPr>
      <w:r w:rsidRPr="007C705C">
        <w:rPr>
          <w:rFonts w:cs="Times New Roman"/>
          <w:noProof/>
          <w:szCs w:val="24"/>
          <w:lang w:val="cs-CZ" w:eastAsia="cs-CZ"/>
        </w:rPr>
        <w:drawing>
          <wp:inline distT="0" distB="0" distL="0" distR="0" wp14:anchorId="732DB85D" wp14:editId="3C06C763">
            <wp:extent cx="5761355" cy="3900805"/>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79">
                      <a:extLst>
                        <a:ext uri="{28A0092B-C50C-407E-A947-70E740481C1C}">
                          <a14:useLocalDpi xmlns:a14="http://schemas.microsoft.com/office/drawing/2010/main" val="0"/>
                        </a:ext>
                      </a:extLst>
                    </a:blip>
                    <a:srcRect t="7666"/>
                    <a:stretch/>
                  </pic:blipFill>
                  <pic:spPr bwMode="auto">
                    <a:xfrm>
                      <a:off x="0" y="0"/>
                      <a:ext cx="5761355" cy="3900805"/>
                    </a:xfrm>
                    <a:prstGeom prst="rect">
                      <a:avLst/>
                    </a:prstGeom>
                    <a:noFill/>
                    <a:ln>
                      <a:noFill/>
                    </a:ln>
                    <a:extLst>
                      <a:ext uri="{53640926-AAD7-44D8-BBD7-CCE9431645EC}">
                        <a14:shadowObscured xmlns:a14="http://schemas.microsoft.com/office/drawing/2010/main"/>
                      </a:ext>
                    </a:extLst>
                  </pic:spPr>
                </pic:pic>
              </a:graphicData>
            </a:graphic>
          </wp:inline>
        </w:drawing>
      </w:r>
    </w:p>
    <w:p w14:paraId="6344238A" w14:textId="6247FCFF" w:rsidR="003E0F58" w:rsidRPr="007C705C" w:rsidRDefault="003E0F58" w:rsidP="00D726A3">
      <w:pPr>
        <w:pStyle w:val="UZEINormaln"/>
        <w:rPr>
          <w:rFonts w:eastAsiaTheme="minorEastAsia"/>
        </w:rPr>
      </w:pPr>
      <w:r w:rsidRPr="007C705C">
        <w:rPr>
          <w:rFonts w:eastAsiaTheme="minorEastAsia"/>
        </w:rPr>
        <w:t>V roce 2016 bylo (</w:t>
      </w:r>
      <w:r w:rsidR="0001445C">
        <w:fldChar w:fldCharType="begin"/>
      </w:r>
      <w:r w:rsidR="0001445C">
        <w:rPr>
          <w:rFonts w:eastAsiaTheme="minorEastAsia"/>
        </w:rPr>
        <w:instrText xml:space="preserve"> REF _Ref81341350 \r \h </w:instrText>
      </w:r>
      <w:r w:rsidR="0001445C">
        <w:fldChar w:fldCharType="separate"/>
      </w:r>
      <w:r w:rsidR="00127D64">
        <w:rPr>
          <w:rFonts w:eastAsiaTheme="minorEastAsia"/>
        </w:rPr>
        <w:t>Tabulka 92</w:t>
      </w:r>
      <w:r w:rsidR="0001445C">
        <w:fldChar w:fldCharType="end"/>
      </w:r>
      <w:r w:rsidRPr="007C705C">
        <w:rPr>
          <w:rFonts w:eastAsiaTheme="minorEastAsia"/>
        </w:rPr>
        <w:t>) vyrobeno celkem 2 067,7 GWh elektřiny spalováním biomasy (meziroční pokles o 1,1 %) a bylo na to spotřebováno celkem 1 643,9 tis. t biomasy, z toho neupravené (neaglomerované) rostlinné materiály představovaly 98,8 tis. t (tj. 6,0 %).</w:t>
      </w:r>
    </w:p>
    <w:p w14:paraId="48144125" w14:textId="77777777" w:rsidR="003E0F58" w:rsidRPr="007C705C" w:rsidRDefault="003E0F58" w:rsidP="00D726A3">
      <w:pPr>
        <w:pStyle w:val="UZEINormaln"/>
        <w:rPr>
          <w:rFonts w:eastAsiaTheme="minorEastAsia"/>
        </w:rPr>
      </w:pPr>
      <w:r w:rsidRPr="007C705C">
        <w:rPr>
          <w:rFonts w:eastAsiaTheme="minorEastAsia"/>
        </w:rPr>
        <w:t>Výroba tepelné energie spalováním biomasy (mimo domácnosti) v roce 2016 dosáhla 23 696,0 TJ (meziroční nárůst o 7 %), z toho většina byla opět spotřebována ve vlastním závodě. Z celkového množství spalovaného paliva (2 793 tis. t) činil podíl neaglomerovaných rostlinných materiálů 64 tis. t (meziroční nárůst o 9,4 %). Zdaleka největší podíl spotřebovávaného paliva (tzn. biomasy) tvořil dřevní odpad, piliny, kůra, štěpka a zbytky po lesní těžbě (1 537,5 tis. t, podíl 55 % na celkové spotřebě paliva) a celulózové výluhy (1 066,3 tis. t, podíl 38 % na celkové spotřebě paliva).</w:t>
      </w:r>
    </w:p>
    <w:p w14:paraId="4C140461" w14:textId="77777777" w:rsidR="003E0F58" w:rsidRPr="007C705C" w:rsidRDefault="003E0F58" w:rsidP="00D726A3">
      <w:pPr>
        <w:pStyle w:val="UZEINormaln"/>
        <w:rPr>
          <w:rFonts w:eastAsiaTheme="minorEastAsia"/>
        </w:rPr>
      </w:pPr>
      <w:r w:rsidRPr="007C705C">
        <w:rPr>
          <w:rFonts w:eastAsiaTheme="minorEastAsia"/>
        </w:rPr>
        <w:t xml:space="preserve">Pro domácnosti odhaduje MPO v roce 2016 množství získaného tepla ze spotřebované biomasy na výrobu tepla 55 795,5 TJ (meziročně nárůst o 1,4 %). Pelety, brikety a rostlinné materiály představují zatím pouze menší část této spotřeby, nicméně i jejich spotřeba stále roste. </w:t>
      </w:r>
    </w:p>
    <w:p w14:paraId="36F8D235" w14:textId="77777777" w:rsidR="003E0F58" w:rsidRPr="007C705C" w:rsidRDefault="003E0F58" w:rsidP="00D726A3">
      <w:pPr>
        <w:pStyle w:val="UZEINormaln"/>
        <w:rPr>
          <w:rFonts w:eastAsiaTheme="minorEastAsia"/>
        </w:rPr>
      </w:pPr>
      <w:r w:rsidRPr="007C705C">
        <w:rPr>
          <w:rFonts w:eastAsiaTheme="minorEastAsia"/>
        </w:rPr>
        <w:lastRenderedPageBreak/>
        <w:t>Energeticky využívaný bioplyn vzniká při anaerobní fermentaci jednak v komunálních a průmyslových čistírnách odpadních vod jako skládkový plyn, tak i při fermentaci zemědělských odpadů a produktů. Vyrobená energie je využívána jak pro výrobu tepelné energie (především pro vlastní potřebu provozů, např. čistíren odpadních vod), tak i pro výrobu elektrické energie, především v případě zemědělských bioplynových stanic, jejichž počet se v posledních letech výrazně nemění.</w:t>
      </w:r>
    </w:p>
    <w:p w14:paraId="02A51459" w14:textId="77777777" w:rsidR="003E0F58" w:rsidRPr="007C705C" w:rsidRDefault="003E0F58" w:rsidP="00D726A3">
      <w:pPr>
        <w:pStyle w:val="UZEINormaln"/>
        <w:rPr>
          <w:rFonts w:eastAsiaTheme="minorEastAsia"/>
        </w:rPr>
      </w:pPr>
      <w:r w:rsidRPr="007C705C">
        <w:rPr>
          <w:rFonts w:eastAsiaTheme="minorEastAsia"/>
        </w:rPr>
        <w:t>Podle statistik MPO bylo v roce 2016 k energetickým účelům využito celkem 1 295,5 mil. m3 bioplynu, což je více než v roce předchozím (1 294,5 mil. m3, meziroční nárůst o 0,1 %), přičemž výroba nejvíce vzrostla v kategorii průmyslové ČOV (o 12,4 %). Produkce bioplynových stanic a komunálních ČOV mírně vzrůstá. Celkem bylo do statistiky výroby bioplynu pro energetické účely zahrnuto 581 bioplynových stanic. Hlavní podíl bioplynu (90 %) byl vyroben v bioplynových stanicích.</w:t>
      </w:r>
    </w:p>
    <w:p w14:paraId="120A4CB0" w14:textId="77777777" w:rsidR="003E0F58" w:rsidRPr="007C705C" w:rsidRDefault="003E0F58" w:rsidP="00D726A3">
      <w:pPr>
        <w:pStyle w:val="UZEINormaln"/>
        <w:rPr>
          <w:rFonts w:eastAsiaTheme="minorEastAsia"/>
        </w:rPr>
      </w:pPr>
      <w:r w:rsidRPr="007C705C">
        <w:rPr>
          <w:rFonts w:eastAsiaTheme="minorEastAsia"/>
        </w:rPr>
        <w:t>V celkem 439 bioplynových stanicích (meziroční pokles o 3 stanice, tj. 0,7 %, s minimálně 559 zařízeními na výrobu elektrické energie o celkovém instalovaném elektrickém výkonu 368 MW) bylo v roce 2016 vyrobeno 2 589,0 GWh (z toho dodáno do sítě 2 170,5 GWh, tj. 92,7 %). Dále bylo v těchto stanicích vyrobeno celkem 4 884 700,7 GJ tepla, vlastní spotřeba včetně ztrát dosáhla 4 381 596,2 GJ (tj. 89,7 %).</w:t>
      </w:r>
    </w:p>
    <w:p w14:paraId="3DAE5A0B" w14:textId="1C8C4EFB" w:rsidR="003E0F58" w:rsidRPr="0001445C" w:rsidRDefault="003E0F58" w:rsidP="0001445C">
      <w:pPr>
        <w:pStyle w:val="UZEINormaln"/>
        <w:rPr>
          <w:rFonts w:eastAsiaTheme="minorEastAsia"/>
        </w:rPr>
      </w:pPr>
      <w:r w:rsidRPr="007C705C">
        <w:rPr>
          <w:rFonts w:eastAsiaTheme="minorEastAsia"/>
        </w:rPr>
        <w:t>Rozvoj výroby bioplynu k energetickým účelům v roce 2016 stagnoval. Celkově bylo dosaženo podílu bioplynu 14,0 % na energii OZE.</w:t>
      </w:r>
    </w:p>
    <w:p w14:paraId="64C13DE6" w14:textId="77777777" w:rsidR="003E0F58" w:rsidRPr="0001445C" w:rsidRDefault="003E0F58" w:rsidP="0001445C">
      <w:pPr>
        <w:pStyle w:val="UZEINormaln"/>
        <w:rPr>
          <w:rFonts w:eastAsiaTheme="minorEastAsia"/>
          <w:b/>
          <w:bCs/>
        </w:rPr>
      </w:pPr>
      <w:r w:rsidRPr="0001445C">
        <w:rPr>
          <w:rFonts w:eastAsiaTheme="minorEastAsia"/>
          <w:b/>
          <w:bCs/>
        </w:rPr>
        <w:t>Využití zemědělské produkce v dopravě</w:t>
      </w:r>
    </w:p>
    <w:p w14:paraId="64707B97" w14:textId="77777777" w:rsidR="003E0F58" w:rsidRPr="007C705C" w:rsidRDefault="003E0F58" w:rsidP="0001445C">
      <w:pPr>
        <w:pStyle w:val="UZEINormaln"/>
        <w:rPr>
          <w:rFonts w:eastAsiaTheme="minorEastAsia"/>
        </w:rPr>
      </w:pPr>
      <w:r w:rsidRPr="007C705C">
        <w:rPr>
          <w:rFonts w:eastAsiaTheme="minorEastAsia"/>
        </w:rPr>
        <w:t xml:space="preserve">Užití biopaliv v České republice je v současné době určováno legislativní povinností jejich přimíchávání k minerálním pohonným hmotám. Tato povinnost byla poprvé zavedena v září 2007 pro přídavek FAME v motorové naftě (2 % objemová), od roku 2008 i pro přídavek bioetanolu do benzinu. Na konci roku 2015 byly schváleny novely zákona o ochraně ovzduší a zároveň novely zákona o spotřebních daních v oblasti nakládání a zdaňování čistých biopaliv (FAME B100, rostlinné oleje) a směsných paliv (SMN B30, E85, E95). </w:t>
      </w:r>
    </w:p>
    <w:p w14:paraId="4A42444B" w14:textId="0AB42669" w:rsidR="003E0F58" w:rsidRPr="007C705C" w:rsidRDefault="003E0F58" w:rsidP="0001445C">
      <w:pPr>
        <w:pStyle w:val="UZEINormaln"/>
        <w:rPr>
          <w:rFonts w:eastAsiaTheme="minorEastAsia"/>
        </w:rPr>
      </w:pPr>
      <w:r w:rsidRPr="007C705C">
        <w:rPr>
          <w:rFonts w:eastAsiaTheme="minorEastAsia"/>
        </w:rPr>
        <w:t xml:space="preserve">Změna podle zákona o ochraně ovzduší mění způsob plnění povinnosti uvádět na trh minimální množství biopaliv pro dopravní účely. Do výpočtu množství dodaných biopaliv už nelze zahrnovat čistá biopaliva (FAME B100, rostlinné oleje), ani biopaliva obsažená ve vysokoprocentních směsích (SMN B30, E85, E95). Zákon o ochraně ovzduší ukládá povinnost přimíchávat udržitelná certifikovaná biopaliva do motorových benzinů a motorové nafty a současně snížit emise GHG nahrazením části energie obsažené v motorovém benzinu a motorové naftě energií obsaženou v biopalivech. V listopadu 2016 byl schválen pozměňovací návrh zákona o ochraně ovzduší, který upravuje povinnost snižování emisí GHG z pohonných hmot o 3,5 % místo 4 % do 31. 12. 2017. </w:t>
      </w:r>
      <w:r w:rsidRPr="007C705C">
        <w:t>(</w:t>
      </w:r>
      <w:r w:rsidR="003005E5">
        <w:fldChar w:fldCharType="begin"/>
      </w:r>
      <w:r w:rsidR="003005E5">
        <w:instrText xml:space="preserve"> REF _Ref81341426 \r \h </w:instrText>
      </w:r>
      <w:r w:rsidR="003005E5">
        <w:fldChar w:fldCharType="separate"/>
      </w:r>
      <w:r w:rsidR="00127D64">
        <w:t>Tabulka 93</w:t>
      </w:r>
      <w:r w:rsidR="003005E5">
        <w:fldChar w:fldCharType="end"/>
      </w:r>
      <w:r w:rsidRPr="007C705C">
        <w:t>).</w:t>
      </w:r>
      <w:r w:rsidRPr="007C705C">
        <w:rPr>
          <w:rFonts w:eastAsiaTheme="minorEastAsia"/>
        </w:rPr>
        <w:t xml:space="preserve"> Reálně se již v roce 2014 obchodovalo s biopalivy s úsporou skleníkových plynů 50 %. V roce 2015 se prodávala biopaliva s úsporou 60 %, což odpovídá emisnímu faktoru 33,52 g CO2eq /MJ. Snížení emisí GHG z dodaných pohonných hmot v roce 2017 zjištěných z výběrového šetření VÚZT&amp;SVB Praha se u jednotlivých distributorů pohybovalo od 3,51 % do 3,9 %. Zákonem stanovená povinnost pro rok 2017 je 3,5 % (</w:t>
      </w:r>
      <w:r w:rsidR="003005E5">
        <w:fldChar w:fldCharType="begin"/>
      </w:r>
      <w:r w:rsidR="003005E5">
        <w:rPr>
          <w:rFonts w:eastAsiaTheme="minorEastAsia"/>
        </w:rPr>
        <w:instrText xml:space="preserve"> REF _Ref81341436 \r \h </w:instrText>
      </w:r>
      <w:r w:rsidR="003005E5">
        <w:fldChar w:fldCharType="separate"/>
      </w:r>
      <w:r w:rsidR="00127D64">
        <w:rPr>
          <w:rFonts w:eastAsiaTheme="minorEastAsia"/>
        </w:rPr>
        <w:t>Tabulka 93</w:t>
      </w:r>
      <w:r w:rsidR="003005E5">
        <w:fldChar w:fldCharType="end"/>
      </w:r>
      <w:r w:rsidRPr="007C705C">
        <w:t>.</w:t>
      </w:r>
    </w:p>
    <w:p w14:paraId="6B42D56C" w14:textId="6B91565E" w:rsidR="003E0F58" w:rsidRDefault="003E0F58" w:rsidP="0001445C">
      <w:pPr>
        <w:pStyle w:val="UZEINormaln"/>
        <w:rPr>
          <w:rFonts w:eastAsiaTheme="minorEastAsia"/>
        </w:rPr>
      </w:pPr>
      <w:r w:rsidRPr="007C705C">
        <w:rPr>
          <w:rFonts w:eastAsiaTheme="minorEastAsia"/>
        </w:rPr>
        <w:t xml:space="preserve">Program podpory biopaliv pro dopravní účely pro období let 2015–2020, který navazuje na předchozí program platný do 30. 6. 2015, byl po úpravách sazeb na biopaliva a směsná paliva EK přijat. Od 1. 1. </w:t>
      </w:r>
    </w:p>
    <w:p w14:paraId="41AB4AD6" w14:textId="3C1D8208" w:rsidR="0001445C" w:rsidRDefault="0001445C" w:rsidP="0001445C">
      <w:pPr>
        <w:pStyle w:val="UZEINormaln"/>
        <w:rPr>
          <w:rFonts w:eastAsiaTheme="minorEastAsia"/>
        </w:rPr>
      </w:pPr>
    </w:p>
    <w:p w14:paraId="53125102" w14:textId="77777777" w:rsidR="0001445C" w:rsidRPr="007C705C" w:rsidRDefault="0001445C" w:rsidP="0001445C">
      <w:pPr>
        <w:pStyle w:val="UZEINormaln"/>
      </w:pPr>
    </w:p>
    <w:p w14:paraId="7E028AD0" w14:textId="00E1A55B" w:rsidR="003E0F58" w:rsidRPr="007C705C" w:rsidRDefault="003E0F58" w:rsidP="0001445C">
      <w:pPr>
        <w:pStyle w:val="UZEITaB"/>
        <w:rPr>
          <w:rFonts w:eastAsiaTheme="minorEastAsia"/>
        </w:rPr>
      </w:pPr>
      <w:bookmarkStart w:id="642" w:name="_Toc77245883"/>
      <w:bookmarkStart w:id="643" w:name="_Ref81341426"/>
      <w:bookmarkStart w:id="644" w:name="_Ref81341436"/>
      <w:bookmarkStart w:id="645" w:name="_Toc94181653"/>
      <w:r w:rsidRPr="007C705C">
        <w:rPr>
          <w:rFonts w:eastAsiaTheme="minorEastAsia"/>
        </w:rPr>
        <w:lastRenderedPageBreak/>
        <w:t>Vývoj minimálních podílů biopaliv v ČR v objemových procentech (V/V) a v procentech energetického obsahu (e.o.) včetně kritérií udržitelnosti a snižování emisí GHG</w:t>
      </w:r>
      <w:bookmarkEnd w:id="642"/>
      <w:bookmarkEnd w:id="643"/>
      <w:bookmarkEnd w:id="644"/>
      <w:bookmarkEnd w:id="645"/>
    </w:p>
    <w:p w14:paraId="4294540F" w14:textId="77777777" w:rsidR="003E0F58" w:rsidRPr="007C705C" w:rsidRDefault="003E0F58" w:rsidP="003005E5">
      <w:pPr>
        <w:pStyle w:val="UZEINormaln"/>
        <w:rPr>
          <w:rFonts w:eastAsiaTheme="minorEastAsia"/>
        </w:rPr>
      </w:pPr>
      <w:r w:rsidRPr="007C705C">
        <w:rPr>
          <w:noProof/>
        </w:rPr>
        <w:drawing>
          <wp:inline distT="0" distB="0" distL="0" distR="0" wp14:anchorId="6B1C07B0" wp14:editId="2D5FEC44">
            <wp:extent cx="5760720" cy="3669895"/>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80">
                      <a:extLst>
                        <a:ext uri="{28A0092B-C50C-407E-A947-70E740481C1C}">
                          <a14:useLocalDpi xmlns:a14="http://schemas.microsoft.com/office/drawing/2010/main" val="0"/>
                        </a:ext>
                      </a:extLst>
                    </a:blip>
                    <a:srcRect t="14243"/>
                    <a:stretch/>
                  </pic:blipFill>
                  <pic:spPr bwMode="auto">
                    <a:xfrm>
                      <a:off x="0" y="0"/>
                      <a:ext cx="5760720" cy="3669895"/>
                    </a:xfrm>
                    <a:prstGeom prst="rect">
                      <a:avLst/>
                    </a:prstGeom>
                    <a:noFill/>
                    <a:ln>
                      <a:noFill/>
                    </a:ln>
                    <a:extLst>
                      <a:ext uri="{53640926-AAD7-44D8-BBD7-CCE9431645EC}">
                        <a14:shadowObscured xmlns:a14="http://schemas.microsoft.com/office/drawing/2010/main"/>
                      </a:ext>
                    </a:extLst>
                  </pic:spPr>
                </pic:pic>
              </a:graphicData>
            </a:graphic>
          </wp:inline>
        </w:drawing>
      </w:r>
      <w:r w:rsidRPr="007C705C">
        <w:rPr>
          <w:rFonts w:eastAsiaTheme="minorEastAsia"/>
        </w:rPr>
        <w:t>2016 se na čistá biopaliva a směsná paliva začaly uplatňovat sazby daně o něco vyšší, než byly původně navrhované. Od 1. 7. 2017 se na zmíněné pohonné hmoty opět začaly uplatňovat původně navrhované sazby daně. V kombinaci s nízkými cenami motorové nafty a tímto zdaněním byla i v průběhu roku 2017 čistá biopaliva i směsná paliva téměř neprodejná a uplatnilo se přimíchávání certifikovaných biopaliv do motorové nafty a benzinu.</w:t>
      </w:r>
    </w:p>
    <w:p w14:paraId="4F699F16" w14:textId="77777777" w:rsidR="003E0F58" w:rsidRPr="007C705C" w:rsidRDefault="003E0F58" w:rsidP="003005E5">
      <w:pPr>
        <w:pStyle w:val="UZEINormaln"/>
        <w:rPr>
          <w:rFonts w:eastAsiaTheme="minorEastAsia"/>
        </w:rPr>
      </w:pPr>
      <w:r w:rsidRPr="007C705C">
        <w:rPr>
          <w:rFonts w:eastAsiaTheme="minorEastAsia"/>
        </w:rPr>
        <w:t>Uvedená legislativa zahrnuje povinnost zajištění minimálního obsahu biopaliv a povinnost snižování emisí CO2eq z pohonných hmot v jejich úplném životním cyklu tak, aby se dosáhlo ve srovnání se základní hodnotou produkce emisí CO2eq pro referenční palivo snížení o 2 % do 31. 12. 2016, o 3,5 % do 31. 12. 2019 a o 6 % do 31. 12. 2020. Nařízení vlády č. 351/2012 Sb. z 3. 10. 2012 o kritériích udržitelnosti biopaliv stanovuje také výši úspor emisí CO2eq při jejich používání oproti emisím CO2eq referenčního fosilního paliva, které musí činit nejméně:</w:t>
      </w:r>
    </w:p>
    <w:p w14:paraId="2208EE74" w14:textId="77777777" w:rsidR="003E0F58" w:rsidRPr="007C705C" w:rsidRDefault="003E0F58" w:rsidP="003005E5">
      <w:pPr>
        <w:pStyle w:val="UZEIOdrky"/>
        <w:rPr>
          <w:rFonts w:eastAsiaTheme="minorEastAsia"/>
        </w:rPr>
      </w:pPr>
      <w:r w:rsidRPr="007C705C">
        <w:rPr>
          <w:rFonts w:eastAsiaTheme="minorEastAsia"/>
        </w:rPr>
        <w:t>35 % do 31. 12. 2016</w:t>
      </w:r>
    </w:p>
    <w:p w14:paraId="4BB09B5A" w14:textId="77777777" w:rsidR="003E0F58" w:rsidRPr="007C705C" w:rsidRDefault="003E0F58" w:rsidP="003005E5">
      <w:pPr>
        <w:pStyle w:val="UZEIOdrky"/>
        <w:rPr>
          <w:rFonts w:eastAsiaTheme="minorEastAsia"/>
        </w:rPr>
      </w:pPr>
      <w:r w:rsidRPr="007C705C">
        <w:rPr>
          <w:rFonts w:eastAsiaTheme="minorEastAsia"/>
        </w:rPr>
        <w:t>50 % od 1. 1. 2017</w:t>
      </w:r>
    </w:p>
    <w:p w14:paraId="5144A2E9" w14:textId="77777777" w:rsidR="003E0F58" w:rsidRPr="007C705C" w:rsidRDefault="003E0F58" w:rsidP="003005E5">
      <w:pPr>
        <w:pStyle w:val="UZEIOdrky"/>
        <w:rPr>
          <w:rFonts w:eastAsiaTheme="minorEastAsia"/>
        </w:rPr>
      </w:pPr>
      <w:r w:rsidRPr="007C705C">
        <w:rPr>
          <w:rFonts w:eastAsiaTheme="minorEastAsia"/>
        </w:rPr>
        <w:t>60 % od 1. 1. 2018 v případě biopaliv vyrobených ve stacionárním zdroji, uvedeném do provozu 1. 1. 2017 nebo později.</w:t>
      </w:r>
    </w:p>
    <w:p w14:paraId="512AAEF8" w14:textId="77777777" w:rsidR="003E0F58" w:rsidRPr="007C705C" w:rsidRDefault="003E0F58" w:rsidP="003005E5">
      <w:pPr>
        <w:pStyle w:val="UZEINormaln"/>
        <w:rPr>
          <w:rFonts w:eastAsiaTheme="minorEastAsia"/>
        </w:rPr>
      </w:pPr>
      <w:r w:rsidRPr="007C705C">
        <w:rPr>
          <w:rFonts w:eastAsiaTheme="minorEastAsia"/>
        </w:rPr>
        <w:t xml:space="preserve">Podíl energetického obsahu biopaliv a obnovitelné elektřiny v dopravě na celkové spotřebě má dosáhnout v letech 2014–2016 5,7 %, 2017–2019 8,00 % a do roku 2020 10,0 %. </w:t>
      </w:r>
    </w:p>
    <w:p w14:paraId="6D873044" w14:textId="6EF148BE" w:rsidR="003E0F58" w:rsidRPr="007C705C" w:rsidRDefault="003E0F58" w:rsidP="003005E5">
      <w:pPr>
        <w:pStyle w:val="UZEINormaln"/>
        <w:rPr>
          <w:rFonts w:eastAsiaTheme="minorEastAsia"/>
        </w:rPr>
      </w:pPr>
      <w:r w:rsidRPr="007C705C">
        <w:rPr>
          <w:rFonts w:eastAsiaTheme="minorEastAsia"/>
        </w:rPr>
        <w:t xml:space="preserve">V </w:t>
      </w:r>
      <w:r w:rsidR="003005E5">
        <w:fldChar w:fldCharType="begin"/>
      </w:r>
      <w:r w:rsidR="003005E5">
        <w:rPr>
          <w:rFonts w:eastAsiaTheme="minorEastAsia"/>
        </w:rPr>
        <w:instrText xml:space="preserve"> REF _Ref81341485 \r \h </w:instrText>
      </w:r>
      <w:r w:rsidR="003005E5">
        <w:fldChar w:fldCharType="separate"/>
      </w:r>
      <w:r w:rsidR="00127D64">
        <w:rPr>
          <w:rFonts w:eastAsiaTheme="minorEastAsia"/>
        </w:rPr>
        <w:t>Tabulka 94</w:t>
      </w:r>
      <w:r w:rsidR="003005E5">
        <w:fldChar w:fldCharType="end"/>
      </w:r>
      <w:r w:rsidRPr="007C705C">
        <w:rPr>
          <w:rFonts w:eastAsiaTheme="minorEastAsia"/>
        </w:rPr>
        <w:t xml:space="preserve"> jsou uvedeny kapacity, termín zahájení provozu a základní použitá surovina pro výrobu bioetanolu. Stejně jako v roce 2016 výrobu v roce 2017 zajišťovaly jen závody Tereos TTD, a.s., Dobrovice a Ethanol Energy, a.s., Vrdy.</w:t>
      </w:r>
    </w:p>
    <w:p w14:paraId="7653882D" w14:textId="67F7A0D4" w:rsidR="003E0F58" w:rsidRDefault="003E0F58" w:rsidP="003E0F58">
      <w:pPr>
        <w:spacing w:line="276" w:lineRule="auto"/>
        <w:rPr>
          <w:rFonts w:cs="Times New Roman"/>
          <w:szCs w:val="24"/>
          <w:lang w:val="cs-CZ"/>
        </w:rPr>
      </w:pPr>
    </w:p>
    <w:p w14:paraId="21E1D5C9" w14:textId="4FDEDD03" w:rsidR="003005E5" w:rsidRDefault="003005E5" w:rsidP="003E0F58">
      <w:pPr>
        <w:spacing w:line="276" w:lineRule="auto"/>
        <w:rPr>
          <w:rFonts w:cs="Times New Roman"/>
          <w:szCs w:val="24"/>
          <w:lang w:val="cs-CZ"/>
        </w:rPr>
      </w:pPr>
    </w:p>
    <w:p w14:paraId="33D19B1A" w14:textId="77777777" w:rsidR="003005E5" w:rsidRPr="007C705C" w:rsidRDefault="003005E5" w:rsidP="003E0F58">
      <w:pPr>
        <w:spacing w:line="276" w:lineRule="auto"/>
        <w:rPr>
          <w:rFonts w:cs="Times New Roman"/>
          <w:szCs w:val="24"/>
          <w:lang w:val="cs-CZ"/>
        </w:rPr>
      </w:pPr>
    </w:p>
    <w:p w14:paraId="7D9C20B4" w14:textId="01924ED4" w:rsidR="003E0F58" w:rsidRPr="007C705C" w:rsidRDefault="003E0F58" w:rsidP="003005E5">
      <w:pPr>
        <w:pStyle w:val="UZEITaB"/>
        <w:rPr>
          <w:rFonts w:eastAsiaTheme="minorEastAsia"/>
        </w:rPr>
      </w:pPr>
      <w:bookmarkStart w:id="646" w:name="_Toc77245884"/>
      <w:bookmarkStart w:id="647" w:name="_Ref81341485"/>
      <w:bookmarkStart w:id="648" w:name="_Toc94181654"/>
      <w:r w:rsidRPr="007C705C">
        <w:rPr>
          <w:rFonts w:eastAsiaTheme="minorEastAsia"/>
        </w:rPr>
        <w:lastRenderedPageBreak/>
        <w:t>Výrobní kapacity bioetanolu v ČR v roce 2017</w:t>
      </w:r>
      <w:bookmarkEnd w:id="646"/>
      <w:bookmarkEnd w:id="647"/>
      <w:bookmarkEnd w:id="648"/>
    </w:p>
    <w:p w14:paraId="699F8B0E" w14:textId="77777777" w:rsidR="003E0F58" w:rsidRPr="007C705C" w:rsidRDefault="003E0F58" w:rsidP="003E0F58">
      <w:pPr>
        <w:spacing w:line="276" w:lineRule="auto"/>
        <w:jc w:val="center"/>
        <w:rPr>
          <w:rFonts w:cs="Times New Roman"/>
          <w:szCs w:val="24"/>
          <w:lang w:val="cs-CZ"/>
        </w:rPr>
      </w:pPr>
      <w:r w:rsidRPr="007C705C">
        <w:rPr>
          <w:rFonts w:cs="Times New Roman"/>
          <w:noProof/>
          <w:lang w:val="cs-CZ" w:eastAsia="cs-CZ"/>
        </w:rPr>
        <w:drawing>
          <wp:inline distT="0" distB="0" distL="0" distR="0" wp14:anchorId="53F7B3F6" wp14:editId="60BFB43D">
            <wp:extent cx="5619750" cy="2333625"/>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619750" cy="2333625"/>
                    </a:xfrm>
                    <a:prstGeom prst="rect">
                      <a:avLst/>
                    </a:prstGeom>
                    <a:noFill/>
                    <a:ln>
                      <a:noFill/>
                    </a:ln>
                  </pic:spPr>
                </pic:pic>
              </a:graphicData>
            </a:graphic>
          </wp:inline>
        </w:drawing>
      </w:r>
    </w:p>
    <w:p w14:paraId="1797FE4D" w14:textId="127770B5" w:rsidR="003E0F58" w:rsidRPr="003005E5" w:rsidRDefault="003E0F58" w:rsidP="003005E5">
      <w:pPr>
        <w:pStyle w:val="UZEINormaln"/>
        <w:rPr>
          <w:rFonts w:eastAsiaTheme="minorEastAsia"/>
        </w:rPr>
      </w:pPr>
      <w:r w:rsidRPr="007C705C">
        <w:rPr>
          <w:rFonts w:eastAsiaTheme="minorEastAsia"/>
        </w:rPr>
        <w:t xml:space="preserve">Výrobu, dovoz, vývoz a hrubou spotřebu bioetanolu, dovoz bio-ETBE a hrubou spotřebu E85 ve vozidlech k takovému palivu určeným („flexi fuel vehicles“) v ČR v roce 2017 a pro porovnání v letech 2014 až 2016 uvádí </w:t>
      </w:r>
      <w:r w:rsidR="003005E5">
        <w:fldChar w:fldCharType="begin"/>
      </w:r>
      <w:r w:rsidR="003005E5">
        <w:rPr>
          <w:rFonts w:eastAsiaTheme="minorEastAsia"/>
        </w:rPr>
        <w:instrText xml:space="preserve"> REF _Ref81341522 \r \h </w:instrText>
      </w:r>
      <w:r w:rsidR="003005E5">
        <w:fldChar w:fldCharType="separate"/>
      </w:r>
      <w:r w:rsidR="00127D64">
        <w:rPr>
          <w:rFonts w:eastAsiaTheme="minorEastAsia"/>
        </w:rPr>
        <w:t>Tabulka 95</w:t>
      </w:r>
      <w:r w:rsidR="003005E5">
        <w:fldChar w:fldCharType="end"/>
      </w:r>
    </w:p>
    <w:p w14:paraId="3D039E20" w14:textId="5064E9E8" w:rsidR="003E0F58" w:rsidRPr="007C705C" w:rsidRDefault="002465FC" w:rsidP="003005E5">
      <w:pPr>
        <w:pStyle w:val="UZEITaB"/>
        <w:rPr>
          <w:rFonts w:eastAsiaTheme="minorEastAsia" w:cs="Times New Roman"/>
        </w:rPr>
      </w:pPr>
      <w:bookmarkStart w:id="649" w:name="_Toc77245885"/>
      <w:bookmarkStart w:id="650" w:name="_Ref81341522"/>
      <w:r>
        <w:rPr>
          <w:rFonts w:eastAsiaTheme="minorEastAsia" w:cs="Times New Roman"/>
        </w:rPr>
        <w:t xml:space="preserve"> </w:t>
      </w:r>
      <w:bookmarkStart w:id="651" w:name="_Toc94181655"/>
      <w:r w:rsidR="003E0F58" w:rsidRPr="007C705C">
        <w:rPr>
          <w:rFonts w:eastAsiaTheme="minorEastAsia" w:cs="Times New Roman"/>
        </w:rPr>
        <w:t>Bilance výroby, zahraničního obchodu a spotřeby bioetanolu (t)</w:t>
      </w:r>
      <w:bookmarkEnd w:id="649"/>
      <w:bookmarkEnd w:id="650"/>
      <w:bookmarkEnd w:id="651"/>
    </w:p>
    <w:p w14:paraId="015AEA3F" w14:textId="3FEBCD26" w:rsidR="003E0F58" w:rsidRPr="007C705C" w:rsidRDefault="003E0F58" w:rsidP="003E0F58">
      <w:pPr>
        <w:spacing w:line="276" w:lineRule="auto"/>
        <w:rPr>
          <w:rFonts w:cs="Times New Roman"/>
          <w:szCs w:val="24"/>
          <w:lang w:val="cs-CZ"/>
        </w:rPr>
      </w:pPr>
      <w:r w:rsidRPr="007C705C">
        <w:rPr>
          <w:rFonts w:cs="Times New Roman"/>
          <w:noProof/>
          <w:lang w:val="cs-CZ" w:eastAsia="cs-CZ"/>
        </w:rPr>
        <w:drawing>
          <wp:inline distT="0" distB="0" distL="0" distR="0" wp14:anchorId="35727A21" wp14:editId="03C40208">
            <wp:extent cx="5476875" cy="1504950"/>
            <wp:effectExtent l="0" t="0" r="9525"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476875" cy="1504950"/>
                    </a:xfrm>
                    <a:prstGeom prst="rect">
                      <a:avLst/>
                    </a:prstGeom>
                    <a:noFill/>
                    <a:ln>
                      <a:noFill/>
                    </a:ln>
                  </pic:spPr>
                </pic:pic>
              </a:graphicData>
            </a:graphic>
          </wp:inline>
        </w:drawing>
      </w:r>
    </w:p>
    <w:p w14:paraId="17D92D09" w14:textId="77777777" w:rsidR="003E0F58" w:rsidRPr="007C705C" w:rsidRDefault="003E0F58" w:rsidP="003005E5">
      <w:pPr>
        <w:pStyle w:val="UZEINormaln"/>
        <w:rPr>
          <w:rFonts w:eastAsiaTheme="minorEastAsia"/>
        </w:rPr>
      </w:pPr>
      <w:r w:rsidRPr="007C705C">
        <w:rPr>
          <w:rFonts w:eastAsiaTheme="minorEastAsia"/>
        </w:rPr>
        <w:t>Tuzemská výroba bioetanolu ve výši cca 102 tis. tun byla o 11,4 % nižší než v roce předešlém. Dovoz bioetanolu stoupl o 48,8 % oproti úrovni dovozu v roce 2016. Výrazně poklesl vývoz bioetanolu z ČR na cca 30 tis. tun, což je o 42,5 % méně než v roce 2016. Hrubá spotřeba bioetanolu cca 117 tis. tun stoupla o 35,8 % oproti úrovni hrubé spotřeby v roce 2016 a hrubá spotřeba paliva Ethanol E85 stoupla z 3,6 tis. tun na cca 3,7 tis. tun. Jmenovitá kapacita společnosti Tereos TTD, a.s. byla využita na 63,3 % a společnosti Ethanol Energy, a.s. na 94,8 %.</w:t>
      </w:r>
    </w:p>
    <w:p w14:paraId="01A163F4" w14:textId="77777777" w:rsidR="003E0F58" w:rsidRPr="007C705C" w:rsidRDefault="003E0F58" w:rsidP="003005E5">
      <w:pPr>
        <w:pStyle w:val="UZEINormaln"/>
        <w:rPr>
          <w:rFonts w:eastAsiaTheme="minorEastAsia"/>
        </w:rPr>
      </w:pPr>
      <w:r w:rsidRPr="007C705C">
        <w:rPr>
          <w:rFonts w:eastAsiaTheme="minorEastAsia"/>
        </w:rPr>
        <w:t>Pro výrobu bioetanolu se v roce 2017 spotřebovalo 585,0 tis. t technické cukrovky a 168,0 tis. t zrna kukuřice. Při výnosu cukrovky 66,56 t/ha, 5,67 t/ha pšenice a 6,84 t/ha zrna kukuřice dosáhla odpovídající sklizňová plocha u cukrovky 8,8 tis. ha a u kukuřice 24,6 tis. ha. Podíl plochy cukrovky technické zpracované na bioetanol z celkové sklizňové plochy této plodiny dosáhl 13,3 %, v případě kukuřice na zrno se jednalo o podíl 28,6 %. Na výrobu 1 litru bioetanolu se tak spotřebovalo cca 9,1 kg cukrovky, resp. 2,5 kg zrna kukuřice.</w:t>
      </w:r>
    </w:p>
    <w:p w14:paraId="278430AA" w14:textId="77777777" w:rsidR="003E0F58" w:rsidRPr="007C705C" w:rsidRDefault="003E0F58" w:rsidP="003005E5">
      <w:pPr>
        <w:pStyle w:val="UZEINormaln"/>
        <w:rPr>
          <w:rFonts w:eastAsiaTheme="minorEastAsia"/>
        </w:rPr>
      </w:pPr>
      <w:r w:rsidRPr="007C705C">
        <w:rPr>
          <w:rFonts w:eastAsiaTheme="minorEastAsia"/>
        </w:rPr>
        <w:t>Průměrná velkoobchodní cena benzinu BA 95N v roce 2017 činila 23,21 Kč/l (průměrná spotřební daň 12,84 Kč/l), paliva E85 20,20 Kč/l (průměrná spotřební daň 10,23 Kč/l do poloviny roku 2017 a ve druhé polovině tohoto roku 10,97 Kč/l).</w:t>
      </w:r>
    </w:p>
    <w:p w14:paraId="154BC19E" w14:textId="77777777" w:rsidR="003E0F58" w:rsidRPr="007C705C" w:rsidRDefault="003E0F58" w:rsidP="003005E5">
      <w:pPr>
        <w:pStyle w:val="UZEINormaln"/>
        <w:rPr>
          <w:rFonts w:eastAsiaTheme="minorEastAsia"/>
        </w:rPr>
      </w:pPr>
      <w:r w:rsidRPr="007C705C">
        <w:rPr>
          <w:rFonts w:eastAsiaTheme="minorEastAsia"/>
        </w:rPr>
        <w:t xml:space="preserve">Celková tuzemská produkční kapacita závodů na výrobu bionafty FAME se v roce 2017 ustálila na 340 tis. t. stejně jako v roce předešlém. Výrobu certifikovaného FAME/MEŘO v roce 2017 z nakupovaných surovin pro tuzemskou spotřebu a vývoz zajišťovaly pouze společnosti Preol, a.s., Lovosice a Primagra, a.s., Milín. Společnost Temperatior, s.r.o., Liberec zpracovávala </w:t>
      </w:r>
      <w:r w:rsidRPr="007C705C">
        <w:rPr>
          <w:rFonts w:eastAsiaTheme="minorEastAsia"/>
        </w:rPr>
        <w:lastRenderedPageBreak/>
        <w:t>odpadní živočišné tuky na FAME pouze pro jejich vývoz. Některé z ostatních provozů buď výrobu přerušily, nebo se zaměřily na dílčí činnosti jako je lisování řepky olejky, prodej řepkového oleje, obchod s řepkovým olejem a FAME, zpracování mastných kyselin na surové FAME a jejich prodej k zušlechtění na FAME. Průměrné využití výrobních kapacit v roce 2017 dosáhlo 46 %.</w:t>
      </w:r>
    </w:p>
    <w:p w14:paraId="55E31103" w14:textId="1E0BAEFB" w:rsidR="007D229D" w:rsidRDefault="003E0F58" w:rsidP="005945D2">
      <w:pPr>
        <w:pStyle w:val="UZEINormaln"/>
      </w:pPr>
      <w:r w:rsidRPr="007C705C">
        <w:rPr>
          <w:rFonts w:eastAsiaTheme="minorEastAsia"/>
        </w:rPr>
        <w:t xml:space="preserve">Bilanci výroby FAME v ČR, vývoz, dovoz a hrubou spotřebu uvádí </w:t>
      </w:r>
      <w:bookmarkStart w:id="652" w:name="_Toc77245886"/>
      <w:r w:rsidR="00A51001">
        <w:fldChar w:fldCharType="begin"/>
      </w:r>
      <w:r w:rsidR="00A51001">
        <w:rPr>
          <w:rFonts w:eastAsiaTheme="minorEastAsia"/>
        </w:rPr>
        <w:instrText xml:space="preserve"> REF _Ref81342142 \r \h </w:instrText>
      </w:r>
      <w:r w:rsidR="00A51001">
        <w:fldChar w:fldCharType="separate"/>
      </w:r>
      <w:r w:rsidR="00127D64">
        <w:rPr>
          <w:rFonts w:eastAsiaTheme="minorEastAsia"/>
        </w:rPr>
        <w:t>Tabulka 96</w:t>
      </w:r>
      <w:r w:rsidR="00A51001">
        <w:fldChar w:fldCharType="end"/>
      </w:r>
    </w:p>
    <w:p w14:paraId="211D5975" w14:textId="1E9504BA" w:rsidR="003E0F58" w:rsidRPr="007C705C" w:rsidRDefault="003E0F58" w:rsidP="007D229D">
      <w:pPr>
        <w:pStyle w:val="UZEITaB"/>
        <w:rPr>
          <w:rFonts w:eastAsiaTheme="minorEastAsia"/>
        </w:rPr>
      </w:pPr>
      <w:bookmarkStart w:id="653" w:name="_Ref81342142"/>
      <w:bookmarkStart w:id="654" w:name="_Toc94181656"/>
      <w:r w:rsidRPr="007C705C">
        <w:rPr>
          <w:rFonts w:eastAsiaTheme="minorEastAsia"/>
        </w:rPr>
        <w:t>Bilance výroby FAME a SMN30</w:t>
      </w:r>
      <w:bookmarkEnd w:id="652"/>
      <w:bookmarkEnd w:id="653"/>
      <w:bookmarkEnd w:id="654"/>
    </w:p>
    <w:p w14:paraId="07057873" w14:textId="4E456811" w:rsidR="003E0F58" w:rsidRPr="007C705C" w:rsidRDefault="003E0F58" w:rsidP="003E0F58">
      <w:pPr>
        <w:spacing w:line="276" w:lineRule="auto"/>
        <w:rPr>
          <w:rFonts w:cs="Times New Roman"/>
          <w:szCs w:val="24"/>
          <w:lang w:val="cs-CZ"/>
        </w:rPr>
      </w:pPr>
      <w:r w:rsidRPr="007C705C">
        <w:rPr>
          <w:rFonts w:cs="Times New Roman"/>
          <w:noProof/>
          <w:lang w:val="cs-CZ" w:eastAsia="cs-CZ"/>
        </w:rPr>
        <w:drawing>
          <wp:inline distT="0" distB="0" distL="0" distR="0" wp14:anchorId="118EAFAC" wp14:editId="29F606E5">
            <wp:extent cx="5534025" cy="1762125"/>
            <wp:effectExtent l="0" t="0" r="9525"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534025" cy="1762125"/>
                    </a:xfrm>
                    <a:prstGeom prst="rect">
                      <a:avLst/>
                    </a:prstGeom>
                    <a:noFill/>
                    <a:ln>
                      <a:noFill/>
                    </a:ln>
                  </pic:spPr>
                </pic:pic>
              </a:graphicData>
            </a:graphic>
          </wp:inline>
        </w:drawing>
      </w:r>
    </w:p>
    <w:p w14:paraId="77EA8A8C" w14:textId="77777777" w:rsidR="003E0F58" w:rsidRPr="007C705C" w:rsidRDefault="003E0F58" w:rsidP="003005E5">
      <w:pPr>
        <w:pStyle w:val="UZEINormaln"/>
        <w:rPr>
          <w:rFonts w:eastAsiaTheme="minorEastAsia"/>
        </w:rPr>
      </w:pPr>
      <w:r w:rsidRPr="007C705C">
        <w:rPr>
          <w:rFonts w:eastAsiaTheme="minorEastAsia"/>
        </w:rPr>
        <w:t xml:space="preserve">Výroba cca 157 tis. tun FAME v roce 2017 převýšila výrobu o 5,8 % v roce 2016 a hrubá spotřeba FAME převýšila spotřebu o 6,7 % téhož roku. Dovoz FAME, který na rozdíl od roku 2016 nepřekročil tuzemskou výrobu, se snížil na 90,7 % úrovně roku 2016. Vývoz FAME 18,2 tis. tun činil pouze 44,6 % vyvezeného FAME v roce 2016. </w:t>
      </w:r>
    </w:p>
    <w:p w14:paraId="7BD21497" w14:textId="77777777" w:rsidR="003E0F58" w:rsidRPr="007C705C" w:rsidRDefault="003E0F58" w:rsidP="003005E5">
      <w:pPr>
        <w:pStyle w:val="UZEINormaln"/>
        <w:rPr>
          <w:rFonts w:eastAsiaTheme="minorEastAsia"/>
        </w:rPr>
      </w:pPr>
      <w:r w:rsidRPr="007C705C">
        <w:rPr>
          <w:rFonts w:eastAsiaTheme="minorEastAsia"/>
        </w:rPr>
        <w:t>Pro výrobu FAME se v ČR v roce 2017 spotřebovalo 376,2 tis. t řepkového zrna, což při průměrném výnosu 2,91 t/ha představuje plochu 129,3 tis. ha, resp. 33 % celkové sklizňové plochy řepky olejky v roce 2017.</w:t>
      </w:r>
    </w:p>
    <w:p w14:paraId="7F23309B" w14:textId="02C3CD03" w:rsidR="003E0F58" w:rsidRPr="003005E5" w:rsidRDefault="003E0F58" w:rsidP="003005E5">
      <w:pPr>
        <w:pStyle w:val="UZEINormaln"/>
        <w:rPr>
          <w:rFonts w:eastAsiaTheme="minorEastAsia"/>
        </w:rPr>
      </w:pPr>
      <w:r w:rsidRPr="007C705C">
        <w:rPr>
          <w:rFonts w:eastAsiaTheme="minorEastAsia"/>
        </w:rPr>
        <w:t>Průměrná velkoobchodní cena nafty v roce 2017 byla 22,58 Kč/l (z toho činila spotřební daň 10,95 Kč/l), směsné nafty 23,02 Kč/l (spotřební daň 8,515 Kč/l), čisté bionafty B100 24,78 Kč/l (spotřební daň 2,19 Kč/l).</w:t>
      </w:r>
    </w:p>
    <w:p w14:paraId="040C99A8" w14:textId="77777777" w:rsidR="003E0F58" w:rsidRPr="007C705C" w:rsidRDefault="003E0F58" w:rsidP="003005E5">
      <w:pPr>
        <w:pStyle w:val="UZEINormaln"/>
        <w:rPr>
          <w:rFonts w:eastAsiaTheme="minorEastAsia"/>
          <w:b/>
          <w:bCs/>
        </w:rPr>
      </w:pPr>
      <w:r w:rsidRPr="007C705C">
        <w:rPr>
          <w:rFonts w:eastAsiaTheme="minorEastAsia"/>
          <w:b/>
          <w:bCs/>
        </w:rPr>
        <w:t xml:space="preserve">Vývoj hrubé konečné spotřeby OZE v ČR </w:t>
      </w:r>
    </w:p>
    <w:p w14:paraId="3888D312" w14:textId="7EE5DC6E" w:rsidR="003E0F58" w:rsidRPr="003005E5" w:rsidRDefault="003E0F58" w:rsidP="003005E5">
      <w:pPr>
        <w:pStyle w:val="UZEINormaln"/>
        <w:rPr>
          <w:rFonts w:eastAsiaTheme="minorEastAsia"/>
        </w:rPr>
      </w:pPr>
      <w:r w:rsidRPr="007C705C">
        <w:rPr>
          <w:rFonts w:eastAsiaTheme="minorEastAsia"/>
        </w:rPr>
        <w:t>Zprávy o pokroku při podporování a využívání energie z obnovitelných zdrojů v České republice za roky 2011–2014 (novější Zpráva za roky 2015 – 2016 není zatím zveřejněna) uvádějí (</w:t>
      </w:r>
      <w:r w:rsidR="003005E5">
        <w:fldChar w:fldCharType="begin"/>
      </w:r>
      <w:r w:rsidR="003005E5">
        <w:rPr>
          <w:rFonts w:eastAsiaTheme="minorEastAsia"/>
        </w:rPr>
        <w:instrText xml:space="preserve"> REF _Ref81341604 \r \h </w:instrText>
      </w:r>
      <w:r w:rsidR="003005E5">
        <w:fldChar w:fldCharType="separate"/>
      </w:r>
      <w:r w:rsidR="00127D64">
        <w:rPr>
          <w:rFonts w:eastAsiaTheme="minorEastAsia"/>
        </w:rPr>
        <w:t>Tabulka 97</w:t>
      </w:r>
      <w:r w:rsidR="003005E5">
        <w:fldChar w:fldCharType="end"/>
      </w:r>
      <w:r w:rsidRPr="007C705C">
        <w:rPr>
          <w:rFonts w:eastAsiaTheme="minorEastAsia"/>
        </w:rPr>
        <w:t>), že podíl OZE na odvětví vytápění a chlazení v roce 2014 dosáhl 16,75 % (meziroční index 8,8 %), v případě spotřeby elektřiny OZE činily 13,92 % (index 9,2 %) a v dopravě 6,13 % (index 9,7 %). Celkový podíl OZE na hrubé konečné spotřebě dosáhnul 13,36 % v roce 2014.</w:t>
      </w:r>
    </w:p>
    <w:p w14:paraId="74163E77" w14:textId="50C49A9F" w:rsidR="003E0F58" w:rsidRPr="007C705C" w:rsidRDefault="003005E5" w:rsidP="003005E5">
      <w:pPr>
        <w:pStyle w:val="UZEITaB"/>
        <w:rPr>
          <w:rFonts w:eastAsiaTheme="minorEastAsia"/>
        </w:rPr>
      </w:pPr>
      <w:bookmarkStart w:id="655" w:name="_Toc77245887"/>
      <w:r>
        <w:rPr>
          <w:rFonts w:eastAsiaTheme="minorEastAsia"/>
        </w:rPr>
        <w:t xml:space="preserve"> </w:t>
      </w:r>
      <w:bookmarkStart w:id="656" w:name="_Ref81341604"/>
      <w:bookmarkStart w:id="657" w:name="_Toc94181657"/>
      <w:r w:rsidR="003E0F58" w:rsidRPr="007C705C">
        <w:rPr>
          <w:rFonts w:eastAsiaTheme="minorEastAsia"/>
        </w:rPr>
        <w:t>Odvětvové (elektřina, vytápění a chlazení a doprava) a celkové podíly energie z obnovitelných zdrojů</w:t>
      </w:r>
      <w:bookmarkEnd w:id="655"/>
      <w:bookmarkEnd w:id="656"/>
      <w:bookmarkEnd w:id="657"/>
    </w:p>
    <w:tbl>
      <w:tblPr>
        <w:tblStyle w:val="Mkatabulky"/>
        <w:tblW w:w="0" w:type="auto"/>
        <w:tblLook w:val="04A0" w:firstRow="1" w:lastRow="0" w:firstColumn="1" w:lastColumn="0" w:noHBand="0" w:noVBand="1"/>
      </w:tblPr>
      <w:tblGrid>
        <w:gridCol w:w="2263"/>
        <w:gridCol w:w="1560"/>
        <w:gridCol w:w="1613"/>
        <w:gridCol w:w="1813"/>
        <w:gridCol w:w="1813"/>
      </w:tblGrid>
      <w:tr w:rsidR="003E0F58" w:rsidRPr="007C705C" w14:paraId="3E62A251" w14:textId="77777777" w:rsidTr="004D2249">
        <w:tc>
          <w:tcPr>
            <w:tcW w:w="2263" w:type="dxa"/>
          </w:tcPr>
          <w:p w14:paraId="14674EC6" w14:textId="77777777" w:rsidR="003E0F58" w:rsidRPr="007C705C" w:rsidRDefault="003E0F58" w:rsidP="004D2249">
            <w:pPr>
              <w:spacing w:line="276" w:lineRule="auto"/>
              <w:rPr>
                <w:szCs w:val="24"/>
              </w:rPr>
            </w:pPr>
          </w:p>
        </w:tc>
        <w:tc>
          <w:tcPr>
            <w:tcW w:w="1560" w:type="dxa"/>
          </w:tcPr>
          <w:p w14:paraId="5A45B900" w14:textId="77777777" w:rsidR="003E0F58" w:rsidRPr="007C705C" w:rsidRDefault="003E0F58" w:rsidP="004D2249">
            <w:pPr>
              <w:spacing w:line="276" w:lineRule="auto"/>
              <w:rPr>
                <w:rFonts w:eastAsiaTheme="minorEastAsia"/>
              </w:rPr>
            </w:pPr>
            <w:r w:rsidRPr="007C705C">
              <w:rPr>
                <w:rFonts w:eastAsiaTheme="minorEastAsia"/>
              </w:rPr>
              <w:t>2011</w:t>
            </w:r>
          </w:p>
        </w:tc>
        <w:tc>
          <w:tcPr>
            <w:tcW w:w="1613" w:type="dxa"/>
          </w:tcPr>
          <w:p w14:paraId="3FD7223F" w14:textId="77777777" w:rsidR="003E0F58" w:rsidRPr="007C705C" w:rsidRDefault="003E0F58" w:rsidP="004D2249">
            <w:pPr>
              <w:spacing w:line="276" w:lineRule="auto"/>
              <w:rPr>
                <w:rFonts w:eastAsiaTheme="minorEastAsia"/>
              </w:rPr>
            </w:pPr>
            <w:r w:rsidRPr="007C705C">
              <w:rPr>
                <w:rFonts w:eastAsiaTheme="minorEastAsia"/>
              </w:rPr>
              <w:t>2012</w:t>
            </w:r>
          </w:p>
        </w:tc>
        <w:tc>
          <w:tcPr>
            <w:tcW w:w="1813" w:type="dxa"/>
          </w:tcPr>
          <w:p w14:paraId="3B499E48" w14:textId="77777777" w:rsidR="003E0F58" w:rsidRPr="007C705C" w:rsidRDefault="003E0F58" w:rsidP="004D2249">
            <w:pPr>
              <w:spacing w:line="276" w:lineRule="auto"/>
              <w:rPr>
                <w:rFonts w:eastAsiaTheme="minorEastAsia"/>
              </w:rPr>
            </w:pPr>
            <w:r w:rsidRPr="007C705C">
              <w:rPr>
                <w:rFonts w:eastAsiaTheme="minorEastAsia"/>
              </w:rPr>
              <w:t>2013</w:t>
            </w:r>
          </w:p>
        </w:tc>
        <w:tc>
          <w:tcPr>
            <w:tcW w:w="1813" w:type="dxa"/>
          </w:tcPr>
          <w:p w14:paraId="124A105E" w14:textId="77777777" w:rsidR="003E0F58" w:rsidRPr="007C705C" w:rsidRDefault="003E0F58" w:rsidP="004D2249">
            <w:pPr>
              <w:spacing w:line="276" w:lineRule="auto"/>
              <w:rPr>
                <w:rFonts w:eastAsiaTheme="minorEastAsia"/>
              </w:rPr>
            </w:pPr>
            <w:r w:rsidRPr="007C705C">
              <w:rPr>
                <w:rFonts w:eastAsiaTheme="minorEastAsia"/>
              </w:rPr>
              <w:t>2014</w:t>
            </w:r>
          </w:p>
        </w:tc>
      </w:tr>
      <w:tr w:rsidR="003E0F58" w:rsidRPr="007C705C" w14:paraId="75CD1AC9" w14:textId="77777777" w:rsidTr="004D2249">
        <w:tc>
          <w:tcPr>
            <w:tcW w:w="2263" w:type="dxa"/>
          </w:tcPr>
          <w:p w14:paraId="68F9D1CB" w14:textId="77777777" w:rsidR="003E0F58" w:rsidRPr="007C705C" w:rsidRDefault="003E0F58" w:rsidP="004D2249">
            <w:pPr>
              <w:spacing w:line="276" w:lineRule="auto"/>
              <w:rPr>
                <w:rFonts w:eastAsiaTheme="minorEastAsia"/>
              </w:rPr>
            </w:pPr>
            <w:r w:rsidRPr="007C705C">
              <w:rPr>
                <w:rFonts w:eastAsiaTheme="minorEastAsia"/>
              </w:rPr>
              <w:t>OZE-V &amp; CH (%)</w:t>
            </w:r>
          </w:p>
        </w:tc>
        <w:tc>
          <w:tcPr>
            <w:tcW w:w="1560" w:type="dxa"/>
          </w:tcPr>
          <w:p w14:paraId="52F246D1" w14:textId="77777777" w:rsidR="003E0F58" w:rsidRPr="007C705C" w:rsidRDefault="003E0F58" w:rsidP="004D2249">
            <w:pPr>
              <w:spacing w:line="276" w:lineRule="auto"/>
              <w:rPr>
                <w:rFonts w:eastAsiaTheme="minorEastAsia"/>
              </w:rPr>
            </w:pPr>
            <w:r w:rsidRPr="007C705C">
              <w:rPr>
                <w:rFonts w:eastAsiaTheme="minorEastAsia"/>
              </w:rPr>
              <w:t>12,65</w:t>
            </w:r>
          </w:p>
        </w:tc>
        <w:tc>
          <w:tcPr>
            <w:tcW w:w="1613" w:type="dxa"/>
          </w:tcPr>
          <w:p w14:paraId="3393933F" w14:textId="77777777" w:rsidR="003E0F58" w:rsidRPr="007C705C" w:rsidRDefault="003E0F58" w:rsidP="004D2249">
            <w:pPr>
              <w:spacing w:line="276" w:lineRule="auto"/>
              <w:rPr>
                <w:rFonts w:eastAsiaTheme="minorEastAsia"/>
              </w:rPr>
            </w:pPr>
            <w:r w:rsidRPr="007C705C">
              <w:rPr>
                <w:rFonts w:eastAsiaTheme="minorEastAsia"/>
              </w:rPr>
              <w:t>13,64</w:t>
            </w:r>
          </w:p>
        </w:tc>
        <w:tc>
          <w:tcPr>
            <w:tcW w:w="1813" w:type="dxa"/>
          </w:tcPr>
          <w:p w14:paraId="3F84B120" w14:textId="77777777" w:rsidR="003E0F58" w:rsidRPr="007C705C" w:rsidRDefault="003E0F58" w:rsidP="004D2249">
            <w:pPr>
              <w:spacing w:line="276" w:lineRule="auto"/>
              <w:rPr>
                <w:rFonts w:eastAsiaTheme="minorEastAsia"/>
              </w:rPr>
            </w:pPr>
            <w:r w:rsidRPr="007C705C">
              <w:rPr>
                <w:rFonts w:eastAsiaTheme="minorEastAsia"/>
              </w:rPr>
              <w:t>15,40</w:t>
            </w:r>
          </w:p>
        </w:tc>
        <w:tc>
          <w:tcPr>
            <w:tcW w:w="1813" w:type="dxa"/>
          </w:tcPr>
          <w:p w14:paraId="608BFF46" w14:textId="77777777" w:rsidR="003E0F58" w:rsidRPr="007C705C" w:rsidRDefault="003E0F58" w:rsidP="004D2249">
            <w:pPr>
              <w:spacing w:line="276" w:lineRule="auto"/>
              <w:rPr>
                <w:rFonts w:eastAsiaTheme="minorEastAsia"/>
              </w:rPr>
            </w:pPr>
            <w:r w:rsidRPr="007C705C">
              <w:rPr>
                <w:rFonts w:eastAsiaTheme="minorEastAsia"/>
              </w:rPr>
              <w:t>16,75</w:t>
            </w:r>
          </w:p>
        </w:tc>
      </w:tr>
      <w:tr w:rsidR="003E0F58" w:rsidRPr="007C705C" w14:paraId="63364C04" w14:textId="77777777" w:rsidTr="004D2249">
        <w:tc>
          <w:tcPr>
            <w:tcW w:w="2263" w:type="dxa"/>
          </w:tcPr>
          <w:p w14:paraId="5889829C" w14:textId="77777777" w:rsidR="003E0F58" w:rsidRPr="007C705C" w:rsidRDefault="003E0F58" w:rsidP="004D2249">
            <w:pPr>
              <w:spacing w:line="276" w:lineRule="auto"/>
              <w:rPr>
                <w:rFonts w:eastAsiaTheme="minorEastAsia"/>
              </w:rPr>
            </w:pPr>
            <w:r w:rsidRPr="007C705C">
              <w:rPr>
                <w:rFonts w:eastAsiaTheme="minorEastAsia"/>
              </w:rPr>
              <w:t>OZE-E (%)</w:t>
            </w:r>
          </w:p>
        </w:tc>
        <w:tc>
          <w:tcPr>
            <w:tcW w:w="1560" w:type="dxa"/>
          </w:tcPr>
          <w:p w14:paraId="2E648299" w14:textId="77777777" w:rsidR="003E0F58" w:rsidRPr="007C705C" w:rsidRDefault="003E0F58" w:rsidP="004D2249">
            <w:pPr>
              <w:spacing w:line="276" w:lineRule="auto"/>
              <w:rPr>
                <w:rFonts w:eastAsiaTheme="minorEastAsia"/>
              </w:rPr>
            </w:pPr>
            <w:r w:rsidRPr="007C705C">
              <w:rPr>
                <w:rFonts w:eastAsiaTheme="minorEastAsia"/>
              </w:rPr>
              <w:t>10,60</w:t>
            </w:r>
          </w:p>
        </w:tc>
        <w:tc>
          <w:tcPr>
            <w:tcW w:w="1613" w:type="dxa"/>
          </w:tcPr>
          <w:p w14:paraId="60F2FEF2" w14:textId="77777777" w:rsidR="003E0F58" w:rsidRPr="007C705C" w:rsidRDefault="003E0F58" w:rsidP="004D2249">
            <w:pPr>
              <w:spacing w:line="276" w:lineRule="auto"/>
              <w:rPr>
                <w:rFonts w:eastAsiaTheme="minorEastAsia"/>
              </w:rPr>
            </w:pPr>
            <w:r w:rsidRPr="007C705C">
              <w:rPr>
                <w:rFonts w:eastAsiaTheme="minorEastAsia"/>
              </w:rPr>
              <w:t>11,64</w:t>
            </w:r>
          </w:p>
        </w:tc>
        <w:tc>
          <w:tcPr>
            <w:tcW w:w="1813" w:type="dxa"/>
          </w:tcPr>
          <w:p w14:paraId="652B822C" w14:textId="77777777" w:rsidR="003E0F58" w:rsidRPr="007C705C" w:rsidRDefault="003E0F58" w:rsidP="004D2249">
            <w:pPr>
              <w:spacing w:line="276" w:lineRule="auto"/>
              <w:rPr>
                <w:rFonts w:eastAsiaTheme="minorEastAsia"/>
              </w:rPr>
            </w:pPr>
            <w:r w:rsidRPr="007C705C">
              <w:rPr>
                <w:rFonts w:eastAsiaTheme="minorEastAsia"/>
              </w:rPr>
              <w:t>12,75</w:t>
            </w:r>
          </w:p>
        </w:tc>
        <w:tc>
          <w:tcPr>
            <w:tcW w:w="1813" w:type="dxa"/>
          </w:tcPr>
          <w:p w14:paraId="512DC047" w14:textId="77777777" w:rsidR="003E0F58" w:rsidRPr="007C705C" w:rsidRDefault="003E0F58" w:rsidP="004D2249">
            <w:pPr>
              <w:spacing w:line="276" w:lineRule="auto"/>
              <w:rPr>
                <w:rFonts w:eastAsiaTheme="minorEastAsia"/>
              </w:rPr>
            </w:pPr>
            <w:r w:rsidRPr="007C705C">
              <w:rPr>
                <w:rFonts w:eastAsiaTheme="minorEastAsia"/>
              </w:rPr>
              <w:t>13,92</w:t>
            </w:r>
          </w:p>
        </w:tc>
      </w:tr>
      <w:tr w:rsidR="003E0F58" w:rsidRPr="007C705C" w14:paraId="5AECCAB8" w14:textId="77777777" w:rsidTr="004D2249">
        <w:tc>
          <w:tcPr>
            <w:tcW w:w="2263" w:type="dxa"/>
          </w:tcPr>
          <w:p w14:paraId="350F28B2" w14:textId="77777777" w:rsidR="003E0F58" w:rsidRPr="007C705C" w:rsidRDefault="003E0F58" w:rsidP="004D2249">
            <w:pPr>
              <w:spacing w:line="276" w:lineRule="auto"/>
              <w:rPr>
                <w:rFonts w:eastAsiaTheme="minorEastAsia"/>
              </w:rPr>
            </w:pPr>
            <w:r w:rsidRPr="007C705C">
              <w:rPr>
                <w:rFonts w:eastAsiaTheme="minorEastAsia"/>
              </w:rPr>
              <w:t>OZE-D (%)</w:t>
            </w:r>
          </w:p>
        </w:tc>
        <w:tc>
          <w:tcPr>
            <w:tcW w:w="1560" w:type="dxa"/>
          </w:tcPr>
          <w:p w14:paraId="2198F614" w14:textId="77777777" w:rsidR="003E0F58" w:rsidRPr="007C705C" w:rsidRDefault="003E0F58" w:rsidP="004D2249">
            <w:pPr>
              <w:spacing w:line="276" w:lineRule="auto"/>
              <w:rPr>
                <w:rFonts w:eastAsiaTheme="minorEastAsia"/>
              </w:rPr>
            </w:pPr>
            <w:r w:rsidRPr="007C705C">
              <w:rPr>
                <w:rFonts w:eastAsiaTheme="minorEastAsia"/>
              </w:rPr>
              <w:t>5,90</w:t>
            </w:r>
          </w:p>
        </w:tc>
        <w:tc>
          <w:tcPr>
            <w:tcW w:w="1613" w:type="dxa"/>
          </w:tcPr>
          <w:p w14:paraId="042526B3" w14:textId="77777777" w:rsidR="003E0F58" w:rsidRPr="007C705C" w:rsidRDefault="003E0F58" w:rsidP="004D2249">
            <w:pPr>
              <w:spacing w:line="276" w:lineRule="auto"/>
              <w:rPr>
                <w:rFonts w:eastAsiaTheme="minorEastAsia"/>
              </w:rPr>
            </w:pPr>
            <w:r w:rsidRPr="007C705C">
              <w:rPr>
                <w:rFonts w:eastAsiaTheme="minorEastAsia"/>
              </w:rPr>
              <w:t>5,59</w:t>
            </w:r>
          </w:p>
        </w:tc>
        <w:tc>
          <w:tcPr>
            <w:tcW w:w="1813" w:type="dxa"/>
          </w:tcPr>
          <w:p w14:paraId="204A54CE" w14:textId="77777777" w:rsidR="003E0F58" w:rsidRPr="007C705C" w:rsidRDefault="003E0F58" w:rsidP="004D2249">
            <w:pPr>
              <w:spacing w:line="276" w:lineRule="auto"/>
              <w:rPr>
                <w:rFonts w:eastAsiaTheme="minorEastAsia"/>
              </w:rPr>
            </w:pPr>
            <w:r w:rsidRPr="007C705C">
              <w:rPr>
                <w:rFonts w:eastAsiaTheme="minorEastAsia"/>
              </w:rPr>
              <w:t>5,59</w:t>
            </w:r>
          </w:p>
        </w:tc>
        <w:tc>
          <w:tcPr>
            <w:tcW w:w="1813" w:type="dxa"/>
          </w:tcPr>
          <w:p w14:paraId="5EA42A04" w14:textId="77777777" w:rsidR="003E0F58" w:rsidRPr="007C705C" w:rsidRDefault="003E0F58" w:rsidP="004D2249">
            <w:pPr>
              <w:spacing w:line="276" w:lineRule="auto"/>
              <w:rPr>
                <w:rFonts w:eastAsiaTheme="minorEastAsia"/>
              </w:rPr>
            </w:pPr>
            <w:r w:rsidRPr="007C705C">
              <w:rPr>
                <w:rFonts w:eastAsiaTheme="minorEastAsia"/>
              </w:rPr>
              <w:t>6,13</w:t>
            </w:r>
          </w:p>
        </w:tc>
      </w:tr>
      <w:tr w:rsidR="003E0F58" w:rsidRPr="007C705C" w14:paraId="556358BE" w14:textId="77777777" w:rsidTr="004D2249">
        <w:tc>
          <w:tcPr>
            <w:tcW w:w="2263" w:type="dxa"/>
          </w:tcPr>
          <w:p w14:paraId="4929EAEE" w14:textId="77777777" w:rsidR="003E0F58" w:rsidRPr="007C705C" w:rsidRDefault="003E0F58" w:rsidP="004D2249">
            <w:pPr>
              <w:spacing w:line="276" w:lineRule="auto"/>
              <w:rPr>
                <w:rFonts w:eastAsiaTheme="minorEastAsia"/>
              </w:rPr>
            </w:pPr>
            <w:r w:rsidRPr="007C705C">
              <w:rPr>
                <w:rFonts w:eastAsiaTheme="minorEastAsia"/>
              </w:rPr>
              <w:t>Celkový podíl OZE (%)</w:t>
            </w:r>
          </w:p>
        </w:tc>
        <w:tc>
          <w:tcPr>
            <w:tcW w:w="1560" w:type="dxa"/>
          </w:tcPr>
          <w:p w14:paraId="6826907D" w14:textId="77777777" w:rsidR="003E0F58" w:rsidRPr="007C705C" w:rsidRDefault="003E0F58" w:rsidP="004D2249">
            <w:pPr>
              <w:spacing w:line="276" w:lineRule="auto"/>
              <w:rPr>
                <w:rFonts w:eastAsiaTheme="minorEastAsia"/>
              </w:rPr>
            </w:pPr>
            <w:r w:rsidRPr="007C705C">
              <w:rPr>
                <w:rFonts w:eastAsiaTheme="minorEastAsia"/>
              </w:rPr>
              <w:t>10,47</w:t>
            </w:r>
          </w:p>
        </w:tc>
        <w:tc>
          <w:tcPr>
            <w:tcW w:w="1613" w:type="dxa"/>
          </w:tcPr>
          <w:p w14:paraId="2A81F80F" w14:textId="77777777" w:rsidR="003E0F58" w:rsidRPr="007C705C" w:rsidRDefault="003E0F58" w:rsidP="004D2249">
            <w:pPr>
              <w:spacing w:line="276" w:lineRule="auto"/>
              <w:rPr>
                <w:rFonts w:eastAsiaTheme="minorEastAsia"/>
              </w:rPr>
            </w:pPr>
            <w:r w:rsidRPr="007C705C">
              <w:rPr>
                <w:rFonts w:eastAsiaTheme="minorEastAsia"/>
              </w:rPr>
              <w:t>11,22</w:t>
            </w:r>
          </w:p>
        </w:tc>
        <w:tc>
          <w:tcPr>
            <w:tcW w:w="1813" w:type="dxa"/>
          </w:tcPr>
          <w:p w14:paraId="57161976" w14:textId="77777777" w:rsidR="003E0F58" w:rsidRPr="007C705C" w:rsidRDefault="003E0F58" w:rsidP="004D2249">
            <w:pPr>
              <w:spacing w:line="276" w:lineRule="auto"/>
              <w:rPr>
                <w:rFonts w:eastAsiaTheme="minorEastAsia"/>
              </w:rPr>
            </w:pPr>
            <w:r w:rsidRPr="007C705C">
              <w:rPr>
                <w:rFonts w:eastAsiaTheme="minorEastAsia"/>
              </w:rPr>
              <w:t>12,43</w:t>
            </w:r>
          </w:p>
        </w:tc>
        <w:tc>
          <w:tcPr>
            <w:tcW w:w="1813" w:type="dxa"/>
          </w:tcPr>
          <w:p w14:paraId="05DB9EAF" w14:textId="77777777" w:rsidR="003E0F58" w:rsidRPr="007C705C" w:rsidRDefault="003E0F58" w:rsidP="004D2249">
            <w:pPr>
              <w:spacing w:line="276" w:lineRule="auto"/>
              <w:rPr>
                <w:rFonts w:eastAsiaTheme="minorEastAsia"/>
              </w:rPr>
            </w:pPr>
            <w:r w:rsidRPr="007C705C">
              <w:rPr>
                <w:rFonts w:eastAsiaTheme="minorEastAsia"/>
              </w:rPr>
              <w:t>13,36</w:t>
            </w:r>
          </w:p>
        </w:tc>
      </w:tr>
    </w:tbl>
    <w:p w14:paraId="5F506190" w14:textId="77777777" w:rsidR="003E0F58" w:rsidRPr="007C705C" w:rsidRDefault="003E0F58" w:rsidP="003E0F58">
      <w:pPr>
        <w:spacing w:line="276" w:lineRule="auto"/>
        <w:rPr>
          <w:rFonts w:eastAsiaTheme="minorEastAsia" w:cs="Times New Roman"/>
          <w:i/>
          <w:iCs/>
          <w:sz w:val="20"/>
          <w:szCs w:val="20"/>
          <w:lang w:val="cs-CZ"/>
        </w:rPr>
      </w:pPr>
      <w:r w:rsidRPr="007C705C">
        <w:rPr>
          <w:rFonts w:eastAsiaTheme="minorEastAsia" w:cs="Times New Roman"/>
          <w:i/>
          <w:iCs/>
          <w:sz w:val="20"/>
          <w:szCs w:val="20"/>
          <w:lang w:val="cs-CZ"/>
        </w:rPr>
        <w:t>Zdroj: Zpráva o pokroku při podporování a využívání energie z obnovitelných zdrojů v České republice</w:t>
      </w:r>
    </w:p>
    <w:p w14:paraId="29BBCAC6" w14:textId="77777777" w:rsidR="003E0F58" w:rsidRPr="007C705C" w:rsidRDefault="003E0F58" w:rsidP="003E0F58">
      <w:pPr>
        <w:spacing w:line="276" w:lineRule="auto"/>
        <w:rPr>
          <w:rFonts w:cs="Times New Roman"/>
          <w:szCs w:val="24"/>
          <w:lang w:val="cs-CZ"/>
        </w:rPr>
      </w:pPr>
    </w:p>
    <w:p w14:paraId="245ED244" w14:textId="77777777" w:rsidR="003E0F58" w:rsidRPr="007C705C" w:rsidRDefault="003E0F58" w:rsidP="003E0F58">
      <w:pPr>
        <w:pStyle w:val="Titulek"/>
      </w:pPr>
    </w:p>
    <w:p w14:paraId="1925B8ED" w14:textId="77777777" w:rsidR="007C4202" w:rsidRDefault="003E0F58" w:rsidP="00CF692B">
      <w:pPr>
        <w:keepNext/>
        <w:spacing w:line="276" w:lineRule="auto"/>
        <w:jc w:val="center"/>
      </w:pPr>
      <w:r w:rsidRPr="007C705C">
        <w:rPr>
          <w:rFonts w:cs="Times New Roman"/>
          <w:noProof/>
          <w:lang w:val="cs-CZ" w:eastAsia="cs-CZ"/>
        </w:rPr>
        <w:drawing>
          <wp:inline distT="0" distB="0" distL="0" distR="0" wp14:anchorId="5E733583" wp14:editId="04D8D6E2">
            <wp:extent cx="4584701" cy="2755900"/>
            <wp:effectExtent l="0" t="0" r="6350" b="6350"/>
            <wp:docPr id="283253501"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7"/>
                    <pic:cNvPicPr/>
                  </pic:nvPicPr>
                  <pic:blipFill>
                    <a:blip r:embed="rId84">
                      <a:extLst>
                        <a:ext uri="{28A0092B-C50C-407E-A947-70E740481C1C}">
                          <a14:useLocalDpi xmlns:a14="http://schemas.microsoft.com/office/drawing/2010/main" val="0"/>
                        </a:ext>
                      </a:extLst>
                    </a:blip>
                    <a:stretch>
                      <a:fillRect/>
                    </a:stretch>
                  </pic:blipFill>
                  <pic:spPr>
                    <a:xfrm>
                      <a:off x="0" y="0"/>
                      <a:ext cx="4584701" cy="2755900"/>
                    </a:xfrm>
                    <a:prstGeom prst="rect">
                      <a:avLst/>
                    </a:prstGeom>
                  </pic:spPr>
                </pic:pic>
              </a:graphicData>
            </a:graphic>
          </wp:inline>
        </w:drawing>
      </w:r>
    </w:p>
    <w:p w14:paraId="197F40EF" w14:textId="1B3D6D52" w:rsidR="003E0F58" w:rsidRPr="00CF692B" w:rsidRDefault="007C4202" w:rsidP="00CF692B">
      <w:pPr>
        <w:pStyle w:val="Titulek"/>
        <w:rPr>
          <w:rFonts w:eastAsiaTheme="minorEastAsia" w:cs="Arial"/>
          <w:noProof/>
          <w:sz w:val="20"/>
          <w:lang w:eastAsia="cs-CZ"/>
        </w:rPr>
      </w:pPr>
      <w:bookmarkStart w:id="658" w:name="_Toc93583795"/>
      <w:r w:rsidRPr="00CF692B">
        <w:rPr>
          <w:rFonts w:eastAsiaTheme="minorEastAsia" w:cs="Arial"/>
          <w:bCs w:val="0"/>
          <w:noProof/>
          <w:sz w:val="20"/>
          <w:lang w:eastAsia="cs-CZ"/>
        </w:rPr>
        <w:t xml:space="preserve">Obrázek </w:t>
      </w:r>
      <w:r w:rsidRPr="00CF692B">
        <w:rPr>
          <w:rFonts w:eastAsiaTheme="minorEastAsia" w:cs="Arial"/>
          <w:bCs w:val="0"/>
          <w:noProof/>
          <w:sz w:val="20"/>
          <w:lang w:eastAsia="cs-CZ"/>
        </w:rPr>
        <w:fldChar w:fldCharType="begin"/>
      </w:r>
      <w:r w:rsidRPr="00CF692B">
        <w:rPr>
          <w:rFonts w:eastAsiaTheme="minorEastAsia" w:cs="Arial"/>
          <w:bCs w:val="0"/>
          <w:noProof/>
          <w:sz w:val="20"/>
          <w:lang w:eastAsia="cs-CZ"/>
        </w:rPr>
        <w:instrText xml:space="preserve"> SEQ Obrázek \* ARABIC </w:instrText>
      </w:r>
      <w:r w:rsidRPr="00CF692B">
        <w:rPr>
          <w:rFonts w:eastAsiaTheme="minorEastAsia" w:cs="Arial"/>
          <w:bCs w:val="0"/>
          <w:noProof/>
          <w:sz w:val="20"/>
          <w:lang w:eastAsia="cs-CZ"/>
        </w:rPr>
        <w:fldChar w:fldCharType="separate"/>
      </w:r>
      <w:r w:rsidR="000C4C46">
        <w:rPr>
          <w:rFonts w:eastAsiaTheme="minorEastAsia" w:cs="Arial"/>
          <w:bCs w:val="0"/>
          <w:noProof/>
          <w:sz w:val="20"/>
          <w:lang w:eastAsia="cs-CZ"/>
        </w:rPr>
        <w:t>12</w:t>
      </w:r>
      <w:r w:rsidRPr="00CF692B">
        <w:rPr>
          <w:rFonts w:eastAsiaTheme="minorEastAsia" w:cs="Arial"/>
          <w:bCs w:val="0"/>
          <w:noProof/>
          <w:sz w:val="20"/>
          <w:lang w:eastAsia="cs-CZ"/>
        </w:rPr>
        <w:fldChar w:fldCharType="end"/>
      </w:r>
      <w:r w:rsidRPr="00CF692B">
        <w:rPr>
          <w:rFonts w:eastAsiaTheme="minorEastAsia" w:cs="Arial"/>
          <w:bCs w:val="0"/>
          <w:noProof/>
          <w:sz w:val="20"/>
          <w:lang w:eastAsia="cs-CZ"/>
        </w:rPr>
        <w:t xml:space="preserve"> Vývoj instalovaného výkonu různých technologií z OZE při výrobě elektřiny [MWh]</w:t>
      </w:r>
      <w:bookmarkEnd w:id="658"/>
    </w:p>
    <w:p w14:paraId="65DE56A0" w14:textId="429DB130" w:rsidR="003E0F58" w:rsidRPr="003005E5" w:rsidRDefault="003E0F58" w:rsidP="003005E5">
      <w:pPr>
        <w:pStyle w:val="UZEIZdroj"/>
      </w:pPr>
      <w:r w:rsidRPr="007C705C">
        <w:t>Zdroj: Zpráva o pokroku při podporování a využívání energie z obnovitelných zdrojů v České republice(upraveno)</w:t>
      </w:r>
    </w:p>
    <w:p w14:paraId="58CDA9D2" w14:textId="77777777" w:rsidR="000C4C46" w:rsidRDefault="003E0F58" w:rsidP="00CF692B">
      <w:pPr>
        <w:keepNext/>
        <w:spacing w:line="276" w:lineRule="auto"/>
        <w:jc w:val="center"/>
      </w:pPr>
      <w:r w:rsidRPr="007C705C">
        <w:rPr>
          <w:rFonts w:cs="Times New Roman"/>
          <w:noProof/>
          <w:lang w:val="cs-CZ" w:eastAsia="cs-CZ"/>
        </w:rPr>
        <w:drawing>
          <wp:inline distT="0" distB="0" distL="0" distR="0" wp14:anchorId="0DB84BFC" wp14:editId="7247B8A4">
            <wp:extent cx="4584701" cy="2755900"/>
            <wp:effectExtent l="0" t="0" r="6350" b="6350"/>
            <wp:docPr id="600880797"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8"/>
                    <pic:cNvPicPr/>
                  </pic:nvPicPr>
                  <pic:blipFill>
                    <a:blip r:embed="rId85">
                      <a:extLst>
                        <a:ext uri="{28A0092B-C50C-407E-A947-70E740481C1C}">
                          <a14:useLocalDpi xmlns:a14="http://schemas.microsoft.com/office/drawing/2010/main" val="0"/>
                        </a:ext>
                      </a:extLst>
                    </a:blip>
                    <a:stretch>
                      <a:fillRect/>
                    </a:stretch>
                  </pic:blipFill>
                  <pic:spPr>
                    <a:xfrm>
                      <a:off x="0" y="0"/>
                      <a:ext cx="4584701" cy="2755900"/>
                    </a:xfrm>
                    <a:prstGeom prst="rect">
                      <a:avLst/>
                    </a:prstGeom>
                  </pic:spPr>
                </pic:pic>
              </a:graphicData>
            </a:graphic>
          </wp:inline>
        </w:drawing>
      </w:r>
    </w:p>
    <w:p w14:paraId="3E7D4E28" w14:textId="68A02B50" w:rsidR="003E0F58" w:rsidRPr="00CF692B" w:rsidRDefault="000C4C46" w:rsidP="00CF692B">
      <w:pPr>
        <w:pStyle w:val="Titulek"/>
        <w:jc w:val="left"/>
        <w:rPr>
          <w:rFonts w:eastAsiaTheme="minorEastAsia" w:cs="Arial"/>
          <w:noProof/>
          <w:sz w:val="20"/>
          <w:lang w:eastAsia="cs-CZ"/>
        </w:rPr>
      </w:pPr>
      <w:bookmarkStart w:id="659" w:name="_Toc93583796"/>
      <w:r w:rsidRPr="00CF692B">
        <w:rPr>
          <w:rFonts w:eastAsiaTheme="minorEastAsia" w:cs="Arial"/>
          <w:bCs w:val="0"/>
          <w:noProof/>
          <w:sz w:val="20"/>
          <w:lang w:eastAsia="cs-CZ"/>
        </w:rPr>
        <w:t xml:space="preserve">Obrázek </w:t>
      </w:r>
      <w:r w:rsidRPr="00CF692B">
        <w:rPr>
          <w:rFonts w:eastAsiaTheme="minorEastAsia" w:cs="Arial"/>
          <w:bCs w:val="0"/>
          <w:noProof/>
          <w:sz w:val="20"/>
          <w:lang w:eastAsia="cs-CZ"/>
        </w:rPr>
        <w:fldChar w:fldCharType="begin"/>
      </w:r>
      <w:r w:rsidRPr="00CF692B">
        <w:rPr>
          <w:rFonts w:eastAsiaTheme="minorEastAsia" w:cs="Arial"/>
          <w:bCs w:val="0"/>
          <w:noProof/>
          <w:sz w:val="20"/>
          <w:lang w:eastAsia="cs-CZ"/>
        </w:rPr>
        <w:instrText xml:space="preserve"> SEQ Obrázek \* ARABIC </w:instrText>
      </w:r>
      <w:r w:rsidRPr="00CF692B">
        <w:rPr>
          <w:rFonts w:eastAsiaTheme="minorEastAsia" w:cs="Arial"/>
          <w:bCs w:val="0"/>
          <w:noProof/>
          <w:sz w:val="20"/>
          <w:lang w:eastAsia="cs-CZ"/>
        </w:rPr>
        <w:fldChar w:fldCharType="separate"/>
      </w:r>
      <w:r>
        <w:rPr>
          <w:rFonts w:eastAsiaTheme="minorEastAsia" w:cs="Arial"/>
          <w:bCs w:val="0"/>
          <w:noProof/>
          <w:sz w:val="20"/>
          <w:lang w:eastAsia="cs-CZ"/>
        </w:rPr>
        <w:t>13</w:t>
      </w:r>
      <w:r w:rsidRPr="00CF692B">
        <w:rPr>
          <w:rFonts w:eastAsiaTheme="minorEastAsia" w:cs="Arial"/>
          <w:bCs w:val="0"/>
          <w:noProof/>
          <w:sz w:val="20"/>
          <w:lang w:eastAsia="cs-CZ"/>
        </w:rPr>
        <w:fldChar w:fldCharType="end"/>
      </w:r>
      <w:r w:rsidRPr="00CF692B">
        <w:rPr>
          <w:rFonts w:eastAsiaTheme="minorEastAsia" w:cs="Arial"/>
          <w:bCs w:val="0"/>
          <w:noProof/>
          <w:sz w:val="20"/>
          <w:lang w:eastAsia="cs-CZ"/>
        </w:rPr>
        <w:t xml:space="preserve"> Vývoj celkového skutečného příspěvku různých technologií z OZE při výrobě tepla a chladu (kToe</w:t>
      </w:r>
      <w:r>
        <w:rPr>
          <w:rFonts w:eastAsiaTheme="minorEastAsia" w:cs="Arial"/>
          <w:bCs w:val="0"/>
          <w:noProof/>
          <w:sz w:val="20"/>
          <w:lang w:eastAsia="cs-CZ"/>
        </w:rPr>
        <w:t>)</w:t>
      </w:r>
      <w:bookmarkEnd w:id="659"/>
    </w:p>
    <w:p w14:paraId="682C1EA2" w14:textId="77777777" w:rsidR="003E0F58" w:rsidRPr="007C705C" w:rsidRDefault="003E0F58" w:rsidP="003005E5">
      <w:pPr>
        <w:pStyle w:val="UZEIZdroj"/>
      </w:pPr>
      <w:r w:rsidRPr="007C705C">
        <w:t>Zdroj: Zpráva o pokroku při podporování a využívání energie z obnovitelných zdrojů v České republice(upraveno)</w:t>
      </w:r>
    </w:p>
    <w:p w14:paraId="7FA01F57" w14:textId="77777777" w:rsidR="003E0F58" w:rsidRPr="007C705C" w:rsidRDefault="003E0F58" w:rsidP="003005E5">
      <w:pPr>
        <w:pStyle w:val="UZEIZdroj"/>
      </w:pPr>
      <w:r w:rsidRPr="007C705C">
        <w:t>pozn.: k roku 2011 nejsou údaje pro Biomasa - tuhá biomasa, Biomasa – bioplyn, Biomasa – biokapaliny</w:t>
      </w:r>
    </w:p>
    <w:p w14:paraId="3CDF3B6D" w14:textId="08217318" w:rsidR="003E0F58" w:rsidRDefault="003E0F58" w:rsidP="003E0F58">
      <w:pPr>
        <w:spacing w:line="276" w:lineRule="auto"/>
        <w:rPr>
          <w:rFonts w:eastAsiaTheme="minorEastAsia" w:cs="Times New Roman"/>
          <w:i/>
          <w:sz w:val="20"/>
          <w:szCs w:val="20"/>
          <w:lang w:val="cs-CZ"/>
        </w:rPr>
      </w:pPr>
    </w:p>
    <w:p w14:paraId="064918D1" w14:textId="4D0D0C47" w:rsidR="003005E5" w:rsidRDefault="003005E5" w:rsidP="003E0F58">
      <w:pPr>
        <w:spacing w:line="276" w:lineRule="auto"/>
        <w:rPr>
          <w:rFonts w:eastAsiaTheme="minorEastAsia" w:cs="Times New Roman"/>
          <w:i/>
          <w:sz w:val="20"/>
          <w:szCs w:val="20"/>
          <w:lang w:val="cs-CZ"/>
        </w:rPr>
      </w:pPr>
    </w:p>
    <w:p w14:paraId="089CD3B7" w14:textId="3CF1C25F" w:rsidR="003005E5" w:rsidRDefault="003005E5" w:rsidP="003E0F58">
      <w:pPr>
        <w:spacing w:line="276" w:lineRule="auto"/>
        <w:rPr>
          <w:rFonts w:eastAsiaTheme="minorEastAsia" w:cs="Times New Roman"/>
          <w:i/>
          <w:sz w:val="20"/>
          <w:szCs w:val="20"/>
          <w:lang w:val="cs-CZ"/>
        </w:rPr>
      </w:pPr>
    </w:p>
    <w:p w14:paraId="21BA9CF1" w14:textId="135D989C" w:rsidR="003005E5" w:rsidRDefault="003005E5" w:rsidP="003E0F58">
      <w:pPr>
        <w:spacing w:line="276" w:lineRule="auto"/>
        <w:rPr>
          <w:rFonts w:eastAsiaTheme="minorEastAsia" w:cs="Times New Roman"/>
          <w:i/>
          <w:sz w:val="20"/>
          <w:szCs w:val="20"/>
          <w:lang w:val="cs-CZ"/>
        </w:rPr>
      </w:pPr>
    </w:p>
    <w:p w14:paraId="08B45AFD" w14:textId="3B1E1BBC" w:rsidR="003005E5" w:rsidRDefault="003005E5" w:rsidP="003E0F58">
      <w:pPr>
        <w:spacing w:line="276" w:lineRule="auto"/>
        <w:rPr>
          <w:rFonts w:eastAsiaTheme="minorEastAsia" w:cs="Times New Roman"/>
          <w:i/>
          <w:sz w:val="20"/>
          <w:szCs w:val="20"/>
          <w:lang w:val="cs-CZ"/>
        </w:rPr>
      </w:pPr>
    </w:p>
    <w:p w14:paraId="0D1AD66A" w14:textId="43504BB0" w:rsidR="003005E5" w:rsidRDefault="003005E5" w:rsidP="003E0F58">
      <w:pPr>
        <w:spacing w:line="276" w:lineRule="auto"/>
        <w:rPr>
          <w:rFonts w:eastAsiaTheme="minorEastAsia" w:cs="Times New Roman"/>
          <w:i/>
          <w:sz w:val="20"/>
          <w:szCs w:val="20"/>
          <w:lang w:val="cs-CZ"/>
        </w:rPr>
      </w:pPr>
    </w:p>
    <w:p w14:paraId="7A74752D" w14:textId="558FFE35" w:rsidR="003005E5" w:rsidRDefault="003005E5" w:rsidP="003E0F58">
      <w:pPr>
        <w:spacing w:line="276" w:lineRule="auto"/>
        <w:rPr>
          <w:rFonts w:eastAsiaTheme="minorEastAsia" w:cs="Times New Roman"/>
          <w:i/>
          <w:sz w:val="20"/>
          <w:szCs w:val="20"/>
          <w:lang w:val="cs-CZ"/>
        </w:rPr>
      </w:pPr>
    </w:p>
    <w:p w14:paraId="10180AE1" w14:textId="2D59B6FE" w:rsidR="003005E5" w:rsidRDefault="003005E5" w:rsidP="003E0F58">
      <w:pPr>
        <w:spacing w:line="276" w:lineRule="auto"/>
        <w:rPr>
          <w:rFonts w:eastAsiaTheme="minorEastAsia" w:cs="Times New Roman"/>
          <w:i/>
          <w:sz w:val="20"/>
          <w:szCs w:val="20"/>
          <w:lang w:val="cs-CZ"/>
        </w:rPr>
      </w:pPr>
    </w:p>
    <w:p w14:paraId="65CDE6C4" w14:textId="7202767C" w:rsidR="003005E5" w:rsidRDefault="003005E5" w:rsidP="003E0F58">
      <w:pPr>
        <w:spacing w:line="276" w:lineRule="auto"/>
        <w:rPr>
          <w:rFonts w:eastAsiaTheme="minorEastAsia" w:cs="Times New Roman"/>
          <w:i/>
          <w:sz w:val="20"/>
          <w:szCs w:val="20"/>
          <w:lang w:val="cs-CZ"/>
        </w:rPr>
      </w:pPr>
    </w:p>
    <w:p w14:paraId="63885E58" w14:textId="77777777" w:rsidR="003005E5" w:rsidRPr="007C705C" w:rsidRDefault="003005E5" w:rsidP="003E0F58">
      <w:pPr>
        <w:spacing w:line="276" w:lineRule="auto"/>
        <w:rPr>
          <w:rFonts w:eastAsiaTheme="minorEastAsia" w:cs="Times New Roman"/>
          <w:i/>
          <w:sz w:val="20"/>
          <w:szCs w:val="20"/>
          <w:lang w:val="cs-CZ"/>
        </w:rPr>
      </w:pPr>
    </w:p>
    <w:p w14:paraId="397ADAD2" w14:textId="77777777" w:rsidR="000C4C46" w:rsidRDefault="003E0F58" w:rsidP="00CF692B">
      <w:pPr>
        <w:keepNext/>
        <w:spacing w:line="276" w:lineRule="auto"/>
        <w:jc w:val="center"/>
      </w:pPr>
      <w:r w:rsidRPr="007C705C">
        <w:rPr>
          <w:rFonts w:cs="Times New Roman"/>
          <w:noProof/>
          <w:lang w:val="cs-CZ" w:eastAsia="cs-CZ"/>
        </w:rPr>
        <w:lastRenderedPageBreak/>
        <w:drawing>
          <wp:inline distT="0" distB="0" distL="0" distR="0" wp14:anchorId="44837153" wp14:editId="019F5FD6">
            <wp:extent cx="4584701" cy="2755900"/>
            <wp:effectExtent l="0" t="0" r="6350" b="6350"/>
            <wp:docPr id="59419300"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9"/>
                    <pic:cNvPicPr/>
                  </pic:nvPicPr>
                  <pic:blipFill>
                    <a:blip r:embed="rId86">
                      <a:extLst>
                        <a:ext uri="{28A0092B-C50C-407E-A947-70E740481C1C}">
                          <a14:useLocalDpi xmlns:a14="http://schemas.microsoft.com/office/drawing/2010/main" val="0"/>
                        </a:ext>
                      </a:extLst>
                    </a:blip>
                    <a:stretch>
                      <a:fillRect/>
                    </a:stretch>
                  </pic:blipFill>
                  <pic:spPr>
                    <a:xfrm>
                      <a:off x="0" y="0"/>
                      <a:ext cx="4584701" cy="2755900"/>
                    </a:xfrm>
                    <a:prstGeom prst="rect">
                      <a:avLst/>
                    </a:prstGeom>
                  </pic:spPr>
                </pic:pic>
              </a:graphicData>
            </a:graphic>
          </wp:inline>
        </w:drawing>
      </w:r>
    </w:p>
    <w:p w14:paraId="668097A3" w14:textId="423CCFD1" w:rsidR="003E0F58" w:rsidRPr="00CF692B" w:rsidRDefault="000C4C46" w:rsidP="00CF692B">
      <w:pPr>
        <w:pStyle w:val="Titulek"/>
        <w:jc w:val="left"/>
        <w:rPr>
          <w:rFonts w:eastAsiaTheme="minorEastAsia" w:cs="Arial"/>
          <w:noProof/>
          <w:sz w:val="20"/>
          <w:lang w:eastAsia="cs-CZ"/>
        </w:rPr>
      </w:pPr>
      <w:bookmarkStart w:id="660" w:name="_Toc93583797"/>
      <w:r w:rsidRPr="00CF692B">
        <w:rPr>
          <w:rFonts w:eastAsiaTheme="minorEastAsia" w:cs="Arial"/>
          <w:bCs w:val="0"/>
          <w:noProof/>
          <w:sz w:val="20"/>
          <w:lang w:eastAsia="cs-CZ"/>
        </w:rPr>
        <w:t xml:space="preserve">Obrázek </w:t>
      </w:r>
      <w:r w:rsidRPr="00CF692B">
        <w:rPr>
          <w:rFonts w:eastAsiaTheme="minorEastAsia" w:cs="Arial"/>
          <w:bCs w:val="0"/>
          <w:noProof/>
          <w:sz w:val="20"/>
          <w:lang w:eastAsia="cs-CZ"/>
        </w:rPr>
        <w:fldChar w:fldCharType="begin"/>
      </w:r>
      <w:r w:rsidRPr="00CF692B">
        <w:rPr>
          <w:rFonts w:eastAsiaTheme="minorEastAsia" w:cs="Arial"/>
          <w:bCs w:val="0"/>
          <w:noProof/>
          <w:sz w:val="20"/>
          <w:lang w:eastAsia="cs-CZ"/>
        </w:rPr>
        <w:instrText xml:space="preserve"> SEQ Obrázek \* ARABIC </w:instrText>
      </w:r>
      <w:r w:rsidRPr="00CF692B">
        <w:rPr>
          <w:rFonts w:eastAsiaTheme="minorEastAsia" w:cs="Arial"/>
          <w:bCs w:val="0"/>
          <w:noProof/>
          <w:sz w:val="20"/>
          <w:lang w:eastAsia="cs-CZ"/>
        </w:rPr>
        <w:fldChar w:fldCharType="separate"/>
      </w:r>
      <w:r w:rsidRPr="00CF692B">
        <w:rPr>
          <w:rFonts w:eastAsiaTheme="minorEastAsia" w:cs="Arial"/>
          <w:bCs w:val="0"/>
          <w:noProof/>
          <w:sz w:val="20"/>
          <w:lang w:eastAsia="cs-CZ"/>
        </w:rPr>
        <w:t>14</w:t>
      </w:r>
      <w:r w:rsidRPr="00CF692B">
        <w:rPr>
          <w:rFonts w:eastAsiaTheme="minorEastAsia" w:cs="Arial"/>
          <w:bCs w:val="0"/>
          <w:noProof/>
          <w:sz w:val="20"/>
          <w:lang w:eastAsia="cs-CZ"/>
        </w:rPr>
        <w:fldChar w:fldCharType="end"/>
      </w:r>
      <w:r w:rsidRPr="00CF692B">
        <w:rPr>
          <w:rFonts w:eastAsiaTheme="minorEastAsia" w:cs="Arial"/>
          <w:bCs w:val="0"/>
          <w:noProof/>
          <w:sz w:val="20"/>
          <w:lang w:eastAsia="cs-CZ"/>
        </w:rPr>
        <w:t xml:space="preserve"> Vývoj celkového skutečného příspěvku různých technologií z OZE v dopravě (kToe</w:t>
      </w:r>
      <w:r>
        <w:rPr>
          <w:rFonts w:eastAsiaTheme="minorEastAsia" w:cs="Arial"/>
          <w:bCs w:val="0"/>
          <w:noProof/>
          <w:sz w:val="20"/>
          <w:lang w:eastAsia="cs-CZ"/>
        </w:rPr>
        <w:t>)</w:t>
      </w:r>
      <w:bookmarkEnd w:id="660"/>
    </w:p>
    <w:p w14:paraId="15726F4B" w14:textId="2A38DB23" w:rsidR="003E0F58" w:rsidRPr="007C705C" w:rsidRDefault="003E0F58" w:rsidP="003005E5">
      <w:pPr>
        <w:pStyle w:val="UZEIZdroj"/>
      </w:pPr>
      <w:r w:rsidRPr="007C705C">
        <w:t>Zdroj: Zpráva o pokroku při podporování a využívání energie z obnovitelných zdrojů v České republice(upraveno)</w:t>
      </w:r>
    </w:p>
    <w:p w14:paraId="622449B7" w14:textId="28CF1444" w:rsidR="003E0F58" w:rsidRPr="007C705C" w:rsidRDefault="003E0F58" w:rsidP="003005E5">
      <w:pPr>
        <w:pStyle w:val="UZEINormaln"/>
        <w:rPr>
          <w:rFonts w:eastAsiaTheme="minorEastAsia"/>
        </w:rPr>
      </w:pPr>
      <w:r w:rsidRPr="007C705C">
        <w:rPr>
          <w:rFonts w:eastAsiaTheme="minorEastAsia"/>
        </w:rPr>
        <w:t xml:space="preserve">Z </w:t>
      </w:r>
      <w:r w:rsidR="0093556C">
        <w:fldChar w:fldCharType="begin"/>
      </w:r>
      <w:r w:rsidR="0093556C">
        <w:rPr>
          <w:rFonts w:eastAsiaTheme="minorEastAsia"/>
        </w:rPr>
        <w:instrText xml:space="preserve"> REF _Ref81341604 \r \h </w:instrText>
      </w:r>
      <w:r w:rsidR="0093556C">
        <w:fldChar w:fldCharType="separate"/>
      </w:r>
      <w:r w:rsidR="00127D64">
        <w:rPr>
          <w:rFonts w:eastAsiaTheme="minorEastAsia"/>
        </w:rPr>
        <w:t>Tabulka 97</w:t>
      </w:r>
      <w:r w:rsidR="0093556C">
        <w:fldChar w:fldCharType="end"/>
      </w:r>
      <w:r w:rsidR="00A51001">
        <w:t xml:space="preserve"> </w:t>
      </w:r>
      <w:r w:rsidRPr="007C705C">
        <w:rPr>
          <w:rFonts w:eastAsiaTheme="minorEastAsia"/>
        </w:rPr>
        <w:t xml:space="preserve">je zřejmé, že odvětvový nárůst podílů OZE byl srovnatelný a pohyboval se meziročně cca mezi 9–10 %. Při rozlišení technologií vztažených na jednotlivá odvětví je z </w:t>
      </w:r>
      <w:r w:rsidRPr="007C705C">
        <w:fldChar w:fldCharType="begin"/>
      </w:r>
      <w:r w:rsidRPr="007C705C">
        <w:instrText xml:space="preserve"> REF _Ref517180364 \h  \* MERGEFORMAT </w:instrText>
      </w:r>
      <w:r w:rsidRPr="007C705C">
        <w:fldChar w:fldCharType="separate"/>
      </w:r>
      <w:r w:rsidR="00127D64">
        <w:rPr>
          <w:b/>
          <w:bCs/>
        </w:rPr>
        <w:t>Chyba! Nenalezen zdroj odkazů.</w:t>
      </w:r>
      <w:r w:rsidRPr="007C705C">
        <w:fldChar w:fldCharType="end"/>
      </w:r>
      <w:r w:rsidRPr="007C705C">
        <w:rPr>
          <w:rFonts w:eastAsiaTheme="minorEastAsia"/>
        </w:rPr>
        <w:t xml:space="preserve"> - </w:t>
      </w:r>
      <w:r w:rsidRPr="007C705C">
        <w:fldChar w:fldCharType="begin"/>
      </w:r>
      <w:r w:rsidRPr="007C705C">
        <w:instrText xml:space="preserve"> REF _Ref517180383 \h  \* MERGEFORMAT </w:instrText>
      </w:r>
      <w:r w:rsidRPr="007C705C">
        <w:fldChar w:fldCharType="separate"/>
      </w:r>
      <w:r w:rsidR="00127D64">
        <w:rPr>
          <w:b/>
          <w:bCs/>
        </w:rPr>
        <w:t>Chyba! Nenalezen zdroj odkazů.</w:t>
      </w:r>
      <w:r w:rsidRPr="007C705C">
        <w:fldChar w:fldCharType="end"/>
      </w:r>
      <w:r w:rsidRPr="007C705C">
        <w:rPr>
          <w:rFonts w:eastAsiaTheme="minorEastAsia"/>
        </w:rPr>
        <w:t xml:space="preserve"> rovnoměrně u všech druhů včetně biomasy viditelná mírná stagnace, v případě odvětví dopravy byl v roce 2013 u bionafty dokonce zaznamenán propad.</w:t>
      </w:r>
    </w:p>
    <w:p w14:paraId="252CD789" w14:textId="77777777" w:rsidR="003E0F58" w:rsidRPr="007C705C" w:rsidRDefault="003E0F58" w:rsidP="003005E5">
      <w:pPr>
        <w:pStyle w:val="UZEINormaln"/>
        <w:rPr>
          <w:rFonts w:eastAsiaTheme="minorEastAsia"/>
        </w:rPr>
      </w:pPr>
      <w:r w:rsidRPr="007C705C">
        <w:rPr>
          <w:rFonts w:eastAsiaTheme="minorEastAsia"/>
        </w:rPr>
        <w:t>Detailním posouzením dalšího potenciálu využití biomasy se zabývala studie ÚZEI v tematickém úkolu TÚ 52/4227 (2019) Analýza potravinového zabezpečení ČR ve vztahu k potenciálu obnovitelných zdrojů energie a dopadům změny klimatu. Tato analýza se opírá o Národní plán v oblasti energetiky a klimatu ČR a variantně řeší potenciální volné plochy půdy podle úrovně krytí potravinové spotřeby ČR s ohledem na postupující změnu klimatu.</w:t>
      </w:r>
    </w:p>
    <w:p w14:paraId="44556561" w14:textId="77777777" w:rsidR="003E0F58" w:rsidRPr="007C705C" w:rsidRDefault="003E0F58" w:rsidP="003005E5">
      <w:pPr>
        <w:pStyle w:val="UZEINormaln"/>
      </w:pPr>
      <w:r w:rsidRPr="007C705C">
        <w:t xml:space="preserve">Optimalizovaný scénář vývoje energetiky do roku 2040 předpokládá, že dojde jen k mírnému zvýšení spotřeby energie v celém sledovaném období v kontextu předpokládaného zvyšování úspor energie. Ve struktuře konečné spotřeby se očekává téměř úplný odklon od hnědého uhlí, zatímco u plynu se očekává mírný růst spotřeby. </w:t>
      </w:r>
      <w:r w:rsidRPr="007C705C">
        <w:rPr>
          <w:b/>
        </w:rPr>
        <w:t>Ve struktuře PEZ poroste podíl</w:t>
      </w:r>
      <w:r w:rsidRPr="007C705C">
        <w:t xml:space="preserve"> obnovitelných a druhotných zdrojů energie, především </w:t>
      </w:r>
      <w:r w:rsidRPr="007C705C">
        <w:rPr>
          <w:b/>
        </w:rPr>
        <w:t>biomasy</w:t>
      </w:r>
      <w:r w:rsidRPr="007C705C">
        <w:t xml:space="preserve"> a odpadů.</w:t>
      </w:r>
    </w:p>
    <w:p w14:paraId="1B1F2670" w14:textId="77777777" w:rsidR="003E0F58" w:rsidRPr="007C705C" w:rsidRDefault="003E0F58" w:rsidP="003005E5">
      <w:pPr>
        <w:pStyle w:val="UZEINormaln"/>
      </w:pPr>
      <w:r w:rsidRPr="007C705C">
        <w:t xml:space="preserve">Česká republika plánuje příspěvek k evropskému cíli do roku 2030 na úrovni 20,8 %, což je nárůst o 7,8 procentního bodu v porovnání s vnitrostátním cílem ČR na úrovni 13,0 % pro rok 2020. V oblasti dopravy je cíl stanoven závazně pro všechny členské státy na úrovni 14 %. Podíl OZE v ČR na konečné spotřebě se podle mezinárodní metodiky výpočtu pohybuje okolo 15 %. </w:t>
      </w:r>
    </w:p>
    <w:p w14:paraId="15125541" w14:textId="77777777" w:rsidR="003E0F58" w:rsidRPr="007C705C" w:rsidRDefault="003E0F58" w:rsidP="003005E5">
      <w:pPr>
        <w:pStyle w:val="UZEINormaln"/>
      </w:pPr>
      <w:r w:rsidRPr="007C705C">
        <w:t>Z pohledu technologií, které plánuje ČR použít pro dosažení cílů trajektorií stanovených NKEP v oblasti bioenergií se jedná o biomasu mimo domácnosti + v domácnostech, bioplyn + biometan a biopaliva. Pokud se týká potřeby ploch zemědělské půdy, pak cca 53 % z celkové spotřeby ploch z.p. pro bioenergetiku budou tvořit BPS a cca 47 % ploch biopaliva 1. generace. Z pohledu celkové plochy z.p., která dle ČSÚ v roce 2017 činila 3 560 tis. ha pak podíl z.p. připadající na BPS bude tvořit odhadem 8 % a z.p. připadající na biopaliva 1. generace 7 % z celkové plochy zemědělské půdy.</w:t>
      </w:r>
    </w:p>
    <w:p w14:paraId="7B5D6BC9" w14:textId="77777777" w:rsidR="003E0F58" w:rsidRPr="007C705C" w:rsidRDefault="003E0F58" w:rsidP="003E0F58">
      <w:pPr>
        <w:rPr>
          <w:rFonts w:eastAsiaTheme="minorEastAsia" w:cs="Times New Roman"/>
          <w:lang w:val="cs-CZ"/>
        </w:rPr>
      </w:pPr>
    </w:p>
    <w:p w14:paraId="49FD01AB" w14:textId="77777777" w:rsidR="003E0F58" w:rsidRPr="007C705C" w:rsidRDefault="003E0F58" w:rsidP="003E0F58">
      <w:pPr>
        <w:pStyle w:val="Titulek"/>
        <w:sectPr w:rsidR="003E0F58" w:rsidRPr="007C705C" w:rsidSect="004D2249">
          <w:headerReference w:type="even" r:id="rId87"/>
          <w:headerReference w:type="default" r:id="rId88"/>
          <w:headerReference w:type="first" r:id="rId89"/>
          <w:footerReference w:type="first" r:id="rId90"/>
          <w:pgSz w:w="11906" w:h="16838"/>
          <w:pgMar w:top="1417" w:right="1417" w:bottom="1417" w:left="1417" w:header="708" w:footer="708" w:gutter="0"/>
          <w:cols w:space="708"/>
          <w:titlePg/>
          <w:docGrid w:linePitch="360"/>
        </w:sectPr>
      </w:pPr>
    </w:p>
    <w:p w14:paraId="0A35DC82" w14:textId="7D6EB219" w:rsidR="003E0F58" w:rsidRPr="007C705C" w:rsidRDefault="003E0F58" w:rsidP="00EE77F0">
      <w:pPr>
        <w:pStyle w:val="UZEITaB"/>
      </w:pPr>
      <w:bookmarkStart w:id="661" w:name="_Toc77245888"/>
      <w:bookmarkStart w:id="662" w:name="_Toc94181658"/>
      <w:r w:rsidRPr="007C705C">
        <w:lastRenderedPageBreak/>
        <w:t xml:space="preserve">Tabulka </w:t>
      </w:r>
      <w:r w:rsidRPr="007C705C">
        <w:fldChar w:fldCharType="begin"/>
      </w:r>
      <w:r w:rsidRPr="007C705C">
        <w:instrText xml:space="preserve"> SEQ Tabulka \* ARABIC </w:instrText>
      </w:r>
      <w:r w:rsidRPr="007C705C">
        <w:fldChar w:fldCharType="separate"/>
      </w:r>
      <w:r w:rsidR="00127D64">
        <w:rPr>
          <w:noProof/>
        </w:rPr>
        <w:t>2</w:t>
      </w:r>
      <w:r w:rsidRPr="007C705C">
        <w:rPr>
          <w:noProof/>
        </w:rPr>
        <w:fldChar w:fldCharType="end"/>
      </w:r>
      <w:r w:rsidRPr="007C705C">
        <w:t xml:space="preserve"> Hrubé odhady ploch potřebných pro zajištění plnění cílů v oblasti OZE do roku 2030</w:t>
      </w:r>
      <w:bookmarkEnd w:id="661"/>
      <w:bookmarkEnd w:id="662"/>
    </w:p>
    <w:tbl>
      <w:tblPr>
        <w:tblW w:w="16288" w:type="dxa"/>
        <w:tblInd w:w="-1144" w:type="dxa"/>
        <w:tblCellMar>
          <w:left w:w="70" w:type="dxa"/>
          <w:right w:w="70" w:type="dxa"/>
        </w:tblCellMar>
        <w:tblLook w:val="04A0" w:firstRow="1" w:lastRow="0" w:firstColumn="1" w:lastColumn="0" w:noHBand="0" w:noVBand="1"/>
      </w:tblPr>
      <w:tblGrid>
        <w:gridCol w:w="3219"/>
        <w:gridCol w:w="1170"/>
        <w:gridCol w:w="1188"/>
        <w:gridCol w:w="1188"/>
        <w:gridCol w:w="1188"/>
        <w:gridCol w:w="1188"/>
        <w:gridCol w:w="1188"/>
        <w:gridCol w:w="1188"/>
        <w:gridCol w:w="1188"/>
        <w:gridCol w:w="1188"/>
        <w:gridCol w:w="1188"/>
        <w:gridCol w:w="1207"/>
      </w:tblGrid>
      <w:tr w:rsidR="003E0F58" w:rsidRPr="0093556C" w14:paraId="3E71868E" w14:textId="77777777" w:rsidTr="004D2249">
        <w:trPr>
          <w:trHeight w:val="293"/>
        </w:trPr>
        <w:tc>
          <w:tcPr>
            <w:tcW w:w="321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14:paraId="4F592378" w14:textId="77777777" w:rsidR="003E0F58" w:rsidRPr="0093556C" w:rsidRDefault="003E0F58" w:rsidP="004D2249">
            <w:pPr>
              <w:ind w:left="-1493"/>
              <w:jc w:val="center"/>
              <w:rPr>
                <w:rFonts w:cs="Times New Roman"/>
                <w:color w:val="000000"/>
                <w:sz w:val="20"/>
                <w:szCs w:val="20"/>
                <w:lang w:val="cs-CZ"/>
              </w:rPr>
            </w:pPr>
          </w:p>
        </w:tc>
        <w:tc>
          <w:tcPr>
            <w:tcW w:w="1170" w:type="dxa"/>
            <w:tcBorders>
              <w:top w:val="single" w:sz="12" w:space="0" w:color="auto"/>
              <w:left w:val="single" w:sz="12" w:space="0" w:color="auto"/>
              <w:bottom w:val="single" w:sz="12" w:space="0" w:color="auto"/>
              <w:right w:val="single" w:sz="4" w:space="0" w:color="auto"/>
            </w:tcBorders>
            <w:shd w:val="clear" w:color="auto" w:fill="auto"/>
            <w:noWrap/>
            <w:vAlign w:val="bottom"/>
            <w:hideMark/>
          </w:tcPr>
          <w:p w14:paraId="29B28DEF"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2020</w:t>
            </w:r>
          </w:p>
        </w:tc>
        <w:tc>
          <w:tcPr>
            <w:tcW w:w="1188" w:type="dxa"/>
            <w:tcBorders>
              <w:top w:val="single" w:sz="12" w:space="0" w:color="auto"/>
              <w:left w:val="single" w:sz="4" w:space="0" w:color="auto"/>
              <w:bottom w:val="single" w:sz="12" w:space="0" w:color="auto"/>
              <w:right w:val="single" w:sz="4" w:space="0" w:color="auto"/>
            </w:tcBorders>
            <w:shd w:val="clear" w:color="auto" w:fill="auto"/>
            <w:noWrap/>
            <w:vAlign w:val="bottom"/>
            <w:hideMark/>
          </w:tcPr>
          <w:p w14:paraId="41FBCD69"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2021</w:t>
            </w:r>
          </w:p>
        </w:tc>
        <w:tc>
          <w:tcPr>
            <w:tcW w:w="1188" w:type="dxa"/>
            <w:tcBorders>
              <w:top w:val="single" w:sz="12" w:space="0" w:color="auto"/>
              <w:left w:val="single" w:sz="4" w:space="0" w:color="auto"/>
              <w:bottom w:val="single" w:sz="12" w:space="0" w:color="auto"/>
              <w:right w:val="single" w:sz="4" w:space="0" w:color="auto"/>
            </w:tcBorders>
            <w:shd w:val="clear" w:color="auto" w:fill="auto"/>
            <w:noWrap/>
            <w:vAlign w:val="bottom"/>
            <w:hideMark/>
          </w:tcPr>
          <w:p w14:paraId="740408D6"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2022</w:t>
            </w:r>
          </w:p>
        </w:tc>
        <w:tc>
          <w:tcPr>
            <w:tcW w:w="1188" w:type="dxa"/>
            <w:tcBorders>
              <w:top w:val="single" w:sz="12" w:space="0" w:color="auto"/>
              <w:left w:val="single" w:sz="4" w:space="0" w:color="auto"/>
              <w:bottom w:val="single" w:sz="12" w:space="0" w:color="auto"/>
              <w:right w:val="single" w:sz="4" w:space="0" w:color="auto"/>
            </w:tcBorders>
            <w:shd w:val="clear" w:color="auto" w:fill="auto"/>
            <w:noWrap/>
            <w:vAlign w:val="bottom"/>
            <w:hideMark/>
          </w:tcPr>
          <w:p w14:paraId="59D3F5D2"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2023</w:t>
            </w:r>
          </w:p>
        </w:tc>
        <w:tc>
          <w:tcPr>
            <w:tcW w:w="1188" w:type="dxa"/>
            <w:tcBorders>
              <w:top w:val="single" w:sz="12" w:space="0" w:color="auto"/>
              <w:left w:val="single" w:sz="4" w:space="0" w:color="auto"/>
              <w:bottom w:val="single" w:sz="12" w:space="0" w:color="auto"/>
              <w:right w:val="single" w:sz="4" w:space="0" w:color="auto"/>
            </w:tcBorders>
            <w:shd w:val="clear" w:color="auto" w:fill="auto"/>
            <w:noWrap/>
            <w:vAlign w:val="bottom"/>
            <w:hideMark/>
          </w:tcPr>
          <w:p w14:paraId="338A71B3"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2024</w:t>
            </w:r>
          </w:p>
        </w:tc>
        <w:tc>
          <w:tcPr>
            <w:tcW w:w="1188" w:type="dxa"/>
            <w:tcBorders>
              <w:top w:val="single" w:sz="12" w:space="0" w:color="auto"/>
              <w:left w:val="single" w:sz="4" w:space="0" w:color="auto"/>
              <w:bottom w:val="single" w:sz="12" w:space="0" w:color="auto"/>
              <w:right w:val="single" w:sz="4" w:space="0" w:color="auto"/>
            </w:tcBorders>
            <w:shd w:val="clear" w:color="auto" w:fill="auto"/>
            <w:noWrap/>
            <w:vAlign w:val="bottom"/>
            <w:hideMark/>
          </w:tcPr>
          <w:p w14:paraId="6138B5E5"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2025</w:t>
            </w:r>
          </w:p>
        </w:tc>
        <w:tc>
          <w:tcPr>
            <w:tcW w:w="1188" w:type="dxa"/>
            <w:tcBorders>
              <w:top w:val="single" w:sz="12" w:space="0" w:color="auto"/>
              <w:left w:val="single" w:sz="4" w:space="0" w:color="auto"/>
              <w:bottom w:val="single" w:sz="12" w:space="0" w:color="auto"/>
              <w:right w:val="single" w:sz="4" w:space="0" w:color="auto"/>
            </w:tcBorders>
            <w:shd w:val="clear" w:color="auto" w:fill="auto"/>
            <w:noWrap/>
            <w:vAlign w:val="bottom"/>
            <w:hideMark/>
          </w:tcPr>
          <w:p w14:paraId="57A6F22C"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2026</w:t>
            </w:r>
          </w:p>
        </w:tc>
        <w:tc>
          <w:tcPr>
            <w:tcW w:w="1188" w:type="dxa"/>
            <w:tcBorders>
              <w:top w:val="single" w:sz="12" w:space="0" w:color="auto"/>
              <w:left w:val="single" w:sz="4" w:space="0" w:color="auto"/>
              <w:bottom w:val="single" w:sz="12" w:space="0" w:color="auto"/>
              <w:right w:val="single" w:sz="4" w:space="0" w:color="auto"/>
            </w:tcBorders>
            <w:shd w:val="clear" w:color="auto" w:fill="auto"/>
            <w:noWrap/>
            <w:vAlign w:val="bottom"/>
            <w:hideMark/>
          </w:tcPr>
          <w:p w14:paraId="3AA575F9"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2027</w:t>
            </w:r>
          </w:p>
        </w:tc>
        <w:tc>
          <w:tcPr>
            <w:tcW w:w="1188" w:type="dxa"/>
            <w:tcBorders>
              <w:top w:val="single" w:sz="12" w:space="0" w:color="auto"/>
              <w:left w:val="single" w:sz="4" w:space="0" w:color="auto"/>
              <w:bottom w:val="single" w:sz="12" w:space="0" w:color="auto"/>
              <w:right w:val="single" w:sz="4" w:space="0" w:color="auto"/>
            </w:tcBorders>
            <w:shd w:val="clear" w:color="auto" w:fill="auto"/>
            <w:noWrap/>
            <w:vAlign w:val="bottom"/>
            <w:hideMark/>
          </w:tcPr>
          <w:p w14:paraId="78ABB230"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2028</w:t>
            </w:r>
          </w:p>
        </w:tc>
        <w:tc>
          <w:tcPr>
            <w:tcW w:w="1188" w:type="dxa"/>
            <w:tcBorders>
              <w:top w:val="single" w:sz="12" w:space="0" w:color="auto"/>
              <w:left w:val="single" w:sz="4" w:space="0" w:color="auto"/>
              <w:bottom w:val="single" w:sz="12" w:space="0" w:color="auto"/>
              <w:right w:val="single" w:sz="4" w:space="0" w:color="auto"/>
            </w:tcBorders>
            <w:shd w:val="clear" w:color="auto" w:fill="auto"/>
            <w:noWrap/>
            <w:vAlign w:val="bottom"/>
            <w:hideMark/>
          </w:tcPr>
          <w:p w14:paraId="6DDFC861"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2029</w:t>
            </w:r>
          </w:p>
        </w:tc>
        <w:tc>
          <w:tcPr>
            <w:tcW w:w="1207" w:type="dxa"/>
            <w:tcBorders>
              <w:top w:val="single" w:sz="12" w:space="0" w:color="auto"/>
              <w:left w:val="single" w:sz="4" w:space="0" w:color="auto"/>
              <w:bottom w:val="single" w:sz="12" w:space="0" w:color="auto"/>
              <w:right w:val="single" w:sz="12" w:space="0" w:color="auto"/>
            </w:tcBorders>
            <w:shd w:val="clear" w:color="auto" w:fill="auto"/>
            <w:noWrap/>
            <w:vAlign w:val="bottom"/>
            <w:hideMark/>
          </w:tcPr>
          <w:p w14:paraId="3D1735A3"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2030</w:t>
            </w:r>
          </w:p>
        </w:tc>
      </w:tr>
      <w:tr w:rsidR="003E0F58" w:rsidRPr="0093556C" w14:paraId="1CB20C81" w14:textId="77777777" w:rsidTr="004D2249">
        <w:trPr>
          <w:trHeight w:val="278"/>
        </w:trPr>
        <w:tc>
          <w:tcPr>
            <w:tcW w:w="3219"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14:paraId="2443D559" w14:textId="77777777" w:rsidR="003E0F58" w:rsidRPr="0093556C" w:rsidRDefault="003E0F58" w:rsidP="004D2249">
            <w:pPr>
              <w:jc w:val="left"/>
              <w:rPr>
                <w:rFonts w:cs="Times New Roman"/>
                <w:b/>
                <w:bCs/>
                <w:color w:val="000000"/>
                <w:sz w:val="20"/>
                <w:szCs w:val="20"/>
                <w:lang w:val="cs-CZ"/>
              </w:rPr>
            </w:pPr>
            <w:r w:rsidRPr="0093556C">
              <w:rPr>
                <w:rFonts w:cs="Times New Roman"/>
                <w:b/>
                <w:bCs/>
                <w:color w:val="000000"/>
                <w:sz w:val="20"/>
                <w:szCs w:val="20"/>
                <w:lang w:val="cs-CZ"/>
              </w:rPr>
              <w:t>BIOPLYN</w:t>
            </w:r>
          </w:p>
        </w:tc>
        <w:tc>
          <w:tcPr>
            <w:tcW w:w="1170" w:type="dxa"/>
            <w:tcBorders>
              <w:top w:val="single" w:sz="12" w:space="0" w:color="auto"/>
              <w:left w:val="single" w:sz="12" w:space="0" w:color="auto"/>
              <w:bottom w:val="single" w:sz="4" w:space="0" w:color="auto"/>
              <w:right w:val="nil"/>
            </w:tcBorders>
            <w:shd w:val="clear" w:color="auto" w:fill="auto"/>
            <w:noWrap/>
            <w:vAlign w:val="bottom"/>
            <w:hideMark/>
          </w:tcPr>
          <w:p w14:paraId="595C700D" w14:textId="77777777" w:rsidR="003E0F58" w:rsidRPr="0093556C" w:rsidRDefault="003E0F58" w:rsidP="004D2249">
            <w:pPr>
              <w:jc w:val="left"/>
              <w:rPr>
                <w:rFonts w:cs="Times New Roman"/>
                <w:color w:val="000000"/>
                <w:sz w:val="20"/>
                <w:szCs w:val="20"/>
                <w:lang w:val="cs-CZ"/>
              </w:rPr>
            </w:pPr>
            <w:r w:rsidRPr="0093556C">
              <w:rPr>
                <w:rFonts w:cs="Times New Roman"/>
                <w:color w:val="000000"/>
                <w:sz w:val="20"/>
                <w:szCs w:val="20"/>
                <w:lang w:val="cs-CZ"/>
              </w:rPr>
              <w:t> </w:t>
            </w:r>
          </w:p>
        </w:tc>
        <w:tc>
          <w:tcPr>
            <w:tcW w:w="1188" w:type="dxa"/>
            <w:tcBorders>
              <w:top w:val="single" w:sz="12" w:space="0" w:color="auto"/>
              <w:left w:val="nil"/>
              <w:bottom w:val="single" w:sz="4" w:space="0" w:color="auto"/>
              <w:right w:val="nil"/>
            </w:tcBorders>
            <w:shd w:val="clear" w:color="auto" w:fill="auto"/>
            <w:noWrap/>
            <w:vAlign w:val="bottom"/>
            <w:hideMark/>
          </w:tcPr>
          <w:p w14:paraId="4A438FD1" w14:textId="77777777" w:rsidR="003E0F58" w:rsidRPr="0093556C" w:rsidRDefault="003E0F58" w:rsidP="004D2249">
            <w:pPr>
              <w:jc w:val="left"/>
              <w:rPr>
                <w:rFonts w:cs="Times New Roman"/>
                <w:color w:val="000000"/>
                <w:sz w:val="20"/>
                <w:szCs w:val="20"/>
                <w:lang w:val="cs-CZ"/>
              </w:rPr>
            </w:pPr>
            <w:r w:rsidRPr="0093556C">
              <w:rPr>
                <w:rFonts w:cs="Times New Roman"/>
                <w:color w:val="000000"/>
                <w:sz w:val="20"/>
                <w:szCs w:val="20"/>
                <w:lang w:val="cs-CZ"/>
              </w:rPr>
              <w:t> </w:t>
            </w:r>
          </w:p>
        </w:tc>
        <w:tc>
          <w:tcPr>
            <w:tcW w:w="1188" w:type="dxa"/>
            <w:tcBorders>
              <w:top w:val="single" w:sz="12" w:space="0" w:color="auto"/>
              <w:left w:val="nil"/>
              <w:bottom w:val="single" w:sz="4" w:space="0" w:color="auto"/>
              <w:right w:val="nil"/>
            </w:tcBorders>
            <w:shd w:val="clear" w:color="auto" w:fill="auto"/>
            <w:noWrap/>
            <w:vAlign w:val="bottom"/>
            <w:hideMark/>
          </w:tcPr>
          <w:p w14:paraId="1CF130C0" w14:textId="77777777" w:rsidR="003E0F58" w:rsidRPr="0093556C" w:rsidRDefault="003E0F58" w:rsidP="004D2249">
            <w:pPr>
              <w:jc w:val="left"/>
              <w:rPr>
                <w:rFonts w:cs="Times New Roman"/>
                <w:color w:val="000000"/>
                <w:sz w:val="20"/>
                <w:szCs w:val="20"/>
                <w:lang w:val="cs-CZ"/>
              </w:rPr>
            </w:pPr>
            <w:r w:rsidRPr="0093556C">
              <w:rPr>
                <w:rFonts w:cs="Times New Roman"/>
                <w:color w:val="000000"/>
                <w:sz w:val="20"/>
                <w:szCs w:val="20"/>
                <w:lang w:val="cs-CZ"/>
              </w:rPr>
              <w:t> </w:t>
            </w:r>
          </w:p>
        </w:tc>
        <w:tc>
          <w:tcPr>
            <w:tcW w:w="1188" w:type="dxa"/>
            <w:tcBorders>
              <w:top w:val="single" w:sz="12" w:space="0" w:color="auto"/>
              <w:left w:val="nil"/>
              <w:bottom w:val="single" w:sz="4" w:space="0" w:color="auto"/>
              <w:right w:val="nil"/>
            </w:tcBorders>
            <w:shd w:val="clear" w:color="auto" w:fill="auto"/>
            <w:noWrap/>
            <w:vAlign w:val="bottom"/>
            <w:hideMark/>
          </w:tcPr>
          <w:p w14:paraId="6BE7F7D6" w14:textId="77777777" w:rsidR="003E0F58" w:rsidRPr="0093556C" w:rsidRDefault="003E0F58" w:rsidP="004D2249">
            <w:pPr>
              <w:jc w:val="left"/>
              <w:rPr>
                <w:rFonts w:cs="Times New Roman"/>
                <w:color w:val="000000"/>
                <w:sz w:val="20"/>
                <w:szCs w:val="20"/>
                <w:lang w:val="cs-CZ"/>
              </w:rPr>
            </w:pPr>
            <w:r w:rsidRPr="0093556C">
              <w:rPr>
                <w:rFonts w:cs="Times New Roman"/>
                <w:color w:val="000000"/>
                <w:sz w:val="20"/>
                <w:szCs w:val="20"/>
                <w:lang w:val="cs-CZ"/>
              </w:rPr>
              <w:t> </w:t>
            </w:r>
          </w:p>
        </w:tc>
        <w:tc>
          <w:tcPr>
            <w:tcW w:w="1188" w:type="dxa"/>
            <w:tcBorders>
              <w:top w:val="single" w:sz="12" w:space="0" w:color="auto"/>
              <w:left w:val="nil"/>
              <w:bottom w:val="single" w:sz="4" w:space="0" w:color="auto"/>
              <w:right w:val="nil"/>
            </w:tcBorders>
            <w:shd w:val="clear" w:color="auto" w:fill="auto"/>
            <w:noWrap/>
            <w:vAlign w:val="bottom"/>
            <w:hideMark/>
          </w:tcPr>
          <w:p w14:paraId="3D1BAE86" w14:textId="77777777" w:rsidR="003E0F58" w:rsidRPr="0093556C" w:rsidRDefault="003E0F58" w:rsidP="004D2249">
            <w:pPr>
              <w:jc w:val="left"/>
              <w:rPr>
                <w:rFonts w:cs="Times New Roman"/>
                <w:color w:val="000000"/>
                <w:sz w:val="20"/>
                <w:szCs w:val="20"/>
                <w:lang w:val="cs-CZ"/>
              </w:rPr>
            </w:pPr>
            <w:r w:rsidRPr="0093556C">
              <w:rPr>
                <w:rFonts w:cs="Times New Roman"/>
                <w:color w:val="000000"/>
                <w:sz w:val="20"/>
                <w:szCs w:val="20"/>
                <w:lang w:val="cs-CZ"/>
              </w:rPr>
              <w:t> </w:t>
            </w:r>
          </w:p>
        </w:tc>
        <w:tc>
          <w:tcPr>
            <w:tcW w:w="1188" w:type="dxa"/>
            <w:tcBorders>
              <w:top w:val="single" w:sz="12" w:space="0" w:color="auto"/>
              <w:left w:val="nil"/>
              <w:bottom w:val="single" w:sz="4" w:space="0" w:color="auto"/>
              <w:right w:val="nil"/>
            </w:tcBorders>
            <w:shd w:val="clear" w:color="auto" w:fill="auto"/>
            <w:noWrap/>
            <w:vAlign w:val="bottom"/>
            <w:hideMark/>
          </w:tcPr>
          <w:p w14:paraId="6A03262A" w14:textId="77777777" w:rsidR="003E0F58" w:rsidRPr="0093556C" w:rsidRDefault="003E0F58" w:rsidP="004D2249">
            <w:pPr>
              <w:jc w:val="left"/>
              <w:rPr>
                <w:rFonts w:cs="Times New Roman"/>
                <w:color w:val="000000"/>
                <w:sz w:val="20"/>
                <w:szCs w:val="20"/>
                <w:lang w:val="cs-CZ"/>
              </w:rPr>
            </w:pPr>
            <w:r w:rsidRPr="0093556C">
              <w:rPr>
                <w:rFonts w:cs="Times New Roman"/>
                <w:color w:val="000000"/>
                <w:sz w:val="20"/>
                <w:szCs w:val="20"/>
                <w:lang w:val="cs-CZ"/>
              </w:rPr>
              <w:t> </w:t>
            </w:r>
          </w:p>
        </w:tc>
        <w:tc>
          <w:tcPr>
            <w:tcW w:w="1188" w:type="dxa"/>
            <w:tcBorders>
              <w:top w:val="single" w:sz="12" w:space="0" w:color="auto"/>
              <w:left w:val="nil"/>
              <w:bottom w:val="single" w:sz="4" w:space="0" w:color="auto"/>
              <w:right w:val="nil"/>
            </w:tcBorders>
            <w:shd w:val="clear" w:color="auto" w:fill="auto"/>
            <w:noWrap/>
            <w:vAlign w:val="bottom"/>
            <w:hideMark/>
          </w:tcPr>
          <w:p w14:paraId="15DC1125" w14:textId="77777777" w:rsidR="003E0F58" w:rsidRPr="0093556C" w:rsidRDefault="003E0F58" w:rsidP="004D2249">
            <w:pPr>
              <w:jc w:val="left"/>
              <w:rPr>
                <w:rFonts w:cs="Times New Roman"/>
                <w:color w:val="000000"/>
                <w:sz w:val="20"/>
                <w:szCs w:val="20"/>
                <w:lang w:val="cs-CZ"/>
              </w:rPr>
            </w:pPr>
            <w:r w:rsidRPr="0093556C">
              <w:rPr>
                <w:rFonts w:cs="Times New Roman"/>
                <w:color w:val="000000"/>
                <w:sz w:val="20"/>
                <w:szCs w:val="20"/>
                <w:lang w:val="cs-CZ"/>
              </w:rPr>
              <w:t> </w:t>
            </w:r>
          </w:p>
        </w:tc>
        <w:tc>
          <w:tcPr>
            <w:tcW w:w="1188" w:type="dxa"/>
            <w:tcBorders>
              <w:top w:val="single" w:sz="12" w:space="0" w:color="auto"/>
              <w:left w:val="nil"/>
              <w:bottom w:val="single" w:sz="4" w:space="0" w:color="auto"/>
              <w:right w:val="nil"/>
            </w:tcBorders>
            <w:shd w:val="clear" w:color="auto" w:fill="auto"/>
            <w:noWrap/>
            <w:vAlign w:val="bottom"/>
            <w:hideMark/>
          </w:tcPr>
          <w:p w14:paraId="368A83E5" w14:textId="77777777" w:rsidR="003E0F58" w:rsidRPr="0093556C" w:rsidRDefault="003E0F58" w:rsidP="004D2249">
            <w:pPr>
              <w:jc w:val="left"/>
              <w:rPr>
                <w:rFonts w:cs="Times New Roman"/>
                <w:color w:val="000000"/>
                <w:sz w:val="20"/>
                <w:szCs w:val="20"/>
                <w:lang w:val="cs-CZ"/>
              </w:rPr>
            </w:pPr>
            <w:r w:rsidRPr="0093556C">
              <w:rPr>
                <w:rFonts w:cs="Times New Roman"/>
                <w:color w:val="000000"/>
                <w:sz w:val="20"/>
                <w:szCs w:val="20"/>
                <w:lang w:val="cs-CZ"/>
              </w:rPr>
              <w:t> </w:t>
            </w:r>
          </w:p>
        </w:tc>
        <w:tc>
          <w:tcPr>
            <w:tcW w:w="1188" w:type="dxa"/>
            <w:tcBorders>
              <w:top w:val="single" w:sz="12" w:space="0" w:color="auto"/>
              <w:left w:val="nil"/>
              <w:bottom w:val="single" w:sz="4" w:space="0" w:color="auto"/>
              <w:right w:val="nil"/>
            </w:tcBorders>
            <w:shd w:val="clear" w:color="auto" w:fill="auto"/>
            <w:noWrap/>
            <w:vAlign w:val="bottom"/>
            <w:hideMark/>
          </w:tcPr>
          <w:p w14:paraId="7AF2BEA8" w14:textId="77777777" w:rsidR="003E0F58" w:rsidRPr="0093556C" w:rsidRDefault="003E0F58" w:rsidP="004D2249">
            <w:pPr>
              <w:jc w:val="left"/>
              <w:rPr>
                <w:rFonts w:cs="Times New Roman"/>
                <w:color w:val="000000"/>
                <w:sz w:val="20"/>
                <w:szCs w:val="20"/>
                <w:lang w:val="cs-CZ"/>
              </w:rPr>
            </w:pPr>
            <w:r w:rsidRPr="0093556C">
              <w:rPr>
                <w:rFonts w:cs="Times New Roman"/>
                <w:color w:val="000000"/>
                <w:sz w:val="20"/>
                <w:szCs w:val="20"/>
                <w:lang w:val="cs-CZ"/>
              </w:rPr>
              <w:t> </w:t>
            </w:r>
          </w:p>
        </w:tc>
        <w:tc>
          <w:tcPr>
            <w:tcW w:w="1188" w:type="dxa"/>
            <w:tcBorders>
              <w:top w:val="single" w:sz="12" w:space="0" w:color="auto"/>
              <w:left w:val="nil"/>
              <w:bottom w:val="single" w:sz="4" w:space="0" w:color="auto"/>
              <w:right w:val="nil"/>
            </w:tcBorders>
            <w:shd w:val="clear" w:color="auto" w:fill="auto"/>
            <w:noWrap/>
            <w:vAlign w:val="bottom"/>
            <w:hideMark/>
          </w:tcPr>
          <w:p w14:paraId="4D892466" w14:textId="77777777" w:rsidR="003E0F58" w:rsidRPr="0093556C" w:rsidRDefault="003E0F58" w:rsidP="004D2249">
            <w:pPr>
              <w:jc w:val="left"/>
              <w:rPr>
                <w:rFonts w:cs="Times New Roman"/>
                <w:color w:val="000000"/>
                <w:sz w:val="20"/>
                <w:szCs w:val="20"/>
                <w:lang w:val="cs-CZ"/>
              </w:rPr>
            </w:pPr>
            <w:r w:rsidRPr="0093556C">
              <w:rPr>
                <w:rFonts w:cs="Times New Roman"/>
                <w:color w:val="000000"/>
                <w:sz w:val="20"/>
                <w:szCs w:val="20"/>
                <w:lang w:val="cs-CZ"/>
              </w:rPr>
              <w:t> </w:t>
            </w:r>
          </w:p>
        </w:tc>
        <w:tc>
          <w:tcPr>
            <w:tcW w:w="1207" w:type="dxa"/>
            <w:tcBorders>
              <w:top w:val="single" w:sz="12" w:space="0" w:color="auto"/>
              <w:left w:val="nil"/>
              <w:bottom w:val="single" w:sz="4" w:space="0" w:color="auto"/>
              <w:right w:val="single" w:sz="12" w:space="0" w:color="auto"/>
            </w:tcBorders>
            <w:shd w:val="clear" w:color="auto" w:fill="auto"/>
            <w:noWrap/>
            <w:vAlign w:val="bottom"/>
            <w:hideMark/>
          </w:tcPr>
          <w:p w14:paraId="21463027" w14:textId="77777777" w:rsidR="003E0F58" w:rsidRPr="0093556C" w:rsidRDefault="003E0F58" w:rsidP="004D2249">
            <w:pPr>
              <w:jc w:val="left"/>
              <w:rPr>
                <w:rFonts w:cs="Times New Roman"/>
                <w:color w:val="000000"/>
                <w:sz w:val="20"/>
                <w:szCs w:val="20"/>
                <w:lang w:val="cs-CZ"/>
              </w:rPr>
            </w:pPr>
            <w:r w:rsidRPr="0093556C">
              <w:rPr>
                <w:rFonts w:cs="Times New Roman"/>
                <w:color w:val="000000"/>
                <w:sz w:val="20"/>
                <w:szCs w:val="20"/>
                <w:lang w:val="cs-CZ"/>
              </w:rPr>
              <w:t> </w:t>
            </w:r>
          </w:p>
        </w:tc>
      </w:tr>
      <w:tr w:rsidR="003E0F58" w:rsidRPr="0093556C" w14:paraId="2049BD27" w14:textId="77777777" w:rsidTr="004D2249">
        <w:trPr>
          <w:trHeight w:val="278"/>
        </w:trPr>
        <w:tc>
          <w:tcPr>
            <w:tcW w:w="3219" w:type="dxa"/>
            <w:tcBorders>
              <w:top w:val="nil"/>
              <w:left w:val="single" w:sz="12" w:space="0" w:color="auto"/>
              <w:bottom w:val="dotted" w:sz="4" w:space="0" w:color="auto"/>
              <w:right w:val="single" w:sz="12" w:space="0" w:color="auto"/>
            </w:tcBorders>
            <w:shd w:val="clear" w:color="auto" w:fill="auto"/>
            <w:vAlign w:val="bottom"/>
            <w:hideMark/>
          </w:tcPr>
          <w:p w14:paraId="75967D83" w14:textId="77777777" w:rsidR="003E0F58" w:rsidRPr="0093556C" w:rsidRDefault="003E0F58" w:rsidP="004D2249">
            <w:pPr>
              <w:jc w:val="left"/>
              <w:rPr>
                <w:rFonts w:cs="Times New Roman"/>
                <w:i/>
                <w:iCs/>
                <w:color w:val="000000"/>
                <w:sz w:val="20"/>
                <w:szCs w:val="20"/>
                <w:lang w:val="cs-CZ"/>
              </w:rPr>
            </w:pPr>
            <w:r w:rsidRPr="0093556C">
              <w:rPr>
                <w:rFonts w:cs="Times New Roman"/>
                <w:i/>
                <w:iCs/>
                <w:color w:val="000000"/>
                <w:sz w:val="20"/>
                <w:szCs w:val="20"/>
                <w:lang w:val="cs-CZ"/>
              </w:rPr>
              <w:t>celkem [tis.t.]</w:t>
            </w:r>
          </w:p>
        </w:tc>
        <w:tc>
          <w:tcPr>
            <w:tcW w:w="1170" w:type="dxa"/>
            <w:tcBorders>
              <w:top w:val="nil"/>
              <w:left w:val="single" w:sz="12" w:space="0" w:color="auto"/>
              <w:bottom w:val="dotted" w:sz="4" w:space="0" w:color="auto"/>
              <w:right w:val="single" w:sz="4" w:space="0" w:color="auto"/>
            </w:tcBorders>
            <w:shd w:val="clear" w:color="auto" w:fill="auto"/>
            <w:noWrap/>
            <w:vAlign w:val="bottom"/>
            <w:hideMark/>
          </w:tcPr>
          <w:p w14:paraId="295A03D3" w14:textId="77777777" w:rsidR="003E0F58" w:rsidRPr="0093556C" w:rsidRDefault="003E0F58" w:rsidP="004D2249">
            <w:pPr>
              <w:jc w:val="right"/>
              <w:rPr>
                <w:rFonts w:cs="Times New Roman"/>
                <w:i/>
                <w:iCs/>
                <w:color w:val="000000"/>
                <w:sz w:val="20"/>
                <w:szCs w:val="20"/>
                <w:lang w:val="cs-CZ"/>
              </w:rPr>
            </w:pPr>
            <w:r w:rsidRPr="0093556C">
              <w:rPr>
                <w:rFonts w:cs="Times New Roman"/>
                <w:i/>
                <w:iCs/>
                <w:color w:val="000000"/>
                <w:sz w:val="20"/>
                <w:szCs w:val="20"/>
                <w:lang w:val="cs-CZ"/>
              </w:rPr>
              <w:t>7539,67</w:t>
            </w:r>
          </w:p>
        </w:tc>
        <w:tc>
          <w:tcPr>
            <w:tcW w:w="1188" w:type="dxa"/>
            <w:tcBorders>
              <w:top w:val="nil"/>
              <w:left w:val="nil"/>
              <w:bottom w:val="dotted" w:sz="4" w:space="0" w:color="auto"/>
              <w:right w:val="single" w:sz="4" w:space="0" w:color="auto"/>
            </w:tcBorders>
            <w:shd w:val="clear" w:color="auto" w:fill="auto"/>
            <w:noWrap/>
            <w:vAlign w:val="bottom"/>
            <w:hideMark/>
          </w:tcPr>
          <w:p w14:paraId="7D518B97" w14:textId="77777777" w:rsidR="003E0F58" w:rsidRPr="0093556C" w:rsidRDefault="003E0F58" w:rsidP="004D2249">
            <w:pPr>
              <w:jc w:val="right"/>
              <w:rPr>
                <w:rFonts w:cs="Times New Roman"/>
                <w:i/>
                <w:iCs/>
                <w:color w:val="000000"/>
                <w:sz w:val="20"/>
                <w:szCs w:val="20"/>
                <w:lang w:val="cs-CZ"/>
              </w:rPr>
            </w:pPr>
            <w:r w:rsidRPr="0093556C">
              <w:rPr>
                <w:rFonts w:cs="Times New Roman"/>
                <w:i/>
                <w:iCs/>
                <w:color w:val="000000"/>
                <w:sz w:val="20"/>
                <w:szCs w:val="20"/>
                <w:lang w:val="cs-CZ"/>
              </w:rPr>
              <w:t>7476,31</w:t>
            </w:r>
          </w:p>
        </w:tc>
        <w:tc>
          <w:tcPr>
            <w:tcW w:w="1188" w:type="dxa"/>
            <w:tcBorders>
              <w:top w:val="nil"/>
              <w:left w:val="nil"/>
              <w:bottom w:val="dotted" w:sz="4" w:space="0" w:color="auto"/>
              <w:right w:val="single" w:sz="4" w:space="0" w:color="auto"/>
            </w:tcBorders>
            <w:shd w:val="clear" w:color="auto" w:fill="auto"/>
            <w:noWrap/>
            <w:vAlign w:val="bottom"/>
            <w:hideMark/>
          </w:tcPr>
          <w:p w14:paraId="3C652D2C" w14:textId="77777777" w:rsidR="003E0F58" w:rsidRPr="0093556C" w:rsidRDefault="003E0F58" w:rsidP="004D2249">
            <w:pPr>
              <w:jc w:val="right"/>
              <w:rPr>
                <w:rFonts w:cs="Times New Roman"/>
                <w:i/>
                <w:iCs/>
                <w:color w:val="000000"/>
                <w:sz w:val="20"/>
                <w:szCs w:val="20"/>
                <w:lang w:val="cs-CZ"/>
              </w:rPr>
            </w:pPr>
            <w:r w:rsidRPr="0093556C">
              <w:rPr>
                <w:rFonts w:cs="Times New Roman"/>
                <w:i/>
                <w:iCs/>
                <w:color w:val="000000"/>
                <w:sz w:val="20"/>
                <w:szCs w:val="20"/>
                <w:lang w:val="cs-CZ"/>
              </w:rPr>
              <w:t>7568,34</w:t>
            </w:r>
          </w:p>
        </w:tc>
        <w:tc>
          <w:tcPr>
            <w:tcW w:w="1188" w:type="dxa"/>
            <w:tcBorders>
              <w:top w:val="nil"/>
              <w:left w:val="nil"/>
              <w:bottom w:val="dotted" w:sz="4" w:space="0" w:color="auto"/>
              <w:right w:val="single" w:sz="4" w:space="0" w:color="auto"/>
            </w:tcBorders>
            <w:shd w:val="clear" w:color="auto" w:fill="auto"/>
            <w:noWrap/>
            <w:vAlign w:val="bottom"/>
            <w:hideMark/>
          </w:tcPr>
          <w:p w14:paraId="1082BAA4" w14:textId="77777777" w:rsidR="003E0F58" w:rsidRPr="0093556C" w:rsidRDefault="003E0F58" w:rsidP="004D2249">
            <w:pPr>
              <w:jc w:val="right"/>
              <w:rPr>
                <w:rFonts w:cs="Times New Roman"/>
                <w:i/>
                <w:iCs/>
                <w:color w:val="000000"/>
                <w:sz w:val="20"/>
                <w:szCs w:val="20"/>
                <w:lang w:val="cs-CZ"/>
              </w:rPr>
            </w:pPr>
            <w:r w:rsidRPr="0093556C">
              <w:rPr>
                <w:rFonts w:cs="Times New Roman"/>
                <w:i/>
                <w:iCs/>
                <w:color w:val="000000"/>
                <w:sz w:val="20"/>
                <w:szCs w:val="20"/>
                <w:lang w:val="cs-CZ"/>
              </w:rPr>
              <w:t>7624,68</w:t>
            </w:r>
          </w:p>
        </w:tc>
        <w:tc>
          <w:tcPr>
            <w:tcW w:w="1188" w:type="dxa"/>
            <w:tcBorders>
              <w:top w:val="nil"/>
              <w:left w:val="nil"/>
              <w:bottom w:val="dotted" w:sz="4" w:space="0" w:color="auto"/>
              <w:right w:val="single" w:sz="4" w:space="0" w:color="auto"/>
            </w:tcBorders>
            <w:shd w:val="clear" w:color="auto" w:fill="auto"/>
            <w:noWrap/>
            <w:vAlign w:val="bottom"/>
            <w:hideMark/>
          </w:tcPr>
          <w:p w14:paraId="023EEE43" w14:textId="77777777" w:rsidR="003E0F58" w:rsidRPr="0093556C" w:rsidRDefault="003E0F58" w:rsidP="004D2249">
            <w:pPr>
              <w:jc w:val="right"/>
              <w:rPr>
                <w:rFonts w:cs="Times New Roman"/>
                <w:i/>
                <w:iCs/>
                <w:color w:val="000000"/>
                <w:sz w:val="20"/>
                <w:szCs w:val="20"/>
                <w:lang w:val="cs-CZ"/>
              </w:rPr>
            </w:pPr>
            <w:r w:rsidRPr="0093556C">
              <w:rPr>
                <w:rFonts w:cs="Times New Roman"/>
                <w:i/>
                <w:iCs/>
                <w:color w:val="000000"/>
                <w:sz w:val="20"/>
                <w:szCs w:val="20"/>
                <w:lang w:val="cs-CZ"/>
              </w:rPr>
              <w:t>7691,17</w:t>
            </w:r>
          </w:p>
        </w:tc>
        <w:tc>
          <w:tcPr>
            <w:tcW w:w="1188" w:type="dxa"/>
            <w:tcBorders>
              <w:top w:val="nil"/>
              <w:left w:val="nil"/>
              <w:bottom w:val="dotted" w:sz="4" w:space="0" w:color="auto"/>
              <w:right w:val="single" w:sz="4" w:space="0" w:color="auto"/>
            </w:tcBorders>
            <w:shd w:val="clear" w:color="auto" w:fill="auto"/>
            <w:noWrap/>
            <w:vAlign w:val="bottom"/>
            <w:hideMark/>
          </w:tcPr>
          <w:p w14:paraId="43473B29" w14:textId="77777777" w:rsidR="003E0F58" w:rsidRPr="0093556C" w:rsidRDefault="003E0F58" w:rsidP="004D2249">
            <w:pPr>
              <w:jc w:val="right"/>
              <w:rPr>
                <w:rFonts w:cs="Times New Roman"/>
                <w:i/>
                <w:iCs/>
                <w:color w:val="000000"/>
                <w:sz w:val="20"/>
                <w:szCs w:val="20"/>
                <w:lang w:val="cs-CZ"/>
              </w:rPr>
            </w:pPr>
            <w:r w:rsidRPr="0093556C">
              <w:rPr>
                <w:rFonts w:cs="Times New Roman"/>
                <w:i/>
                <w:iCs/>
                <w:color w:val="000000"/>
                <w:sz w:val="20"/>
                <w:szCs w:val="20"/>
                <w:lang w:val="cs-CZ"/>
              </w:rPr>
              <w:t>7907,28</w:t>
            </w:r>
          </w:p>
        </w:tc>
        <w:tc>
          <w:tcPr>
            <w:tcW w:w="1188" w:type="dxa"/>
            <w:tcBorders>
              <w:top w:val="nil"/>
              <w:left w:val="nil"/>
              <w:bottom w:val="dotted" w:sz="4" w:space="0" w:color="auto"/>
              <w:right w:val="single" w:sz="4" w:space="0" w:color="auto"/>
            </w:tcBorders>
            <w:shd w:val="clear" w:color="auto" w:fill="auto"/>
            <w:noWrap/>
            <w:vAlign w:val="bottom"/>
            <w:hideMark/>
          </w:tcPr>
          <w:p w14:paraId="1EB55DEE" w14:textId="77777777" w:rsidR="003E0F58" w:rsidRPr="0093556C" w:rsidRDefault="003E0F58" w:rsidP="004D2249">
            <w:pPr>
              <w:jc w:val="right"/>
              <w:rPr>
                <w:rFonts w:cs="Times New Roman"/>
                <w:i/>
                <w:iCs/>
                <w:color w:val="000000"/>
                <w:sz w:val="20"/>
                <w:szCs w:val="20"/>
                <w:lang w:val="cs-CZ"/>
              </w:rPr>
            </w:pPr>
            <w:r w:rsidRPr="0093556C">
              <w:rPr>
                <w:rFonts w:cs="Times New Roman"/>
                <w:i/>
                <w:iCs/>
                <w:color w:val="000000"/>
                <w:sz w:val="20"/>
                <w:szCs w:val="20"/>
                <w:lang w:val="cs-CZ"/>
              </w:rPr>
              <w:t>8026,66</w:t>
            </w:r>
          </w:p>
        </w:tc>
        <w:tc>
          <w:tcPr>
            <w:tcW w:w="1188" w:type="dxa"/>
            <w:tcBorders>
              <w:top w:val="nil"/>
              <w:left w:val="nil"/>
              <w:bottom w:val="dotted" w:sz="4" w:space="0" w:color="auto"/>
              <w:right w:val="single" w:sz="4" w:space="0" w:color="auto"/>
            </w:tcBorders>
            <w:shd w:val="clear" w:color="auto" w:fill="auto"/>
            <w:noWrap/>
            <w:vAlign w:val="bottom"/>
            <w:hideMark/>
          </w:tcPr>
          <w:p w14:paraId="2EE12943" w14:textId="77777777" w:rsidR="003E0F58" w:rsidRPr="0093556C" w:rsidRDefault="003E0F58" w:rsidP="004D2249">
            <w:pPr>
              <w:jc w:val="right"/>
              <w:rPr>
                <w:rFonts w:cs="Times New Roman"/>
                <w:i/>
                <w:iCs/>
                <w:color w:val="000000"/>
                <w:sz w:val="20"/>
                <w:szCs w:val="20"/>
                <w:lang w:val="cs-CZ"/>
              </w:rPr>
            </w:pPr>
            <w:r w:rsidRPr="0093556C">
              <w:rPr>
                <w:rFonts w:cs="Times New Roman"/>
                <w:i/>
                <w:iCs/>
                <w:color w:val="000000"/>
                <w:sz w:val="20"/>
                <w:szCs w:val="20"/>
                <w:lang w:val="cs-CZ"/>
              </w:rPr>
              <w:t>8201,40</w:t>
            </w:r>
          </w:p>
        </w:tc>
        <w:tc>
          <w:tcPr>
            <w:tcW w:w="1188" w:type="dxa"/>
            <w:tcBorders>
              <w:top w:val="nil"/>
              <w:left w:val="nil"/>
              <w:bottom w:val="dotted" w:sz="4" w:space="0" w:color="auto"/>
              <w:right w:val="single" w:sz="4" w:space="0" w:color="auto"/>
            </w:tcBorders>
            <w:shd w:val="clear" w:color="auto" w:fill="auto"/>
            <w:noWrap/>
            <w:vAlign w:val="bottom"/>
            <w:hideMark/>
          </w:tcPr>
          <w:p w14:paraId="0EF8B2DB" w14:textId="77777777" w:rsidR="003E0F58" w:rsidRPr="0093556C" w:rsidRDefault="003E0F58" w:rsidP="004D2249">
            <w:pPr>
              <w:jc w:val="right"/>
              <w:rPr>
                <w:rFonts w:cs="Times New Roman"/>
                <w:i/>
                <w:iCs/>
                <w:color w:val="000000"/>
                <w:sz w:val="20"/>
                <w:szCs w:val="20"/>
                <w:lang w:val="cs-CZ"/>
              </w:rPr>
            </w:pPr>
            <w:r w:rsidRPr="0093556C">
              <w:rPr>
                <w:rFonts w:cs="Times New Roman"/>
                <w:i/>
                <w:iCs/>
                <w:color w:val="000000"/>
                <w:sz w:val="20"/>
                <w:szCs w:val="20"/>
                <w:lang w:val="cs-CZ"/>
              </w:rPr>
              <w:t>8317,96</w:t>
            </w:r>
          </w:p>
        </w:tc>
        <w:tc>
          <w:tcPr>
            <w:tcW w:w="1188" w:type="dxa"/>
            <w:tcBorders>
              <w:top w:val="nil"/>
              <w:left w:val="nil"/>
              <w:bottom w:val="dotted" w:sz="4" w:space="0" w:color="auto"/>
              <w:right w:val="single" w:sz="4" w:space="0" w:color="auto"/>
            </w:tcBorders>
            <w:shd w:val="clear" w:color="auto" w:fill="auto"/>
            <w:noWrap/>
            <w:vAlign w:val="bottom"/>
            <w:hideMark/>
          </w:tcPr>
          <w:p w14:paraId="75F221EB" w14:textId="77777777" w:rsidR="003E0F58" w:rsidRPr="0093556C" w:rsidRDefault="003E0F58" w:rsidP="004D2249">
            <w:pPr>
              <w:jc w:val="right"/>
              <w:rPr>
                <w:rFonts w:cs="Times New Roman"/>
                <w:i/>
                <w:iCs/>
                <w:color w:val="000000"/>
                <w:sz w:val="20"/>
                <w:szCs w:val="20"/>
                <w:lang w:val="cs-CZ"/>
              </w:rPr>
            </w:pPr>
            <w:r w:rsidRPr="0093556C">
              <w:rPr>
                <w:rFonts w:cs="Times New Roman"/>
                <w:i/>
                <w:iCs/>
                <w:color w:val="000000"/>
                <w:sz w:val="20"/>
                <w:szCs w:val="20"/>
                <w:lang w:val="cs-CZ"/>
              </w:rPr>
              <w:t>8414,90</w:t>
            </w:r>
          </w:p>
        </w:tc>
        <w:tc>
          <w:tcPr>
            <w:tcW w:w="1207" w:type="dxa"/>
            <w:tcBorders>
              <w:top w:val="nil"/>
              <w:left w:val="nil"/>
              <w:bottom w:val="dotted" w:sz="4" w:space="0" w:color="auto"/>
              <w:right w:val="single" w:sz="12" w:space="0" w:color="auto"/>
            </w:tcBorders>
            <w:shd w:val="clear" w:color="auto" w:fill="auto"/>
            <w:noWrap/>
            <w:vAlign w:val="bottom"/>
            <w:hideMark/>
          </w:tcPr>
          <w:p w14:paraId="650C3492" w14:textId="77777777" w:rsidR="003E0F58" w:rsidRPr="0093556C" w:rsidRDefault="003E0F58" w:rsidP="004D2249">
            <w:pPr>
              <w:jc w:val="right"/>
              <w:rPr>
                <w:rFonts w:cs="Times New Roman"/>
                <w:i/>
                <w:iCs/>
                <w:color w:val="000000"/>
                <w:sz w:val="20"/>
                <w:szCs w:val="20"/>
                <w:lang w:val="cs-CZ"/>
              </w:rPr>
            </w:pPr>
            <w:r w:rsidRPr="0093556C">
              <w:rPr>
                <w:rFonts w:cs="Times New Roman"/>
                <w:i/>
                <w:iCs/>
                <w:color w:val="000000"/>
                <w:sz w:val="20"/>
                <w:szCs w:val="20"/>
                <w:lang w:val="cs-CZ"/>
              </w:rPr>
              <w:t>8512,28</w:t>
            </w:r>
          </w:p>
        </w:tc>
      </w:tr>
      <w:tr w:rsidR="003E0F58" w:rsidRPr="0093556C" w14:paraId="1A28AB30" w14:textId="77777777" w:rsidTr="004D2249">
        <w:trPr>
          <w:trHeight w:val="278"/>
        </w:trPr>
        <w:tc>
          <w:tcPr>
            <w:tcW w:w="3219" w:type="dxa"/>
            <w:tcBorders>
              <w:top w:val="dotted" w:sz="4" w:space="0" w:color="auto"/>
              <w:left w:val="single" w:sz="12" w:space="0" w:color="auto"/>
              <w:bottom w:val="single" w:sz="4" w:space="0" w:color="auto"/>
              <w:right w:val="single" w:sz="12" w:space="0" w:color="auto"/>
            </w:tcBorders>
            <w:shd w:val="clear" w:color="auto" w:fill="auto"/>
            <w:noWrap/>
            <w:vAlign w:val="bottom"/>
            <w:hideMark/>
          </w:tcPr>
          <w:p w14:paraId="47EA3B2A" w14:textId="77777777" w:rsidR="003E0F58" w:rsidRPr="0093556C" w:rsidRDefault="003E0F58" w:rsidP="004D2249">
            <w:pPr>
              <w:jc w:val="left"/>
              <w:rPr>
                <w:rFonts w:cs="Times New Roman"/>
                <w:b/>
                <w:bCs/>
                <w:color w:val="000000"/>
                <w:sz w:val="20"/>
                <w:szCs w:val="20"/>
                <w:lang w:val="cs-CZ"/>
              </w:rPr>
            </w:pPr>
            <w:r w:rsidRPr="0093556C">
              <w:rPr>
                <w:rFonts w:cs="Times New Roman"/>
                <w:b/>
                <w:bCs/>
                <w:color w:val="000000"/>
                <w:sz w:val="20"/>
                <w:szCs w:val="20"/>
                <w:lang w:val="cs-CZ"/>
              </w:rPr>
              <w:t>celkem [tis. ha]</w:t>
            </w:r>
          </w:p>
        </w:tc>
        <w:tc>
          <w:tcPr>
            <w:tcW w:w="1170" w:type="dxa"/>
            <w:tcBorders>
              <w:top w:val="dotted" w:sz="4" w:space="0" w:color="auto"/>
              <w:left w:val="single" w:sz="12" w:space="0" w:color="auto"/>
              <w:bottom w:val="single" w:sz="4" w:space="0" w:color="auto"/>
              <w:right w:val="single" w:sz="4" w:space="0" w:color="auto"/>
            </w:tcBorders>
            <w:shd w:val="clear" w:color="auto" w:fill="auto"/>
            <w:noWrap/>
            <w:vAlign w:val="bottom"/>
            <w:hideMark/>
          </w:tcPr>
          <w:p w14:paraId="7FEC845C"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260,09</w:t>
            </w:r>
          </w:p>
        </w:tc>
        <w:tc>
          <w:tcPr>
            <w:tcW w:w="1188" w:type="dxa"/>
            <w:tcBorders>
              <w:top w:val="dotted" w:sz="4" w:space="0" w:color="auto"/>
              <w:left w:val="nil"/>
              <w:bottom w:val="single" w:sz="4" w:space="0" w:color="auto"/>
              <w:right w:val="single" w:sz="4" w:space="0" w:color="auto"/>
            </w:tcBorders>
            <w:shd w:val="clear" w:color="auto" w:fill="auto"/>
            <w:noWrap/>
            <w:vAlign w:val="bottom"/>
            <w:hideMark/>
          </w:tcPr>
          <w:p w14:paraId="2F9EAFEA"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257,90</w:t>
            </w:r>
          </w:p>
        </w:tc>
        <w:tc>
          <w:tcPr>
            <w:tcW w:w="1188" w:type="dxa"/>
            <w:tcBorders>
              <w:top w:val="dotted" w:sz="4" w:space="0" w:color="auto"/>
              <w:left w:val="nil"/>
              <w:bottom w:val="single" w:sz="4" w:space="0" w:color="auto"/>
              <w:right w:val="single" w:sz="4" w:space="0" w:color="auto"/>
            </w:tcBorders>
            <w:shd w:val="clear" w:color="auto" w:fill="auto"/>
            <w:noWrap/>
            <w:vAlign w:val="bottom"/>
            <w:hideMark/>
          </w:tcPr>
          <w:p w14:paraId="75CF6C76"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261,08</w:t>
            </w:r>
          </w:p>
        </w:tc>
        <w:tc>
          <w:tcPr>
            <w:tcW w:w="1188" w:type="dxa"/>
            <w:tcBorders>
              <w:top w:val="dotted" w:sz="4" w:space="0" w:color="auto"/>
              <w:left w:val="nil"/>
              <w:bottom w:val="single" w:sz="4" w:space="0" w:color="auto"/>
              <w:right w:val="single" w:sz="4" w:space="0" w:color="auto"/>
            </w:tcBorders>
            <w:shd w:val="clear" w:color="auto" w:fill="auto"/>
            <w:noWrap/>
            <w:vAlign w:val="bottom"/>
            <w:hideMark/>
          </w:tcPr>
          <w:p w14:paraId="3180DD82"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263,02</w:t>
            </w:r>
          </w:p>
        </w:tc>
        <w:tc>
          <w:tcPr>
            <w:tcW w:w="1188" w:type="dxa"/>
            <w:tcBorders>
              <w:top w:val="dotted" w:sz="4" w:space="0" w:color="auto"/>
              <w:left w:val="nil"/>
              <w:bottom w:val="single" w:sz="4" w:space="0" w:color="auto"/>
              <w:right w:val="single" w:sz="4" w:space="0" w:color="auto"/>
            </w:tcBorders>
            <w:shd w:val="clear" w:color="auto" w:fill="auto"/>
            <w:noWrap/>
            <w:vAlign w:val="bottom"/>
            <w:hideMark/>
          </w:tcPr>
          <w:p w14:paraId="37BE9AC5"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265,32</w:t>
            </w:r>
          </w:p>
        </w:tc>
        <w:tc>
          <w:tcPr>
            <w:tcW w:w="1188" w:type="dxa"/>
            <w:tcBorders>
              <w:top w:val="dotted" w:sz="4" w:space="0" w:color="auto"/>
              <w:left w:val="nil"/>
              <w:bottom w:val="single" w:sz="4" w:space="0" w:color="auto"/>
              <w:right w:val="single" w:sz="4" w:space="0" w:color="auto"/>
            </w:tcBorders>
            <w:shd w:val="clear" w:color="auto" w:fill="auto"/>
            <w:noWrap/>
            <w:vAlign w:val="bottom"/>
            <w:hideMark/>
          </w:tcPr>
          <w:p w14:paraId="2644498A"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272,77</w:t>
            </w:r>
          </w:p>
        </w:tc>
        <w:tc>
          <w:tcPr>
            <w:tcW w:w="1188" w:type="dxa"/>
            <w:tcBorders>
              <w:top w:val="dotted" w:sz="4" w:space="0" w:color="auto"/>
              <w:left w:val="nil"/>
              <w:bottom w:val="single" w:sz="4" w:space="0" w:color="auto"/>
              <w:right w:val="single" w:sz="4" w:space="0" w:color="auto"/>
            </w:tcBorders>
            <w:shd w:val="clear" w:color="auto" w:fill="auto"/>
            <w:noWrap/>
            <w:vAlign w:val="bottom"/>
            <w:hideMark/>
          </w:tcPr>
          <w:p w14:paraId="24C60209"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276,89</w:t>
            </w:r>
          </w:p>
        </w:tc>
        <w:tc>
          <w:tcPr>
            <w:tcW w:w="1188" w:type="dxa"/>
            <w:tcBorders>
              <w:top w:val="dotted" w:sz="4" w:space="0" w:color="auto"/>
              <w:left w:val="nil"/>
              <w:bottom w:val="single" w:sz="4" w:space="0" w:color="auto"/>
              <w:right w:val="single" w:sz="4" w:space="0" w:color="auto"/>
            </w:tcBorders>
            <w:shd w:val="clear" w:color="auto" w:fill="auto"/>
            <w:noWrap/>
            <w:vAlign w:val="bottom"/>
            <w:hideMark/>
          </w:tcPr>
          <w:p w14:paraId="5B48D102"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282,92</w:t>
            </w:r>
          </w:p>
        </w:tc>
        <w:tc>
          <w:tcPr>
            <w:tcW w:w="1188" w:type="dxa"/>
            <w:tcBorders>
              <w:top w:val="dotted" w:sz="4" w:space="0" w:color="auto"/>
              <w:left w:val="nil"/>
              <w:bottom w:val="single" w:sz="4" w:space="0" w:color="auto"/>
              <w:right w:val="single" w:sz="4" w:space="0" w:color="auto"/>
            </w:tcBorders>
            <w:shd w:val="clear" w:color="auto" w:fill="auto"/>
            <w:noWrap/>
            <w:vAlign w:val="bottom"/>
            <w:hideMark/>
          </w:tcPr>
          <w:p w14:paraId="13872D58"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286,94</w:t>
            </w:r>
          </w:p>
        </w:tc>
        <w:tc>
          <w:tcPr>
            <w:tcW w:w="1188" w:type="dxa"/>
            <w:tcBorders>
              <w:top w:val="dotted" w:sz="4" w:space="0" w:color="auto"/>
              <w:left w:val="nil"/>
              <w:bottom w:val="single" w:sz="4" w:space="0" w:color="auto"/>
              <w:right w:val="single" w:sz="4" w:space="0" w:color="auto"/>
            </w:tcBorders>
            <w:shd w:val="clear" w:color="auto" w:fill="auto"/>
            <w:noWrap/>
            <w:vAlign w:val="bottom"/>
            <w:hideMark/>
          </w:tcPr>
          <w:p w14:paraId="43E346DC"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290,28</w:t>
            </w:r>
          </w:p>
        </w:tc>
        <w:tc>
          <w:tcPr>
            <w:tcW w:w="1207" w:type="dxa"/>
            <w:tcBorders>
              <w:top w:val="dotted" w:sz="4" w:space="0" w:color="auto"/>
              <w:left w:val="nil"/>
              <w:bottom w:val="single" w:sz="4" w:space="0" w:color="auto"/>
              <w:right w:val="single" w:sz="12" w:space="0" w:color="auto"/>
            </w:tcBorders>
            <w:shd w:val="clear" w:color="auto" w:fill="auto"/>
            <w:noWrap/>
            <w:vAlign w:val="bottom"/>
            <w:hideMark/>
          </w:tcPr>
          <w:p w14:paraId="0122411D"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293,64</w:t>
            </w:r>
          </w:p>
        </w:tc>
      </w:tr>
      <w:tr w:rsidR="003E0F58" w:rsidRPr="0093556C" w14:paraId="527DCD94" w14:textId="77777777" w:rsidTr="004D2249">
        <w:trPr>
          <w:trHeight w:val="278"/>
        </w:trPr>
        <w:tc>
          <w:tcPr>
            <w:tcW w:w="3219" w:type="dxa"/>
            <w:tcBorders>
              <w:top w:val="nil"/>
              <w:left w:val="single" w:sz="12" w:space="0" w:color="auto"/>
              <w:bottom w:val="single" w:sz="4" w:space="0" w:color="auto"/>
              <w:right w:val="single" w:sz="12" w:space="0" w:color="auto"/>
            </w:tcBorders>
            <w:shd w:val="clear" w:color="auto" w:fill="auto"/>
            <w:noWrap/>
            <w:vAlign w:val="bottom"/>
            <w:hideMark/>
          </w:tcPr>
          <w:p w14:paraId="253C0604" w14:textId="77777777" w:rsidR="003E0F58" w:rsidRPr="0093556C" w:rsidRDefault="003E0F58" w:rsidP="004D2249">
            <w:pPr>
              <w:jc w:val="left"/>
              <w:rPr>
                <w:rFonts w:cs="Times New Roman"/>
                <w:b/>
                <w:bCs/>
                <w:color w:val="000000"/>
                <w:sz w:val="20"/>
                <w:szCs w:val="20"/>
                <w:lang w:val="cs-CZ"/>
              </w:rPr>
            </w:pPr>
            <w:r w:rsidRPr="0093556C">
              <w:rPr>
                <w:rFonts w:cs="Times New Roman"/>
                <w:b/>
                <w:bCs/>
                <w:color w:val="000000"/>
                <w:sz w:val="20"/>
                <w:szCs w:val="20"/>
                <w:lang w:val="cs-CZ"/>
              </w:rPr>
              <w:t>Kukuřice na siláž</w:t>
            </w:r>
          </w:p>
        </w:tc>
        <w:tc>
          <w:tcPr>
            <w:tcW w:w="1170" w:type="dxa"/>
            <w:tcBorders>
              <w:top w:val="nil"/>
              <w:left w:val="single" w:sz="12" w:space="0" w:color="auto"/>
              <w:bottom w:val="single" w:sz="4" w:space="0" w:color="auto"/>
              <w:right w:val="single" w:sz="4" w:space="0" w:color="auto"/>
            </w:tcBorders>
            <w:shd w:val="clear" w:color="auto" w:fill="auto"/>
            <w:noWrap/>
            <w:vAlign w:val="bottom"/>
            <w:hideMark/>
          </w:tcPr>
          <w:p w14:paraId="0ABF8190"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85,73</w:t>
            </w:r>
          </w:p>
        </w:tc>
        <w:tc>
          <w:tcPr>
            <w:tcW w:w="1188" w:type="dxa"/>
            <w:tcBorders>
              <w:top w:val="nil"/>
              <w:left w:val="nil"/>
              <w:bottom w:val="single" w:sz="4" w:space="0" w:color="auto"/>
              <w:right w:val="single" w:sz="4" w:space="0" w:color="auto"/>
            </w:tcBorders>
            <w:shd w:val="clear" w:color="auto" w:fill="auto"/>
            <w:noWrap/>
            <w:vAlign w:val="bottom"/>
            <w:hideMark/>
          </w:tcPr>
          <w:p w14:paraId="6FDA32AF"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85,01</w:t>
            </w:r>
          </w:p>
        </w:tc>
        <w:tc>
          <w:tcPr>
            <w:tcW w:w="1188" w:type="dxa"/>
            <w:tcBorders>
              <w:top w:val="nil"/>
              <w:left w:val="nil"/>
              <w:bottom w:val="single" w:sz="4" w:space="0" w:color="auto"/>
              <w:right w:val="single" w:sz="4" w:space="0" w:color="auto"/>
            </w:tcBorders>
            <w:shd w:val="clear" w:color="auto" w:fill="auto"/>
            <w:noWrap/>
            <w:vAlign w:val="bottom"/>
            <w:hideMark/>
          </w:tcPr>
          <w:p w14:paraId="20D76311"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86,06</w:t>
            </w:r>
          </w:p>
        </w:tc>
        <w:tc>
          <w:tcPr>
            <w:tcW w:w="1188" w:type="dxa"/>
            <w:tcBorders>
              <w:top w:val="nil"/>
              <w:left w:val="nil"/>
              <w:bottom w:val="single" w:sz="4" w:space="0" w:color="auto"/>
              <w:right w:val="single" w:sz="4" w:space="0" w:color="auto"/>
            </w:tcBorders>
            <w:shd w:val="clear" w:color="auto" w:fill="auto"/>
            <w:noWrap/>
            <w:vAlign w:val="bottom"/>
            <w:hideMark/>
          </w:tcPr>
          <w:p w14:paraId="02004C3C"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86,70</w:t>
            </w:r>
          </w:p>
        </w:tc>
        <w:tc>
          <w:tcPr>
            <w:tcW w:w="1188" w:type="dxa"/>
            <w:tcBorders>
              <w:top w:val="nil"/>
              <w:left w:val="nil"/>
              <w:bottom w:val="single" w:sz="4" w:space="0" w:color="auto"/>
              <w:right w:val="single" w:sz="4" w:space="0" w:color="auto"/>
            </w:tcBorders>
            <w:shd w:val="clear" w:color="auto" w:fill="auto"/>
            <w:noWrap/>
            <w:vAlign w:val="bottom"/>
            <w:hideMark/>
          </w:tcPr>
          <w:p w14:paraId="60795118"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87,46</w:t>
            </w:r>
          </w:p>
        </w:tc>
        <w:tc>
          <w:tcPr>
            <w:tcW w:w="1188" w:type="dxa"/>
            <w:tcBorders>
              <w:top w:val="nil"/>
              <w:left w:val="nil"/>
              <w:bottom w:val="single" w:sz="4" w:space="0" w:color="auto"/>
              <w:right w:val="single" w:sz="4" w:space="0" w:color="auto"/>
            </w:tcBorders>
            <w:shd w:val="clear" w:color="auto" w:fill="auto"/>
            <w:noWrap/>
            <w:vAlign w:val="bottom"/>
            <w:hideMark/>
          </w:tcPr>
          <w:p w14:paraId="2928E183"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89,91</w:t>
            </w:r>
          </w:p>
        </w:tc>
        <w:tc>
          <w:tcPr>
            <w:tcW w:w="1188" w:type="dxa"/>
            <w:tcBorders>
              <w:top w:val="nil"/>
              <w:left w:val="nil"/>
              <w:bottom w:val="single" w:sz="4" w:space="0" w:color="auto"/>
              <w:right w:val="single" w:sz="4" w:space="0" w:color="auto"/>
            </w:tcBorders>
            <w:shd w:val="clear" w:color="auto" w:fill="auto"/>
            <w:noWrap/>
            <w:vAlign w:val="bottom"/>
            <w:hideMark/>
          </w:tcPr>
          <w:p w14:paraId="20601644"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91,27</w:t>
            </w:r>
          </w:p>
        </w:tc>
        <w:tc>
          <w:tcPr>
            <w:tcW w:w="1188" w:type="dxa"/>
            <w:tcBorders>
              <w:top w:val="nil"/>
              <w:left w:val="nil"/>
              <w:bottom w:val="single" w:sz="4" w:space="0" w:color="auto"/>
              <w:right w:val="single" w:sz="4" w:space="0" w:color="auto"/>
            </w:tcBorders>
            <w:shd w:val="clear" w:color="auto" w:fill="auto"/>
            <w:noWrap/>
            <w:vAlign w:val="bottom"/>
            <w:hideMark/>
          </w:tcPr>
          <w:p w14:paraId="2142E09C"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93,26</w:t>
            </w:r>
          </w:p>
        </w:tc>
        <w:tc>
          <w:tcPr>
            <w:tcW w:w="1188" w:type="dxa"/>
            <w:tcBorders>
              <w:top w:val="nil"/>
              <w:left w:val="nil"/>
              <w:bottom w:val="single" w:sz="4" w:space="0" w:color="auto"/>
              <w:right w:val="single" w:sz="4" w:space="0" w:color="auto"/>
            </w:tcBorders>
            <w:shd w:val="clear" w:color="auto" w:fill="auto"/>
            <w:noWrap/>
            <w:vAlign w:val="bottom"/>
            <w:hideMark/>
          </w:tcPr>
          <w:p w14:paraId="1DAF731A"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94,58</w:t>
            </w:r>
          </w:p>
        </w:tc>
        <w:tc>
          <w:tcPr>
            <w:tcW w:w="1188" w:type="dxa"/>
            <w:tcBorders>
              <w:top w:val="nil"/>
              <w:left w:val="nil"/>
              <w:bottom w:val="single" w:sz="4" w:space="0" w:color="auto"/>
              <w:right w:val="single" w:sz="4" w:space="0" w:color="auto"/>
            </w:tcBorders>
            <w:shd w:val="clear" w:color="auto" w:fill="auto"/>
            <w:noWrap/>
            <w:vAlign w:val="bottom"/>
            <w:hideMark/>
          </w:tcPr>
          <w:p w14:paraId="6EDF6949"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95,69</w:t>
            </w:r>
          </w:p>
        </w:tc>
        <w:tc>
          <w:tcPr>
            <w:tcW w:w="1207" w:type="dxa"/>
            <w:tcBorders>
              <w:top w:val="nil"/>
              <w:left w:val="nil"/>
              <w:bottom w:val="single" w:sz="4" w:space="0" w:color="auto"/>
              <w:right w:val="single" w:sz="12" w:space="0" w:color="auto"/>
            </w:tcBorders>
            <w:shd w:val="clear" w:color="auto" w:fill="auto"/>
            <w:noWrap/>
            <w:vAlign w:val="bottom"/>
            <w:hideMark/>
          </w:tcPr>
          <w:p w14:paraId="0BD7023E"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96,79</w:t>
            </w:r>
          </w:p>
        </w:tc>
      </w:tr>
      <w:tr w:rsidR="003E0F58" w:rsidRPr="0093556C" w14:paraId="7FB0B71C" w14:textId="77777777" w:rsidTr="004D2249">
        <w:trPr>
          <w:trHeight w:val="278"/>
        </w:trPr>
        <w:tc>
          <w:tcPr>
            <w:tcW w:w="3219" w:type="dxa"/>
            <w:tcBorders>
              <w:top w:val="nil"/>
              <w:left w:val="single" w:sz="12" w:space="0" w:color="auto"/>
              <w:bottom w:val="single" w:sz="4" w:space="0" w:color="auto"/>
              <w:right w:val="single" w:sz="12" w:space="0" w:color="auto"/>
            </w:tcBorders>
            <w:shd w:val="clear" w:color="auto" w:fill="auto"/>
            <w:noWrap/>
            <w:vAlign w:val="bottom"/>
            <w:hideMark/>
          </w:tcPr>
          <w:p w14:paraId="3F44846D" w14:textId="77777777" w:rsidR="003E0F58" w:rsidRPr="0093556C" w:rsidRDefault="003E0F58" w:rsidP="004D2249">
            <w:pPr>
              <w:jc w:val="left"/>
              <w:rPr>
                <w:rFonts w:cs="Times New Roman"/>
                <w:b/>
                <w:bCs/>
                <w:color w:val="000000"/>
                <w:sz w:val="20"/>
                <w:szCs w:val="20"/>
                <w:lang w:val="cs-CZ"/>
              </w:rPr>
            </w:pPr>
            <w:r w:rsidRPr="0093556C">
              <w:rPr>
                <w:rFonts w:cs="Times New Roman"/>
                <w:b/>
                <w:bCs/>
                <w:color w:val="000000"/>
                <w:sz w:val="20"/>
                <w:szCs w:val="20"/>
                <w:lang w:val="cs-CZ"/>
              </w:rPr>
              <w:t>Louky (senáže z TTP)</w:t>
            </w:r>
          </w:p>
        </w:tc>
        <w:tc>
          <w:tcPr>
            <w:tcW w:w="1170" w:type="dxa"/>
            <w:tcBorders>
              <w:top w:val="nil"/>
              <w:left w:val="single" w:sz="12" w:space="0" w:color="auto"/>
              <w:bottom w:val="single" w:sz="4" w:space="0" w:color="auto"/>
              <w:right w:val="single" w:sz="4" w:space="0" w:color="auto"/>
            </w:tcBorders>
            <w:shd w:val="clear" w:color="auto" w:fill="auto"/>
            <w:noWrap/>
            <w:vAlign w:val="bottom"/>
            <w:hideMark/>
          </w:tcPr>
          <w:p w14:paraId="42992563"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116,72</w:t>
            </w:r>
          </w:p>
        </w:tc>
        <w:tc>
          <w:tcPr>
            <w:tcW w:w="1188" w:type="dxa"/>
            <w:tcBorders>
              <w:top w:val="nil"/>
              <w:left w:val="nil"/>
              <w:bottom w:val="single" w:sz="4" w:space="0" w:color="auto"/>
              <w:right w:val="single" w:sz="4" w:space="0" w:color="auto"/>
            </w:tcBorders>
            <w:shd w:val="clear" w:color="auto" w:fill="auto"/>
            <w:noWrap/>
            <w:vAlign w:val="bottom"/>
            <w:hideMark/>
          </w:tcPr>
          <w:p w14:paraId="083C0E00"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115,74</w:t>
            </w:r>
          </w:p>
        </w:tc>
        <w:tc>
          <w:tcPr>
            <w:tcW w:w="1188" w:type="dxa"/>
            <w:tcBorders>
              <w:top w:val="nil"/>
              <w:left w:val="nil"/>
              <w:bottom w:val="single" w:sz="4" w:space="0" w:color="auto"/>
              <w:right w:val="single" w:sz="4" w:space="0" w:color="auto"/>
            </w:tcBorders>
            <w:shd w:val="clear" w:color="auto" w:fill="auto"/>
            <w:noWrap/>
            <w:vAlign w:val="bottom"/>
            <w:hideMark/>
          </w:tcPr>
          <w:p w14:paraId="02F1D0F9"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117,16</w:t>
            </w:r>
          </w:p>
        </w:tc>
        <w:tc>
          <w:tcPr>
            <w:tcW w:w="1188" w:type="dxa"/>
            <w:tcBorders>
              <w:top w:val="nil"/>
              <w:left w:val="nil"/>
              <w:bottom w:val="single" w:sz="4" w:space="0" w:color="auto"/>
              <w:right w:val="single" w:sz="4" w:space="0" w:color="auto"/>
            </w:tcBorders>
            <w:shd w:val="clear" w:color="auto" w:fill="auto"/>
            <w:noWrap/>
            <w:vAlign w:val="bottom"/>
            <w:hideMark/>
          </w:tcPr>
          <w:p w14:paraId="11EA9210"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118,03</w:t>
            </w:r>
          </w:p>
        </w:tc>
        <w:tc>
          <w:tcPr>
            <w:tcW w:w="1188" w:type="dxa"/>
            <w:tcBorders>
              <w:top w:val="nil"/>
              <w:left w:val="nil"/>
              <w:bottom w:val="single" w:sz="4" w:space="0" w:color="auto"/>
              <w:right w:val="single" w:sz="4" w:space="0" w:color="auto"/>
            </w:tcBorders>
            <w:shd w:val="clear" w:color="auto" w:fill="auto"/>
            <w:noWrap/>
            <w:vAlign w:val="bottom"/>
            <w:hideMark/>
          </w:tcPr>
          <w:p w14:paraId="6EF22CBB"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119,06</w:t>
            </w:r>
          </w:p>
        </w:tc>
        <w:tc>
          <w:tcPr>
            <w:tcW w:w="1188" w:type="dxa"/>
            <w:tcBorders>
              <w:top w:val="nil"/>
              <w:left w:val="nil"/>
              <w:bottom w:val="single" w:sz="4" w:space="0" w:color="auto"/>
              <w:right w:val="single" w:sz="4" w:space="0" w:color="auto"/>
            </w:tcBorders>
            <w:shd w:val="clear" w:color="auto" w:fill="auto"/>
            <w:noWrap/>
            <w:vAlign w:val="bottom"/>
            <w:hideMark/>
          </w:tcPr>
          <w:p w14:paraId="5BAAE643"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122,41</w:t>
            </w:r>
          </w:p>
        </w:tc>
        <w:tc>
          <w:tcPr>
            <w:tcW w:w="1188" w:type="dxa"/>
            <w:tcBorders>
              <w:top w:val="nil"/>
              <w:left w:val="nil"/>
              <w:bottom w:val="single" w:sz="4" w:space="0" w:color="auto"/>
              <w:right w:val="single" w:sz="4" w:space="0" w:color="auto"/>
            </w:tcBorders>
            <w:shd w:val="clear" w:color="auto" w:fill="auto"/>
            <w:noWrap/>
            <w:vAlign w:val="bottom"/>
            <w:hideMark/>
          </w:tcPr>
          <w:p w14:paraId="46507A92"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124,26</w:t>
            </w:r>
          </w:p>
        </w:tc>
        <w:tc>
          <w:tcPr>
            <w:tcW w:w="1188" w:type="dxa"/>
            <w:tcBorders>
              <w:top w:val="nil"/>
              <w:left w:val="nil"/>
              <w:bottom w:val="single" w:sz="4" w:space="0" w:color="auto"/>
              <w:right w:val="single" w:sz="4" w:space="0" w:color="auto"/>
            </w:tcBorders>
            <w:shd w:val="clear" w:color="auto" w:fill="auto"/>
            <w:noWrap/>
            <w:vAlign w:val="bottom"/>
            <w:hideMark/>
          </w:tcPr>
          <w:p w14:paraId="187B11E7"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126,96</w:t>
            </w:r>
          </w:p>
        </w:tc>
        <w:tc>
          <w:tcPr>
            <w:tcW w:w="1188" w:type="dxa"/>
            <w:tcBorders>
              <w:top w:val="nil"/>
              <w:left w:val="nil"/>
              <w:bottom w:val="single" w:sz="4" w:space="0" w:color="auto"/>
              <w:right w:val="single" w:sz="4" w:space="0" w:color="auto"/>
            </w:tcBorders>
            <w:shd w:val="clear" w:color="auto" w:fill="auto"/>
            <w:noWrap/>
            <w:vAlign w:val="bottom"/>
            <w:hideMark/>
          </w:tcPr>
          <w:p w14:paraId="446A7CBF"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128,77</w:t>
            </w:r>
          </w:p>
        </w:tc>
        <w:tc>
          <w:tcPr>
            <w:tcW w:w="1188" w:type="dxa"/>
            <w:tcBorders>
              <w:top w:val="nil"/>
              <w:left w:val="nil"/>
              <w:bottom w:val="single" w:sz="4" w:space="0" w:color="auto"/>
              <w:right w:val="single" w:sz="4" w:space="0" w:color="auto"/>
            </w:tcBorders>
            <w:shd w:val="clear" w:color="auto" w:fill="auto"/>
            <w:noWrap/>
            <w:vAlign w:val="bottom"/>
            <w:hideMark/>
          </w:tcPr>
          <w:p w14:paraId="44407D35"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130,27</w:t>
            </w:r>
          </w:p>
        </w:tc>
        <w:tc>
          <w:tcPr>
            <w:tcW w:w="1207" w:type="dxa"/>
            <w:tcBorders>
              <w:top w:val="nil"/>
              <w:left w:val="nil"/>
              <w:bottom w:val="single" w:sz="4" w:space="0" w:color="auto"/>
              <w:right w:val="single" w:sz="12" w:space="0" w:color="auto"/>
            </w:tcBorders>
            <w:shd w:val="clear" w:color="auto" w:fill="auto"/>
            <w:noWrap/>
            <w:vAlign w:val="bottom"/>
            <w:hideMark/>
          </w:tcPr>
          <w:p w14:paraId="79104194"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131,77</w:t>
            </w:r>
          </w:p>
        </w:tc>
      </w:tr>
      <w:tr w:rsidR="003E0F58" w:rsidRPr="0093556C" w14:paraId="5AF87094" w14:textId="77777777" w:rsidTr="004D2249">
        <w:trPr>
          <w:trHeight w:val="278"/>
        </w:trPr>
        <w:tc>
          <w:tcPr>
            <w:tcW w:w="3219" w:type="dxa"/>
            <w:tcBorders>
              <w:top w:val="nil"/>
              <w:left w:val="single" w:sz="12" w:space="0" w:color="auto"/>
              <w:bottom w:val="single" w:sz="4" w:space="0" w:color="auto"/>
              <w:right w:val="single" w:sz="12" w:space="0" w:color="auto"/>
            </w:tcBorders>
            <w:shd w:val="clear" w:color="auto" w:fill="auto"/>
            <w:noWrap/>
            <w:vAlign w:val="bottom"/>
            <w:hideMark/>
          </w:tcPr>
          <w:p w14:paraId="396DA030" w14:textId="77777777" w:rsidR="003E0F58" w:rsidRPr="0093556C" w:rsidRDefault="003E0F58" w:rsidP="004D2249">
            <w:pPr>
              <w:jc w:val="left"/>
              <w:rPr>
                <w:rFonts w:cs="Times New Roman"/>
                <w:b/>
                <w:bCs/>
                <w:color w:val="000000"/>
                <w:sz w:val="20"/>
                <w:szCs w:val="20"/>
                <w:lang w:val="cs-CZ"/>
              </w:rPr>
            </w:pPr>
            <w:r w:rsidRPr="0093556C">
              <w:rPr>
                <w:rFonts w:cs="Times New Roman"/>
                <w:b/>
                <w:bCs/>
                <w:color w:val="000000"/>
                <w:sz w:val="20"/>
                <w:szCs w:val="20"/>
                <w:lang w:val="cs-CZ"/>
              </w:rPr>
              <w:t>Žito</w:t>
            </w:r>
          </w:p>
        </w:tc>
        <w:tc>
          <w:tcPr>
            <w:tcW w:w="1170" w:type="dxa"/>
            <w:tcBorders>
              <w:top w:val="nil"/>
              <w:left w:val="single" w:sz="12" w:space="0" w:color="auto"/>
              <w:bottom w:val="single" w:sz="4" w:space="0" w:color="auto"/>
              <w:right w:val="single" w:sz="4" w:space="0" w:color="auto"/>
            </w:tcBorders>
            <w:shd w:val="clear" w:color="auto" w:fill="auto"/>
            <w:noWrap/>
            <w:vAlign w:val="bottom"/>
            <w:hideMark/>
          </w:tcPr>
          <w:p w14:paraId="3DA72462"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26,50</w:t>
            </w:r>
          </w:p>
        </w:tc>
        <w:tc>
          <w:tcPr>
            <w:tcW w:w="1188" w:type="dxa"/>
            <w:tcBorders>
              <w:top w:val="nil"/>
              <w:left w:val="nil"/>
              <w:bottom w:val="single" w:sz="4" w:space="0" w:color="auto"/>
              <w:right w:val="single" w:sz="4" w:space="0" w:color="auto"/>
            </w:tcBorders>
            <w:shd w:val="clear" w:color="auto" w:fill="auto"/>
            <w:noWrap/>
            <w:vAlign w:val="bottom"/>
            <w:hideMark/>
          </w:tcPr>
          <w:p w14:paraId="502BA05D"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26,28</w:t>
            </w:r>
          </w:p>
        </w:tc>
        <w:tc>
          <w:tcPr>
            <w:tcW w:w="1188" w:type="dxa"/>
            <w:tcBorders>
              <w:top w:val="nil"/>
              <w:left w:val="nil"/>
              <w:bottom w:val="single" w:sz="4" w:space="0" w:color="auto"/>
              <w:right w:val="single" w:sz="4" w:space="0" w:color="auto"/>
            </w:tcBorders>
            <w:shd w:val="clear" w:color="auto" w:fill="auto"/>
            <w:noWrap/>
            <w:vAlign w:val="bottom"/>
            <w:hideMark/>
          </w:tcPr>
          <w:p w14:paraId="34B3E4AE"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26,60</w:t>
            </w:r>
          </w:p>
        </w:tc>
        <w:tc>
          <w:tcPr>
            <w:tcW w:w="1188" w:type="dxa"/>
            <w:tcBorders>
              <w:top w:val="nil"/>
              <w:left w:val="nil"/>
              <w:bottom w:val="single" w:sz="4" w:space="0" w:color="auto"/>
              <w:right w:val="single" w:sz="4" w:space="0" w:color="auto"/>
            </w:tcBorders>
            <w:shd w:val="clear" w:color="auto" w:fill="auto"/>
            <w:noWrap/>
            <w:vAlign w:val="bottom"/>
            <w:hideMark/>
          </w:tcPr>
          <w:p w14:paraId="7458B954"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26,80</w:t>
            </w:r>
          </w:p>
        </w:tc>
        <w:tc>
          <w:tcPr>
            <w:tcW w:w="1188" w:type="dxa"/>
            <w:tcBorders>
              <w:top w:val="nil"/>
              <w:left w:val="nil"/>
              <w:bottom w:val="single" w:sz="4" w:space="0" w:color="auto"/>
              <w:right w:val="single" w:sz="4" w:space="0" w:color="auto"/>
            </w:tcBorders>
            <w:shd w:val="clear" w:color="auto" w:fill="auto"/>
            <w:noWrap/>
            <w:vAlign w:val="bottom"/>
            <w:hideMark/>
          </w:tcPr>
          <w:p w14:paraId="0ACACEB8"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27,03</w:t>
            </w:r>
          </w:p>
        </w:tc>
        <w:tc>
          <w:tcPr>
            <w:tcW w:w="1188" w:type="dxa"/>
            <w:tcBorders>
              <w:top w:val="nil"/>
              <w:left w:val="nil"/>
              <w:bottom w:val="single" w:sz="4" w:space="0" w:color="auto"/>
              <w:right w:val="single" w:sz="4" w:space="0" w:color="auto"/>
            </w:tcBorders>
            <w:shd w:val="clear" w:color="auto" w:fill="auto"/>
            <w:noWrap/>
            <w:vAlign w:val="bottom"/>
            <w:hideMark/>
          </w:tcPr>
          <w:p w14:paraId="21691E6B"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27,79</w:t>
            </w:r>
          </w:p>
        </w:tc>
        <w:tc>
          <w:tcPr>
            <w:tcW w:w="1188" w:type="dxa"/>
            <w:tcBorders>
              <w:top w:val="nil"/>
              <w:left w:val="nil"/>
              <w:bottom w:val="single" w:sz="4" w:space="0" w:color="auto"/>
              <w:right w:val="single" w:sz="4" w:space="0" w:color="auto"/>
            </w:tcBorders>
            <w:shd w:val="clear" w:color="auto" w:fill="auto"/>
            <w:noWrap/>
            <w:vAlign w:val="bottom"/>
            <w:hideMark/>
          </w:tcPr>
          <w:p w14:paraId="58C0C3D7"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28,21</w:t>
            </w:r>
          </w:p>
        </w:tc>
        <w:tc>
          <w:tcPr>
            <w:tcW w:w="1188" w:type="dxa"/>
            <w:tcBorders>
              <w:top w:val="nil"/>
              <w:left w:val="nil"/>
              <w:bottom w:val="single" w:sz="4" w:space="0" w:color="auto"/>
              <w:right w:val="single" w:sz="4" w:space="0" w:color="auto"/>
            </w:tcBorders>
            <w:shd w:val="clear" w:color="auto" w:fill="auto"/>
            <w:noWrap/>
            <w:vAlign w:val="bottom"/>
            <w:hideMark/>
          </w:tcPr>
          <w:p w14:paraId="7625E831"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28,83</w:t>
            </w:r>
          </w:p>
        </w:tc>
        <w:tc>
          <w:tcPr>
            <w:tcW w:w="1188" w:type="dxa"/>
            <w:tcBorders>
              <w:top w:val="nil"/>
              <w:left w:val="nil"/>
              <w:bottom w:val="single" w:sz="4" w:space="0" w:color="auto"/>
              <w:right w:val="single" w:sz="4" w:space="0" w:color="auto"/>
            </w:tcBorders>
            <w:shd w:val="clear" w:color="auto" w:fill="auto"/>
            <w:noWrap/>
            <w:vAlign w:val="bottom"/>
            <w:hideMark/>
          </w:tcPr>
          <w:p w14:paraId="27499EE2"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29,24</w:t>
            </w:r>
          </w:p>
        </w:tc>
        <w:tc>
          <w:tcPr>
            <w:tcW w:w="1188" w:type="dxa"/>
            <w:tcBorders>
              <w:top w:val="nil"/>
              <w:left w:val="nil"/>
              <w:bottom w:val="single" w:sz="4" w:space="0" w:color="auto"/>
              <w:right w:val="single" w:sz="4" w:space="0" w:color="auto"/>
            </w:tcBorders>
            <w:shd w:val="clear" w:color="auto" w:fill="auto"/>
            <w:noWrap/>
            <w:vAlign w:val="bottom"/>
            <w:hideMark/>
          </w:tcPr>
          <w:p w14:paraId="4E60F9F9"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29,58</w:t>
            </w:r>
          </w:p>
        </w:tc>
        <w:tc>
          <w:tcPr>
            <w:tcW w:w="1207" w:type="dxa"/>
            <w:tcBorders>
              <w:top w:val="nil"/>
              <w:left w:val="nil"/>
              <w:bottom w:val="single" w:sz="4" w:space="0" w:color="auto"/>
              <w:right w:val="single" w:sz="12" w:space="0" w:color="auto"/>
            </w:tcBorders>
            <w:shd w:val="clear" w:color="auto" w:fill="auto"/>
            <w:noWrap/>
            <w:vAlign w:val="bottom"/>
            <w:hideMark/>
          </w:tcPr>
          <w:p w14:paraId="7962B64C"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29,92</w:t>
            </w:r>
          </w:p>
        </w:tc>
      </w:tr>
      <w:tr w:rsidR="003E0F58" w:rsidRPr="0093556C" w14:paraId="168DF737" w14:textId="77777777" w:rsidTr="004D2249">
        <w:trPr>
          <w:trHeight w:val="278"/>
        </w:trPr>
        <w:tc>
          <w:tcPr>
            <w:tcW w:w="3219" w:type="dxa"/>
            <w:tcBorders>
              <w:top w:val="nil"/>
              <w:left w:val="single" w:sz="12" w:space="0" w:color="auto"/>
              <w:bottom w:val="single" w:sz="4" w:space="0" w:color="auto"/>
              <w:right w:val="single" w:sz="12" w:space="0" w:color="auto"/>
            </w:tcBorders>
            <w:shd w:val="clear" w:color="auto" w:fill="auto"/>
            <w:noWrap/>
            <w:vAlign w:val="bottom"/>
            <w:hideMark/>
          </w:tcPr>
          <w:p w14:paraId="0803B80F" w14:textId="77777777" w:rsidR="003E0F58" w:rsidRPr="0093556C" w:rsidRDefault="003E0F58" w:rsidP="004D2249">
            <w:pPr>
              <w:jc w:val="left"/>
              <w:rPr>
                <w:rFonts w:cs="Times New Roman"/>
                <w:b/>
                <w:bCs/>
                <w:color w:val="000000"/>
                <w:sz w:val="20"/>
                <w:szCs w:val="20"/>
                <w:lang w:val="cs-CZ"/>
              </w:rPr>
            </w:pPr>
            <w:r w:rsidRPr="0093556C">
              <w:rPr>
                <w:rFonts w:cs="Times New Roman"/>
                <w:b/>
                <w:bCs/>
                <w:color w:val="000000"/>
                <w:sz w:val="20"/>
                <w:szCs w:val="20"/>
                <w:lang w:val="cs-CZ"/>
              </w:rPr>
              <w:t>Jetel, jetelotráva</w:t>
            </w:r>
          </w:p>
        </w:tc>
        <w:tc>
          <w:tcPr>
            <w:tcW w:w="1170" w:type="dxa"/>
            <w:tcBorders>
              <w:top w:val="nil"/>
              <w:left w:val="single" w:sz="12" w:space="0" w:color="auto"/>
              <w:bottom w:val="single" w:sz="4" w:space="0" w:color="auto"/>
              <w:right w:val="single" w:sz="4" w:space="0" w:color="auto"/>
            </w:tcBorders>
            <w:shd w:val="clear" w:color="auto" w:fill="auto"/>
            <w:noWrap/>
            <w:vAlign w:val="bottom"/>
            <w:hideMark/>
          </w:tcPr>
          <w:p w14:paraId="11B8C635"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6,13</w:t>
            </w:r>
          </w:p>
        </w:tc>
        <w:tc>
          <w:tcPr>
            <w:tcW w:w="1188" w:type="dxa"/>
            <w:tcBorders>
              <w:top w:val="nil"/>
              <w:left w:val="nil"/>
              <w:bottom w:val="single" w:sz="4" w:space="0" w:color="auto"/>
              <w:right w:val="single" w:sz="4" w:space="0" w:color="auto"/>
            </w:tcBorders>
            <w:shd w:val="clear" w:color="auto" w:fill="auto"/>
            <w:noWrap/>
            <w:vAlign w:val="bottom"/>
            <w:hideMark/>
          </w:tcPr>
          <w:p w14:paraId="78989FEA"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6,08</w:t>
            </w:r>
          </w:p>
        </w:tc>
        <w:tc>
          <w:tcPr>
            <w:tcW w:w="1188" w:type="dxa"/>
            <w:tcBorders>
              <w:top w:val="nil"/>
              <w:left w:val="nil"/>
              <w:bottom w:val="single" w:sz="4" w:space="0" w:color="auto"/>
              <w:right w:val="single" w:sz="4" w:space="0" w:color="auto"/>
            </w:tcBorders>
            <w:shd w:val="clear" w:color="auto" w:fill="auto"/>
            <w:noWrap/>
            <w:vAlign w:val="bottom"/>
            <w:hideMark/>
          </w:tcPr>
          <w:p w14:paraId="123BCAD9"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6,15</w:t>
            </w:r>
          </w:p>
        </w:tc>
        <w:tc>
          <w:tcPr>
            <w:tcW w:w="1188" w:type="dxa"/>
            <w:tcBorders>
              <w:top w:val="nil"/>
              <w:left w:val="nil"/>
              <w:bottom w:val="single" w:sz="4" w:space="0" w:color="auto"/>
              <w:right w:val="single" w:sz="4" w:space="0" w:color="auto"/>
            </w:tcBorders>
            <w:shd w:val="clear" w:color="auto" w:fill="auto"/>
            <w:noWrap/>
            <w:vAlign w:val="bottom"/>
            <w:hideMark/>
          </w:tcPr>
          <w:p w14:paraId="1AE19D9B"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6,20</w:t>
            </w:r>
          </w:p>
        </w:tc>
        <w:tc>
          <w:tcPr>
            <w:tcW w:w="1188" w:type="dxa"/>
            <w:tcBorders>
              <w:top w:val="nil"/>
              <w:left w:val="nil"/>
              <w:bottom w:val="single" w:sz="4" w:space="0" w:color="auto"/>
              <w:right w:val="single" w:sz="4" w:space="0" w:color="auto"/>
            </w:tcBorders>
            <w:shd w:val="clear" w:color="auto" w:fill="auto"/>
            <w:noWrap/>
            <w:vAlign w:val="bottom"/>
            <w:hideMark/>
          </w:tcPr>
          <w:p w14:paraId="5C6814AE"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6,25</w:t>
            </w:r>
          </w:p>
        </w:tc>
        <w:tc>
          <w:tcPr>
            <w:tcW w:w="1188" w:type="dxa"/>
            <w:tcBorders>
              <w:top w:val="nil"/>
              <w:left w:val="nil"/>
              <w:bottom w:val="single" w:sz="4" w:space="0" w:color="auto"/>
              <w:right w:val="single" w:sz="4" w:space="0" w:color="auto"/>
            </w:tcBorders>
            <w:shd w:val="clear" w:color="auto" w:fill="auto"/>
            <w:noWrap/>
            <w:vAlign w:val="bottom"/>
            <w:hideMark/>
          </w:tcPr>
          <w:p w14:paraId="1FEE3B18"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6,43</w:t>
            </w:r>
          </w:p>
        </w:tc>
        <w:tc>
          <w:tcPr>
            <w:tcW w:w="1188" w:type="dxa"/>
            <w:tcBorders>
              <w:top w:val="nil"/>
              <w:left w:val="nil"/>
              <w:bottom w:val="single" w:sz="4" w:space="0" w:color="auto"/>
              <w:right w:val="single" w:sz="4" w:space="0" w:color="auto"/>
            </w:tcBorders>
            <w:shd w:val="clear" w:color="auto" w:fill="auto"/>
            <w:noWrap/>
            <w:vAlign w:val="bottom"/>
            <w:hideMark/>
          </w:tcPr>
          <w:p w14:paraId="115DC011"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6,53</w:t>
            </w:r>
          </w:p>
        </w:tc>
        <w:tc>
          <w:tcPr>
            <w:tcW w:w="1188" w:type="dxa"/>
            <w:tcBorders>
              <w:top w:val="nil"/>
              <w:left w:val="nil"/>
              <w:bottom w:val="single" w:sz="4" w:space="0" w:color="auto"/>
              <w:right w:val="single" w:sz="4" w:space="0" w:color="auto"/>
            </w:tcBorders>
            <w:shd w:val="clear" w:color="auto" w:fill="auto"/>
            <w:noWrap/>
            <w:vAlign w:val="bottom"/>
            <w:hideMark/>
          </w:tcPr>
          <w:p w14:paraId="549E166E"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6,67</w:t>
            </w:r>
          </w:p>
        </w:tc>
        <w:tc>
          <w:tcPr>
            <w:tcW w:w="1188" w:type="dxa"/>
            <w:tcBorders>
              <w:top w:val="nil"/>
              <w:left w:val="nil"/>
              <w:bottom w:val="single" w:sz="4" w:space="0" w:color="auto"/>
              <w:right w:val="single" w:sz="4" w:space="0" w:color="auto"/>
            </w:tcBorders>
            <w:shd w:val="clear" w:color="auto" w:fill="auto"/>
            <w:noWrap/>
            <w:vAlign w:val="bottom"/>
            <w:hideMark/>
          </w:tcPr>
          <w:p w14:paraId="4FCF5406"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6,76</w:t>
            </w:r>
          </w:p>
        </w:tc>
        <w:tc>
          <w:tcPr>
            <w:tcW w:w="1188" w:type="dxa"/>
            <w:tcBorders>
              <w:top w:val="nil"/>
              <w:left w:val="nil"/>
              <w:bottom w:val="single" w:sz="4" w:space="0" w:color="auto"/>
              <w:right w:val="single" w:sz="4" w:space="0" w:color="auto"/>
            </w:tcBorders>
            <w:shd w:val="clear" w:color="auto" w:fill="auto"/>
            <w:noWrap/>
            <w:vAlign w:val="bottom"/>
            <w:hideMark/>
          </w:tcPr>
          <w:p w14:paraId="5FD750C1"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6,84</w:t>
            </w:r>
          </w:p>
        </w:tc>
        <w:tc>
          <w:tcPr>
            <w:tcW w:w="1207" w:type="dxa"/>
            <w:tcBorders>
              <w:top w:val="nil"/>
              <w:left w:val="nil"/>
              <w:bottom w:val="single" w:sz="4" w:space="0" w:color="auto"/>
              <w:right w:val="single" w:sz="12" w:space="0" w:color="auto"/>
            </w:tcBorders>
            <w:shd w:val="clear" w:color="auto" w:fill="auto"/>
            <w:noWrap/>
            <w:vAlign w:val="bottom"/>
            <w:hideMark/>
          </w:tcPr>
          <w:p w14:paraId="6241EF80"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6,92</w:t>
            </w:r>
          </w:p>
        </w:tc>
      </w:tr>
      <w:tr w:rsidR="003E0F58" w:rsidRPr="0093556C" w14:paraId="483783B1" w14:textId="77777777" w:rsidTr="004D2249">
        <w:trPr>
          <w:trHeight w:val="278"/>
        </w:trPr>
        <w:tc>
          <w:tcPr>
            <w:tcW w:w="3219" w:type="dxa"/>
            <w:tcBorders>
              <w:top w:val="nil"/>
              <w:left w:val="single" w:sz="12" w:space="0" w:color="auto"/>
              <w:bottom w:val="single" w:sz="4" w:space="0" w:color="auto"/>
              <w:right w:val="single" w:sz="12" w:space="0" w:color="auto"/>
            </w:tcBorders>
            <w:shd w:val="clear" w:color="auto" w:fill="auto"/>
            <w:noWrap/>
            <w:vAlign w:val="bottom"/>
            <w:hideMark/>
          </w:tcPr>
          <w:p w14:paraId="5F51BA2B" w14:textId="77777777" w:rsidR="003E0F58" w:rsidRPr="0093556C" w:rsidRDefault="003E0F58" w:rsidP="004D2249">
            <w:pPr>
              <w:jc w:val="left"/>
              <w:rPr>
                <w:rFonts w:cs="Times New Roman"/>
                <w:b/>
                <w:bCs/>
                <w:color w:val="000000"/>
                <w:sz w:val="20"/>
                <w:szCs w:val="20"/>
                <w:lang w:val="cs-CZ"/>
              </w:rPr>
            </w:pPr>
            <w:r w:rsidRPr="0093556C">
              <w:rPr>
                <w:rFonts w:cs="Times New Roman"/>
                <w:b/>
                <w:bCs/>
                <w:color w:val="000000"/>
                <w:sz w:val="20"/>
                <w:szCs w:val="20"/>
                <w:lang w:val="cs-CZ"/>
              </w:rPr>
              <w:t>Tritikale</w:t>
            </w:r>
          </w:p>
        </w:tc>
        <w:tc>
          <w:tcPr>
            <w:tcW w:w="1170" w:type="dxa"/>
            <w:tcBorders>
              <w:top w:val="nil"/>
              <w:left w:val="single" w:sz="12" w:space="0" w:color="auto"/>
              <w:bottom w:val="single" w:sz="4" w:space="0" w:color="auto"/>
              <w:right w:val="single" w:sz="4" w:space="0" w:color="auto"/>
            </w:tcBorders>
            <w:shd w:val="clear" w:color="auto" w:fill="auto"/>
            <w:noWrap/>
            <w:vAlign w:val="bottom"/>
            <w:hideMark/>
          </w:tcPr>
          <w:p w14:paraId="5D5FDE82"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8,78</w:t>
            </w:r>
          </w:p>
        </w:tc>
        <w:tc>
          <w:tcPr>
            <w:tcW w:w="1188" w:type="dxa"/>
            <w:tcBorders>
              <w:top w:val="nil"/>
              <w:left w:val="nil"/>
              <w:bottom w:val="single" w:sz="4" w:space="0" w:color="auto"/>
              <w:right w:val="single" w:sz="4" w:space="0" w:color="auto"/>
            </w:tcBorders>
            <w:shd w:val="clear" w:color="auto" w:fill="auto"/>
            <w:noWrap/>
            <w:vAlign w:val="bottom"/>
            <w:hideMark/>
          </w:tcPr>
          <w:p w14:paraId="41E807BB"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8,71</w:t>
            </w:r>
          </w:p>
        </w:tc>
        <w:tc>
          <w:tcPr>
            <w:tcW w:w="1188" w:type="dxa"/>
            <w:tcBorders>
              <w:top w:val="nil"/>
              <w:left w:val="nil"/>
              <w:bottom w:val="single" w:sz="4" w:space="0" w:color="auto"/>
              <w:right w:val="single" w:sz="4" w:space="0" w:color="auto"/>
            </w:tcBorders>
            <w:shd w:val="clear" w:color="auto" w:fill="auto"/>
            <w:noWrap/>
            <w:vAlign w:val="bottom"/>
            <w:hideMark/>
          </w:tcPr>
          <w:p w14:paraId="7D7D56FD"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8,81</w:t>
            </w:r>
          </w:p>
        </w:tc>
        <w:tc>
          <w:tcPr>
            <w:tcW w:w="1188" w:type="dxa"/>
            <w:tcBorders>
              <w:top w:val="nil"/>
              <w:left w:val="nil"/>
              <w:bottom w:val="single" w:sz="4" w:space="0" w:color="auto"/>
              <w:right w:val="single" w:sz="4" w:space="0" w:color="auto"/>
            </w:tcBorders>
            <w:shd w:val="clear" w:color="auto" w:fill="auto"/>
            <w:noWrap/>
            <w:vAlign w:val="bottom"/>
            <w:hideMark/>
          </w:tcPr>
          <w:p w14:paraId="4C7F21BE"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8,88</w:t>
            </w:r>
          </w:p>
        </w:tc>
        <w:tc>
          <w:tcPr>
            <w:tcW w:w="1188" w:type="dxa"/>
            <w:tcBorders>
              <w:top w:val="nil"/>
              <w:left w:val="nil"/>
              <w:bottom w:val="single" w:sz="4" w:space="0" w:color="auto"/>
              <w:right w:val="single" w:sz="4" w:space="0" w:color="auto"/>
            </w:tcBorders>
            <w:shd w:val="clear" w:color="auto" w:fill="auto"/>
            <w:noWrap/>
            <w:vAlign w:val="bottom"/>
            <w:hideMark/>
          </w:tcPr>
          <w:p w14:paraId="443E5D5A"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8,96</w:t>
            </w:r>
          </w:p>
        </w:tc>
        <w:tc>
          <w:tcPr>
            <w:tcW w:w="1188" w:type="dxa"/>
            <w:tcBorders>
              <w:top w:val="nil"/>
              <w:left w:val="nil"/>
              <w:bottom w:val="single" w:sz="4" w:space="0" w:color="auto"/>
              <w:right w:val="single" w:sz="4" w:space="0" w:color="auto"/>
            </w:tcBorders>
            <w:shd w:val="clear" w:color="auto" w:fill="auto"/>
            <w:noWrap/>
            <w:vAlign w:val="bottom"/>
            <w:hideMark/>
          </w:tcPr>
          <w:p w14:paraId="27900BAE"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9,21</w:t>
            </w:r>
          </w:p>
        </w:tc>
        <w:tc>
          <w:tcPr>
            <w:tcW w:w="1188" w:type="dxa"/>
            <w:tcBorders>
              <w:top w:val="nil"/>
              <w:left w:val="nil"/>
              <w:bottom w:val="single" w:sz="4" w:space="0" w:color="auto"/>
              <w:right w:val="single" w:sz="4" w:space="0" w:color="auto"/>
            </w:tcBorders>
            <w:shd w:val="clear" w:color="auto" w:fill="auto"/>
            <w:noWrap/>
            <w:vAlign w:val="bottom"/>
            <w:hideMark/>
          </w:tcPr>
          <w:p w14:paraId="5C1CDEB6"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9,35</w:t>
            </w:r>
          </w:p>
        </w:tc>
        <w:tc>
          <w:tcPr>
            <w:tcW w:w="1188" w:type="dxa"/>
            <w:tcBorders>
              <w:top w:val="nil"/>
              <w:left w:val="nil"/>
              <w:bottom w:val="single" w:sz="4" w:space="0" w:color="auto"/>
              <w:right w:val="single" w:sz="4" w:space="0" w:color="auto"/>
            </w:tcBorders>
            <w:shd w:val="clear" w:color="auto" w:fill="auto"/>
            <w:noWrap/>
            <w:vAlign w:val="bottom"/>
            <w:hideMark/>
          </w:tcPr>
          <w:p w14:paraId="5A98D76A"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9,55</w:t>
            </w:r>
          </w:p>
        </w:tc>
        <w:tc>
          <w:tcPr>
            <w:tcW w:w="1188" w:type="dxa"/>
            <w:tcBorders>
              <w:top w:val="nil"/>
              <w:left w:val="nil"/>
              <w:bottom w:val="single" w:sz="4" w:space="0" w:color="auto"/>
              <w:right w:val="single" w:sz="4" w:space="0" w:color="auto"/>
            </w:tcBorders>
            <w:shd w:val="clear" w:color="auto" w:fill="auto"/>
            <w:noWrap/>
            <w:vAlign w:val="bottom"/>
            <w:hideMark/>
          </w:tcPr>
          <w:p w14:paraId="348CDB8B"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9,69</w:t>
            </w:r>
          </w:p>
        </w:tc>
        <w:tc>
          <w:tcPr>
            <w:tcW w:w="1188" w:type="dxa"/>
            <w:tcBorders>
              <w:top w:val="nil"/>
              <w:left w:val="nil"/>
              <w:bottom w:val="single" w:sz="4" w:space="0" w:color="auto"/>
              <w:right w:val="single" w:sz="4" w:space="0" w:color="auto"/>
            </w:tcBorders>
            <w:shd w:val="clear" w:color="auto" w:fill="auto"/>
            <w:noWrap/>
            <w:vAlign w:val="bottom"/>
            <w:hideMark/>
          </w:tcPr>
          <w:p w14:paraId="1ACF3BC4"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9,80</w:t>
            </w:r>
          </w:p>
        </w:tc>
        <w:tc>
          <w:tcPr>
            <w:tcW w:w="1207" w:type="dxa"/>
            <w:tcBorders>
              <w:top w:val="nil"/>
              <w:left w:val="nil"/>
              <w:bottom w:val="single" w:sz="4" w:space="0" w:color="auto"/>
              <w:right w:val="single" w:sz="12" w:space="0" w:color="auto"/>
            </w:tcBorders>
            <w:shd w:val="clear" w:color="auto" w:fill="auto"/>
            <w:noWrap/>
            <w:vAlign w:val="bottom"/>
            <w:hideMark/>
          </w:tcPr>
          <w:p w14:paraId="1B3480A2"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9,91</w:t>
            </w:r>
          </w:p>
        </w:tc>
      </w:tr>
      <w:tr w:rsidR="003E0F58" w:rsidRPr="0093556C" w14:paraId="4C66C15A" w14:textId="77777777" w:rsidTr="004D2249">
        <w:trPr>
          <w:trHeight w:val="278"/>
        </w:trPr>
        <w:tc>
          <w:tcPr>
            <w:tcW w:w="3219" w:type="dxa"/>
            <w:tcBorders>
              <w:top w:val="nil"/>
              <w:left w:val="single" w:sz="12" w:space="0" w:color="auto"/>
              <w:bottom w:val="single" w:sz="4" w:space="0" w:color="auto"/>
              <w:right w:val="single" w:sz="12" w:space="0" w:color="auto"/>
            </w:tcBorders>
            <w:shd w:val="clear" w:color="auto" w:fill="auto"/>
            <w:noWrap/>
            <w:vAlign w:val="bottom"/>
            <w:hideMark/>
          </w:tcPr>
          <w:p w14:paraId="14C40A06" w14:textId="77777777" w:rsidR="003E0F58" w:rsidRPr="0093556C" w:rsidRDefault="003E0F58" w:rsidP="004D2249">
            <w:pPr>
              <w:jc w:val="left"/>
              <w:rPr>
                <w:rFonts w:cs="Times New Roman"/>
                <w:b/>
                <w:bCs/>
                <w:color w:val="000000"/>
                <w:sz w:val="20"/>
                <w:szCs w:val="20"/>
                <w:lang w:val="cs-CZ"/>
              </w:rPr>
            </w:pPr>
            <w:r w:rsidRPr="0093556C">
              <w:rPr>
                <w:rFonts w:cs="Times New Roman"/>
                <w:b/>
                <w:bCs/>
                <w:color w:val="000000"/>
                <w:sz w:val="20"/>
                <w:szCs w:val="20"/>
                <w:lang w:val="cs-CZ"/>
              </w:rPr>
              <w:t>gps obilovin</w:t>
            </w:r>
          </w:p>
        </w:tc>
        <w:tc>
          <w:tcPr>
            <w:tcW w:w="1170" w:type="dxa"/>
            <w:tcBorders>
              <w:top w:val="nil"/>
              <w:left w:val="single" w:sz="12" w:space="0" w:color="auto"/>
              <w:bottom w:val="single" w:sz="4" w:space="0" w:color="auto"/>
              <w:right w:val="single" w:sz="4" w:space="0" w:color="auto"/>
            </w:tcBorders>
            <w:shd w:val="clear" w:color="auto" w:fill="auto"/>
            <w:noWrap/>
            <w:vAlign w:val="bottom"/>
            <w:hideMark/>
          </w:tcPr>
          <w:p w14:paraId="3FC15129"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3,96</w:t>
            </w:r>
          </w:p>
        </w:tc>
        <w:tc>
          <w:tcPr>
            <w:tcW w:w="1188" w:type="dxa"/>
            <w:tcBorders>
              <w:top w:val="nil"/>
              <w:left w:val="nil"/>
              <w:bottom w:val="single" w:sz="4" w:space="0" w:color="auto"/>
              <w:right w:val="single" w:sz="4" w:space="0" w:color="auto"/>
            </w:tcBorders>
            <w:shd w:val="clear" w:color="auto" w:fill="auto"/>
            <w:noWrap/>
            <w:vAlign w:val="bottom"/>
            <w:hideMark/>
          </w:tcPr>
          <w:p w14:paraId="76536895"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3,92</w:t>
            </w:r>
          </w:p>
        </w:tc>
        <w:tc>
          <w:tcPr>
            <w:tcW w:w="1188" w:type="dxa"/>
            <w:tcBorders>
              <w:top w:val="nil"/>
              <w:left w:val="nil"/>
              <w:bottom w:val="single" w:sz="4" w:space="0" w:color="auto"/>
              <w:right w:val="single" w:sz="4" w:space="0" w:color="auto"/>
            </w:tcBorders>
            <w:shd w:val="clear" w:color="auto" w:fill="auto"/>
            <w:noWrap/>
            <w:vAlign w:val="bottom"/>
            <w:hideMark/>
          </w:tcPr>
          <w:p w14:paraId="78E02266"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3,97</w:t>
            </w:r>
          </w:p>
        </w:tc>
        <w:tc>
          <w:tcPr>
            <w:tcW w:w="1188" w:type="dxa"/>
            <w:tcBorders>
              <w:top w:val="nil"/>
              <w:left w:val="nil"/>
              <w:bottom w:val="single" w:sz="4" w:space="0" w:color="auto"/>
              <w:right w:val="single" w:sz="4" w:space="0" w:color="auto"/>
            </w:tcBorders>
            <w:shd w:val="clear" w:color="auto" w:fill="auto"/>
            <w:noWrap/>
            <w:vAlign w:val="bottom"/>
            <w:hideMark/>
          </w:tcPr>
          <w:p w14:paraId="49949013"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4,00</w:t>
            </w:r>
          </w:p>
        </w:tc>
        <w:tc>
          <w:tcPr>
            <w:tcW w:w="1188" w:type="dxa"/>
            <w:tcBorders>
              <w:top w:val="nil"/>
              <w:left w:val="nil"/>
              <w:bottom w:val="single" w:sz="4" w:space="0" w:color="auto"/>
              <w:right w:val="single" w:sz="4" w:space="0" w:color="auto"/>
            </w:tcBorders>
            <w:shd w:val="clear" w:color="auto" w:fill="auto"/>
            <w:noWrap/>
            <w:vAlign w:val="bottom"/>
            <w:hideMark/>
          </w:tcPr>
          <w:p w14:paraId="63680DD4"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4,04</w:t>
            </w:r>
          </w:p>
        </w:tc>
        <w:tc>
          <w:tcPr>
            <w:tcW w:w="1188" w:type="dxa"/>
            <w:tcBorders>
              <w:top w:val="nil"/>
              <w:left w:val="nil"/>
              <w:bottom w:val="single" w:sz="4" w:space="0" w:color="auto"/>
              <w:right w:val="single" w:sz="4" w:space="0" w:color="auto"/>
            </w:tcBorders>
            <w:shd w:val="clear" w:color="auto" w:fill="auto"/>
            <w:noWrap/>
            <w:vAlign w:val="bottom"/>
            <w:hideMark/>
          </w:tcPr>
          <w:p w14:paraId="29E7718F"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4,15</w:t>
            </w:r>
          </w:p>
        </w:tc>
        <w:tc>
          <w:tcPr>
            <w:tcW w:w="1188" w:type="dxa"/>
            <w:tcBorders>
              <w:top w:val="nil"/>
              <w:left w:val="nil"/>
              <w:bottom w:val="single" w:sz="4" w:space="0" w:color="auto"/>
              <w:right w:val="single" w:sz="4" w:space="0" w:color="auto"/>
            </w:tcBorders>
            <w:shd w:val="clear" w:color="auto" w:fill="auto"/>
            <w:noWrap/>
            <w:vAlign w:val="bottom"/>
            <w:hideMark/>
          </w:tcPr>
          <w:p w14:paraId="2EFC31DF"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4,21</w:t>
            </w:r>
          </w:p>
        </w:tc>
        <w:tc>
          <w:tcPr>
            <w:tcW w:w="1188" w:type="dxa"/>
            <w:tcBorders>
              <w:top w:val="nil"/>
              <w:left w:val="nil"/>
              <w:bottom w:val="single" w:sz="4" w:space="0" w:color="auto"/>
              <w:right w:val="single" w:sz="4" w:space="0" w:color="auto"/>
            </w:tcBorders>
            <w:shd w:val="clear" w:color="auto" w:fill="auto"/>
            <w:noWrap/>
            <w:vAlign w:val="bottom"/>
            <w:hideMark/>
          </w:tcPr>
          <w:p w14:paraId="1C121753"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4,30</w:t>
            </w:r>
          </w:p>
        </w:tc>
        <w:tc>
          <w:tcPr>
            <w:tcW w:w="1188" w:type="dxa"/>
            <w:tcBorders>
              <w:top w:val="nil"/>
              <w:left w:val="nil"/>
              <w:bottom w:val="single" w:sz="4" w:space="0" w:color="auto"/>
              <w:right w:val="single" w:sz="4" w:space="0" w:color="auto"/>
            </w:tcBorders>
            <w:shd w:val="clear" w:color="auto" w:fill="auto"/>
            <w:noWrap/>
            <w:vAlign w:val="bottom"/>
            <w:hideMark/>
          </w:tcPr>
          <w:p w14:paraId="7D15806C"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4,36</w:t>
            </w:r>
          </w:p>
        </w:tc>
        <w:tc>
          <w:tcPr>
            <w:tcW w:w="1188" w:type="dxa"/>
            <w:tcBorders>
              <w:top w:val="nil"/>
              <w:left w:val="nil"/>
              <w:bottom w:val="single" w:sz="4" w:space="0" w:color="auto"/>
              <w:right w:val="single" w:sz="4" w:space="0" w:color="auto"/>
            </w:tcBorders>
            <w:shd w:val="clear" w:color="auto" w:fill="auto"/>
            <w:noWrap/>
            <w:vAlign w:val="bottom"/>
            <w:hideMark/>
          </w:tcPr>
          <w:p w14:paraId="3CECB50F"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4,42</w:t>
            </w:r>
          </w:p>
        </w:tc>
        <w:tc>
          <w:tcPr>
            <w:tcW w:w="1207" w:type="dxa"/>
            <w:tcBorders>
              <w:top w:val="nil"/>
              <w:left w:val="nil"/>
              <w:bottom w:val="single" w:sz="4" w:space="0" w:color="auto"/>
              <w:right w:val="single" w:sz="12" w:space="0" w:color="auto"/>
            </w:tcBorders>
            <w:shd w:val="clear" w:color="auto" w:fill="auto"/>
            <w:noWrap/>
            <w:vAlign w:val="bottom"/>
            <w:hideMark/>
          </w:tcPr>
          <w:p w14:paraId="5FEAC3CF"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4,47</w:t>
            </w:r>
          </w:p>
        </w:tc>
      </w:tr>
      <w:tr w:rsidR="003E0F58" w:rsidRPr="0093556C" w14:paraId="68A095CA" w14:textId="77777777" w:rsidTr="004D2249">
        <w:trPr>
          <w:trHeight w:val="278"/>
        </w:trPr>
        <w:tc>
          <w:tcPr>
            <w:tcW w:w="3219" w:type="dxa"/>
            <w:tcBorders>
              <w:top w:val="nil"/>
              <w:left w:val="single" w:sz="12" w:space="0" w:color="auto"/>
              <w:bottom w:val="single" w:sz="4" w:space="0" w:color="auto"/>
              <w:right w:val="single" w:sz="12" w:space="0" w:color="auto"/>
            </w:tcBorders>
            <w:shd w:val="clear" w:color="auto" w:fill="auto"/>
            <w:noWrap/>
            <w:vAlign w:val="bottom"/>
            <w:hideMark/>
          </w:tcPr>
          <w:p w14:paraId="1D147BC7" w14:textId="77777777" w:rsidR="003E0F58" w:rsidRPr="0093556C" w:rsidRDefault="003E0F58" w:rsidP="004D2249">
            <w:pPr>
              <w:jc w:val="left"/>
              <w:rPr>
                <w:rFonts w:cs="Times New Roman"/>
                <w:b/>
                <w:bCs/>
                <w:color w:val="000000"/>
                <w:sz w:val="20"/>
                <w:szCs w:val="20"/>
                <w:lang w:val="cs-CZ"/>
              </w:rPr>
            </w:pPr>
            <w:r w:rsidRPr="0093556C">
              <w:rPr>
                <w:rFonts w:cs="Times New Roman"/>
                <w:b/>
                <w:bCs/>
                <w:color w:val="000000"/>
                <w:sz w:val="20"/>
                <w:szCs w:val="20"/>
                <w:lang w:val="cs-CZ"/>
              </w:rPr>
              <w:t>Vojtěška, vojtěškotráva</w:t>
            </w:r>
          </w:p>
        </w:tc>
        <w:tc>
          <w:tcPr>
            <w:tcW w:w="1170" w:type="dxa"/>
            <w:tcBorders>
              <w:top w:val="nil"/>
              <w:left w:val="single" w:sz="12" w:space="0" w:color="auto"/>
              <w:bottom w:val="single" w:sz="4" w:space="0" w:color="auto"/>
              <w:right w:val="single" w:sz="4" w:space="0" w:color="auto"/>
            </w:tcBorders>
            <w:shd w:val="clear" w:color="auto" w:fill="auto"/>
            <w:noWrap/>
            <w:vAlign w:val="bottom"/>
            <w:hideMark/>
          </w:tcPr>
          <w:p w14:paraId="35DD5237"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2,95</w:t>
            </w:r>
          </w:p>
        </w:tc>
        <w:tc>
          <w:tcPr>
            <w:tcW w:w="1188" w:type="dxa"/>
            <w:tcBorders>
              <w:top w:val="nil"/>
              <w:left w:val="nil"/>
              <w:bottom w:val="single" w:sz="4" w:space="0" w:color="auto"/>
              <w:right w:val="single" w:sz="4" w:space="0" w:color="auto"/>
            </w:tcBorders>
            <w:shd w:val="clear" w:color="auto" w:fill="auto"/>
            <w:noWrap/>
            <w:vAlign w:val="bottom"/>
            <w:hideMark/>
          </w:tcPr>
          <w:p w14:paraId="06A7E86B"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2,92</w:t>
            </w:r>
          </w:p>
        </w:tc>
        <w:tc>
          <w:tcPr>
            <w:tcW w:w="1188" w:type="dxa"/>
            <w:tcBorders>
              <w:top w:val="nil"/>
              <w:left w:val="nil"/>
              <w:bottom w:val="single" w:sz="4" w:space="0" w:color="auto"/>
              <w:right w:val="single" w:sz="4" w:space="0" w:color="auto"/>
            </w:tcBorders>
            <w:shd w:val="clear" w:color="auto" w:fill="auto"/>
            <w:noWrap/>
            <w:vAlign w:val="bottom"/>
            <w:hideMark/>
          </w:tcPr>
          <w:p w14:paraId="728BFB94"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2,96</w:t>
            </w:r>
          </w:p>
        </w:tc>
        <w:tc>
          <w:tcPr>
            <w:tcW w:w="1188" w:type="dxa"/>
            <w:tcBorders>
              <w:top w:val="nil"/>
              <w:left w:val="nil"/>
              <w:bottom w:val="single" w:sz="4" w:space="0" w:color="auto"/>
              <w:right w:val="single" w:sz="4" w:space="0" w:color="auto"/>
            </w:tcBorders>
            <w:shd w:val="clear" w:color="auto" w:fill="auto"/>
            <w:noWrap/>
            <w:vAlign w:val="bottom"/>
            <w:hideMark/>
          </w:tcPr>
          <w:p w14:paraId="7F3F4B22"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2,98</w:t>
            </w:r>
          </w:p>
        </w:tc>
        <w:tc>
          <w:tcPr>
            <w:tcW w:w="1188" w:type="dxa"/>
            <w:tcBorders>
              <w:top w:val="nil"/>
              <w:left w:val="nil"/>
              <w:bottom w:val="single" w:sz="4" w:space="0" w:color="auto"/>
              <w:right w:val="single" w:sz="4" w:space="0" w:color="auto"/>
            </w:tcBorders>
            <w:shd w:val="clear" w:color="auto" w:fill="auto"/>
            <w:noWrap/>
            <w:vAlign w:val="bottom"/>
            <w:hideMark/>
          </w:tcPr>
          <w:p w14:paraId="3A32469F"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3,00</w:t>
            </w:r>
          </w:p>
        </w:tc>
        <w:tc>
          <w:tcPr>
            <w:tcW w:w="1188" w:type="dxa"/>
            <w:tcBorders>
              <w:top w:val="nil"/>
              <w:left w:val="nil"/>
              <w:bottom w:val="single" w:sz="4" w:space="0" w:color="auto"/>
              <w:right w:val="single" w:sz="4" w:space="0" w:color="auto"/>
            </w:tcBorders>
            <w:shd w:val="clear" w:color="auto" w:fill="auto"/>
            <w:noWrap/>
            <w:vAlign w:val="bottom"/>
            <w:hideMark/>
          </w:tcPr>
          <w:p w14:paraId="35CC1190"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3,09</w:t>
            </w:r>
          </w:p>
        </w:tc>
        <w:tc>
          <w:tcPr>
            <w:tcW w:w="1188" w:type="dxa"/>
            <w:tcBorders>
              <w:top w:val="nil"/>
              <w:left w:val="nil"/>
              <w:bottom w:val="single" w:sz="4" w:space="0" w:color="auto"/>
              <w:right w:val="single" w:sz="4" w:space="0" w:color="auto"/>
            </w:tcBorders>
            <w:shd w:val="clear" w:color="auto" w:fill="auto"/>
            <w:noWrap/>
            <w:vAlign w:val="bottom"/>
            <w:hideMark/>
          </w:tcPr>
          <w:p w14:paraId="70CA85F2"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3,14</w:t>
            </w:r>
          </w:p>
        </w:tc>
        <w:tc>
          <w:tcPr>
            <w:tcW w:w="1188" w:type="dxa"/>
            <w:tcBorders>
              <w:top w:val="nil"/>
              <w:left w:val="nil"/>
              <w:bottom w:val="single" w:sz="4" w:space="0" w:color="auto"/>
              <w:right w:val="single" w:sz="4" w:space="0" w:color="auto"/>
            </w:tcBorders>
            <w:shd w:val="clear" w:color="auto" w:fill="auto"/>
            <w:noWrap/>
            <w:vAlign w:val="bottom"/>
            <w:hideMark/>
          </w:tcPr>
          <w:p w14:paraId="24817D71"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3,20</w:t>
            </w:r>
          </w:p>
        </w:tc>
        <w:tc>
          <w:tcPr>
            <w:tcW w:w="1188" w:type="dxa"/>
            <w:tcBorders>
              <w:top w:val="nil"/>
              <w:left w:val="nil"/>
              <w:bottom w:val="single" w:sz="4" w:space="0" w:color="auto"/>
              <w:right w:val="single" w:sz="4" w:space="0" w:color="auto"/>
            </w:tcBorders>
            <w:shd w:val="clear" w:color="auto" w:fill="auto"/>
            <w:noWrap/>
            <w:vAlign w:val="bottom"/>
            <w:hideMark/>
          </w:tcPr>
          <w:p w14:paraId="16B61A84"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3,25</w:t>
            </w:r>
          </w:p>
        </w:tc>
        <w:tc>
          <w:tcPr>
            <w:tcW w:w="1188" w:type="dxa"/>
            <w:tcBorders>
              <w:top w:val="nil"/>
              <w:left w:val="nil"/>
              <w:bottom w:val="single" w:sz="4" w:space="0" w:color="auto"/>
              <w:right w:val="single" w:sz="4" w:space="0" w:color="auto"/>
            </w:tcBorders>
            <w:shd w:val="clear" w:color="auto" w:fill="auto"/>
            <w:noWrap/>
            <w:vAlign w:val="bottom"/>
            <w:hideMark/>
          </w:tcPr>
          <w:p w14:paraId="6323F1D9"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3,29</w:t>
            </w:r>
          </w:p>
        </w:tc>
        <w:tc>
          <w:tcPr>
            <w:tcW w:w="1207" w:type="dxa"/>
            <w:tcBorders>
              <w:top w:val="nil"/>
              <w:left w:val="nil"/>
              <w:bottom w:val="single" w:sz="4" w:space="0" w:color="auto"/>
              <w:right w:val="single" w:sz="12" w:space="0" w:color="auto"/>
            </w:tcBorders>
            <w:shd w:val="clear" w:color="auto" w:fill="auto"/>
            <w:noWrap/>
            <w:vAlign w:val="bottom"/>
            <w:hideMark/>
          </w:tcPr>
          <w:p w14:paraId="7501FF00"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3,33</w:t>
            </w:r>
          </w:p>
        </w:tc>
      </w:tr>
      <w:tr w:rsidR="003E0F58" w:rsidRPr="0093556C" w14:paraId="3B494AF0" w14:textId="77777777" w:rsidTr="004D2249">
        <w:trPr>
          <w:trHeight w:val="278"/>
        </w:trPr>
        <w:tc>
          <w:tcPr>
            <w:tcW w:w="3219" w:type="dxa"/>
            <w:tcBorders>
              <w:top w:val="nil"/>
              <w:left w:val="single" w:sz="12" w:space="0" w:color="auto"/>
              <w:bottom w:val="single" w:sz="4" w:space="0" w:color="auto"/>
              <w:right w:val="single" w:sz="12" w:space="0" w:color="auto"/>
            </w:tcBorders>
            <w:shd w:val="clear" w:color="auto" w:fill="auto"/>
            <w:noWrap/>
            <w:vAlign w:val="bottom"/>
            <w:hideMark/>
          </w:tcPr>
          <w:p w14:paraId="739F4AB5" w14:textId="77777777" w:rsidR="003E0F58" w:rsidRPr="0093556C" w:rsidRDefault="003E0F58" w:rsidP="004D2249">
            <w:pPr>
              <w:jc w:val="left"/>
              <w:rPr>
                <w:rFonts w:cs="Times New Roman"/>
                <w:b/>
                <w:bCs/>
                <w:color w:val="000000"/>
                <w:sz w:val="20"/>
                <w:szCs w:val="20"/>
                <w:lang w:val="cs-CZ"/>
              </w:rPr>
            </w:pPr>
            <w:r w:rsidRPr="0093556C">
              <w:rPr>
                <w:rFonts w:cs="Times New Roman"/>
                <w:b/>
                <w:bCs/>
                <w:color w:val="000000"/>
                <w:sz w:val="20"/>
                <w:szCs w:val="20"/>
                <w:lang w:val="cs-CZ"/>
              </w:rPr>
              <w:t>ostatní obiloviny (zrno)</w:t>
            </w:r>
          </w:p>
        </w:tc>
        <w:tc>
          <w:tcPr>
            <w:tcW w:w="1170" w:type="dxa"/>
            <w:tcBorders>
              <w:top w:val="nil"/>
              <w:left w:val="single" w:sz="12" w:space="0" w:color="auto"/>
              <w:bottom w:val="single" w:sz="4" w:space="0" w:color="auto"/>
              <w:right w:val="single" w:sz="4" w:space="0" w:color="auto"/>
            </w:tcBorders>
            <w:shd w:val="clear" w:color="auto" w:fill="auto"/>
            <w:noWrap/>
            <w:vAlign w:val="bottom"/>
            <w:hideMark/>
          </w:tcPr>
          <w:p w14:paraId="41020A46"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3,46</w:t>
            </w:r>
          </w:p>
        </w:tc>
        <w:tc>
          <w:tcPr>
            <w:tcW w:w="1188" w:type="dxa"/>
            <w:tcBorders>
              <w:top w:val="nil"/>
              <w:left w:val="nil"/>
              <w:bottom w:val="single" w:sz="4" w:space="0" w:color="auto"/>
              <w:right w:val="single" w:sz="4" w:space="0" w:color="auto"/>
            </w:tcBorders>
            <w:shd w:val="clear" w:color="auto" w:fill="auto"/>
            <w:noWrap/>
            <w:vAlign w:val="bottom"/>
            <w:hideMark/>
          </w:tcPr>
          <w:p w14:paraId="0650F779"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3,43</w:t>
            </w:r>
          </w:p>
        </w:tc>
        <w:tc>
          <w:tcPr>
            <w:tcW w:w="1188" w:type="dxa"/>
            <w:tcBorders>
              <w:top w:val="nil"/>
              <w:left w:val="nil"/>
              <w:bottom w:val="single" w:sz="4" w:space="0" w:color="auto"/>
              <w:right w:val="single" w:sz="4" w:space="0" w:color="auto"/>
            </w:tcBorders>
            <w:shd w:val="clear" w:color="auto" w:fill="auto"/>
            <w:noWrap/>
            <w:vAlign w:val="bottom"/>
            <w:hideMark/>
          </w:tcPr>
          <w:p w14:paraId="6B32A0D7"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3,47</w:t>
            </w:r>
          </w:p>
        </w:tc>
        <w:tc>
          <w:tcPr>
            <w:tcW w:w="1188" w:type="dxa"/>
            <w:tcBorders>
              <w:top w:val="nil"/>
              <w:left w:val="nil"/>
              <w:bottom w:val="single" w:sz="4" w:space="0" w:color="auto"/>
              <w:right w:val="single" w:sz="4" w:space="0" w:color="auto"/>
            </w:tcBorders>
            <w:shd w:val="clear" w:color="auto" w:fill="auto"/>
            <w:noWrap/>
            <w:vAlign w:val="bottom"/>
            <w:hideMark/>
          </w:tcPr>
          <w:p w14:paraId="105147AD"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3,50</w:t>
            </w:r>
          </w:p>
        </w:tc>
        <w:tc>
          <w:tcPr>
            <w:tcW w:w="1188" w:type="dxa"/>
            <w:tcBorders>
              <w:top w:val="nil"/>
              <w:left w:val="nil"/>
              <w:bottom w:val="single" w:sz="4" w:space="0" w:color="auto"/>
              <w:right w:val="single" w:sz="4" w:space="0" w:color="auto"/>
            </w:tcBorders>
            <w:shd w:val="clear" w:color="auto" w:fill="auto"/>
            <w:noWrap/>
            <w:vAlign w:val="bottom"/>
            <w:hideMark/>
          </w:tcPr>
          <w:p w14:paraId="19377D29"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3,53</w:t>
            </w:r>
          </w:p>
        </w:tc>
        <w:tc>
          <w:tcPr>
            <w:tcW w:w="1188" w:type="dxa"/>
            <w:tcBorders>
              <w:top w:val="nil"/>
              <w:left w:val="nil"/>
              <w:bottom w:val="single" w:sz="4" w:space="0" w:color="auto"/>
              <w:right w:val="single" w:sz="4" w:space="0" w:color="auto"/>
            </w:tcBorders>
            <w:shd w:val="clear" w:color="auto" w:fill="auto"/>
            <w:noWrap/>
            <w:vAlign w:val="bottom"/>
            <w:hideMark/>
          </w:tcPr>
          <w:p w14:paraId="00C9420C"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3,63</w:t>
            </w:r>
          </w:p>
        </w:tc>
        <w:tc>
          <w:tcPr>
            <w:tcW w:w="1188" w:type="dxa"/>
            <w:tcBorders>
              <w:top w:val="nil"/>
              <w:left w:val="nil"/>
              <w:bottom w:val="single" w:sz="4" w:space="0" w:color="auto"/>
              <w:right w:val="single" w:sz="4" w:space="0" w:color="auto"/>
            </w:tcBorders>
            <w:shd w:val="clear" w:color="auto" w:fill="auto"/>
            <w:noWrap/>
            <w:vAlign w:val="bottom"/>
            <w:hideMark/>
          </w:tcPr>
          <w:p w14:paraId="43F78A05"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3,68</w:t>
            </w:r>
          </w:p>
        </w:tc>
        <w:tc>
          <w:tcPr>
            <w:tcW w:w="1188" w:type="dxa"/>
            <w:tcBorders>
              <w:top w:val="nil"/>
              <w:left w:val="nil"/>
              <w:bottom w:val="single" w:sz="4" w:space="0" w:color="auto"/>
              <w:right w:val="single" w:sz="4" w:space="0" w:color="auto"/>
            </w:tcBorders>
            <w:shd w:val="clear" w:color="auto" w:fill="auto"/>
            <w:noWrap/>
            <w:vAlign w:val="bottom"/>
            <w:hideMark/>
          </w:tcPr>
          <w:p w14:paraId="0A76BC7C"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3,76</w:t>
            </w:r>
          </w:p>
        </w:tc>
        <w:tc>
          <w:tcPr>
            <w:tcW w:w="1188" w:type="dxa"/>
            <w:tcBorders>
              <w:top w:val="nil"/>
              <w:left w:val="nil"/>
              <w:bottom w:val="single" w:sz="4" w:space="0" w:color="auto"/>
              <w:right w:val="single" w:sz="4" w:space="0" w:color="auto"/>
            </w:tcBorders>
            <w:shd w:val="clear" w:color="auto" w:fill="auto"/>
            <w:noWrap/>
            <w:vAlign w:val="bottom"/>
            <w:hideMark/>
          </w:tcPr>
          <w:p w14:paraId="082997C0"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3,82</w:t>
            </w:r>
          </w:p>
        </w:tc>
        <w:tc>
          <w:tcPr>
            <w:tcW w:w="1188" w:type="dxa"/>
            <w:tcBorders>
              <w:top w:val="nil"/>
              <w:left w:val="nil"/>
              <w:bottom w:val="single" w:sz="4" w:space="0" w:color="auto"/>
              <w:right w:val="single" w:sz="4" w:space="0" w:color="auto"/>
            </w:tcBorders>
            <w:shd w:val="clear" w:color="auto" w:fill="auto"/>
            <w:noWrap/>
            <w:vAlign w:val="bottom"/>
            <w:hideMark/>
          </w:tcPr>
          <w:p w14:paraId="3EAF44CA"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3,86</w:t>
            </w:r>
          </w:p>
        </w:tc>
        <w:tc>
          <w:tcPr>
            <w:tcW w:w="1207" w:type="dxa"/>
            <w:tcBorders>
              <w:top w:val="nil"/>
              <w:left w:val="nil"/>
              <w:bottom w:val="single" w:sz="4" w:space="0" w:color="auto"/>
              <w:right w:val="single" w:sz="12" w:space="0" w:color="auto"/>
            </w:tcBorders>
            <w:shd w:val="clear" w:color="auto" w:fill="auto"/>
            <w:noWrap/>
            <w:vAlign w:val="bottom"/>
            <w:hideMark/>
          </w:tcPr>
          <w:p w14:paraId="64EEE162"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3,91</w:t>
            </w:r>
          </w:p>
        </w:tc>
      </w:tr>
      <w:tr w:rsidR="003E0F58" w:rsidRPr="0093556C" w14:paraId="7F3FA19D" w14:textId="77777777" w:rsidTr="004D2249">
        <w:trPr>
          <w:trHeight w:val="278"/>
        </w:trPr>
        <w:tc>
          <w:tcPr>
            <w:tcW w:w="3219" w:type="dxa"/>
            <w:tcBorders>
              <w:top w:val="nil"/>
              <w:left w:val="single" w:sz="12" w:space="0" w:color="auto"/>
              <w:bottom w:val="single" w:sz="4" w:space="0" w:color="auto"/>
              <w:right w:val="single" w:sz="12" w:space="0" w:color="auto"/>
            </w:tcBorders>
            <w:shd w:val="clear" w:color="auto" w:fill="auto"/>
            <w:noWrap/>
            <w:vAlign w:val="bottom"/>
            <w:hideMark/>
          </w:tcPr>
          <w:p w14:paraId="05CCA6F8" w14:textId="77777777" w:rsidR="003E0F58" w:rsidRPr="0093556C" w:rsidRDefault="003E0F58" w:rsidP="004D2249">
            <w:pPr>
              <w:jc w:val="left"/>
              <w:rPr>
                <w:rFonts w:cs="Times New Roman"/>
                <w:b/>
                <w:bCs/>
                <w:color w:val="000000"/>
                <w:sz w:val="20"/>
                <w:szCs w:val="20"/>
                <w:lang w:val="cs-CZ"/>
              </w:rPr>
            </w:pPr>
            <w:r w:rsidRPr="0093556C">
              <w:rPr>
                <w:rFonts w:cs="Times New Roman"/>
                <w:b/>
                <w:bCs/>
                <w:color w:val="000000"/>
                <w:sz w:val="20"/>
                <w:szCs w:val="20"/>
                <w:lang w:val="cs-CZ"/>
              </w:rPr>
              <w:t>Ječmen jarní (zrno)</w:t>
            </w:r>
          </w:p>
        </w:tc>
        <w:tc>
          <w:tcPr>
            <w:tcW w:w="1170" w:type="dxa"/>
            <w:tcBorders>
              <w:top w:val="nil"/>
              <w:left w:val="single" w:sz="12" w:space="0" w:color="auto"/>
              <w:bottom w:val="single" w:sz="4" w:space="0" w:color="auto"/>
              <w:right w:val="single" w:sz="4" w:space="0" w:color="auto"/>
            </w:tcBorders>
            <w:shd w:val="clear" w:color="auto" w:fill="auto"/>
            <w:noWrap/>
            <w:vAlign w:val="bottom"/>
            <w:hideMark/>
          </w:tcPr>
          <w:p w14:paraId="172E1A0A"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3,16</w:t>
            </w:r>
          </w:p>
        </w:tc>
        <w:tc>
          <w:tcPr>
            <w:tcW w:w="1188" w:type="dxa"/>
            <w:tcBorders>
              <w:top w:val="nil"/>
              <w:left w:val="nil"/>
              <w:bottom w:val="single" w:sz="4" w:space="0" w:color="auto"/>
              <w:right w:val="single" w:sz="4" w:space="0" w:color="auto"/>
            </w:tcBorders>
            <w:shd w:val="clear" w:color="auto" w:fill="auto"/>
            <w:noWrap/>
            <w:vAlign w:val="bottom"/>
            <w:hideMark/>
          </w:tcPr>
          <w:p w14:paraId="5EA9AFF9"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3,14</w:t>
            </w:r>
          </w:p>
        </w:tc>
        <w:tc>
          <w:tcPr>
            <w:tcW w:w="1188" w:type="dxa"/>
            <w:tcBorders>
              <w:top w:val="nil"/>
              <w:left w:val="nil"/>
              <w:bottom w:val="single" w:sz="4" w:space="0" w:color="auto"/>
              <w:right w:val="single" w:sz="4" w:space="0" w:color="auto"/>
            </w:tcBorders>
            <w:shd w:val="clear" w:color="auto" w:fill="auto"/>
            <w:noWrap/>
            <w:vAlign w:val="bottom"/>
            <w:hideMark/>
          </w:tcPr>
          <w:p w14:paraId="2ED0C218"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3,17</w:t>
            </w:r>
          </w:p>
        </w:tc>
        <w:tc>
          <w:tcPr>
            <w:tcW w:w="1188" w:type="dxa"/>
            <w:tcBorders>
              <w:top w:val="nil"/>
              <w:left w:val="nil"/>
              <w:bottom w:val="single" w:sz="4" w:space="0" w:color="auto"/>
              <w:right w:val="single" w:sz="4" w:space="0" w:color="auto"/>
            </w:tcBorders>
            <w:shd w:val="clear" w:color="auto" w:fill="auto"/>
            <w:noWrap/>
            <w:vAlign w:val="bottom"/>
            <w:hideMark/>
          </w:tcPr>
          <w:p w14:paraId="19B2D602"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3,20</w:t>
            </w:r>
          </w:p>
        </w:tc>
        <w:tc>
          <w:tcPr>
            <w:tcW w:w="1188" w:type="dxa"/>
            <w:tcBorders>
              <w:top w:val="nil"/>
              <w:left w:val="nil"/>
              <w:bottom w:val="single" w:sz="4" w:space="0" w:color="auto"/>
              <w:right w:val="single" w:sz="4" w:space="0" w:color="auto"/>
            </w:tcBorders>
            <w:shd w:val="clear" w:color="auto" w:fill="auto"/>
            <w:noWrap/>
            <w:vAlign w:val="bottom"/>
            <w:hideMark/>
          </w:tcPr>
          <w:p w14:paraId="7CC8C28B"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3,23</w:t>
            </w:r>
          </w:p>
        </w:tc>
        <w:tc>
          <w:tcPr>
            <w:tcW w:w="1188" w:type="dxa"/>
            <w:tcBorders>
              <w:top w:val="nil"/>
              <w:left w:val="nil"/>
              <w:bottom w:val="single" w:sz="4" w:space="0" w:color="auto"/>
              <w:right w:val="single" w:sz="4" w:space="0" w:color="auto"/>
            </w:tcBorders>
            <w:shd w:val="clear" w:color="auto" w:fill="auto"/>
            <w:noWrap/>
            <w:vAlign w:val="bottom"/>
            <w:hideMark/>
          </w:tcPr>
          <w:p w14:paraId="3CDC5B10"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3,32</w:t>
            </w:r>
          </w:p>
        </w:tc>
        <w:tc>
          <w:tcPr>
            <w:tcW w:w="1188" w:type="dxa"/>
            <w:tcBorders>
              <w:top w:val="nil"/>
              <w:left w:val="nil"/>
              <w:bottom w:val="single" w:sz="4" w:space="0" w:color="auto"/>
              <w:right w:val="single" w:sz="4" w:space="0" w:color="auto"/>
            </w:tcBorders>
            <w:shd w:val="clear" w:color="auto" w:fill="auto"/>
            <w:noWrap/>
            <w:vAlign w:val="bottom"/>
            <w:hideMark/>
          </w:tcPr>
          <w:p w14:paraId="6C9E455C"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3,37</w:t>
            </w:r>
          </w:p>
        </w:tc>
        <w:tc>
          <w:tcPr>
            <w:tcW w:w="1188" w:type="dxa"/>
            <w:tcBorders>
              <w:top w:val="nil"/>
              <w:left w:val="nil"/>
              <w:bottom w:val="single" w:sz="4" w:space="0" w:color="auto"/>
              <w:right w:val="single" w:sz="4" w:space="0" w:color="auto"/>
            </w:tcBorders>
            <w:shd w:val="clear" w:color="auto" w:fill="auto"/>
            <w:noWrap/>
            <w:vAlign w:val="bottom"/>
            <w:hideMark/>
          </w:tcPr>
          <w:p w14:paraId="0ED7BE61"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3,44</w:t>
            </w:r>
          </w:p>
        </w:tc>
        <w:tc>
          <w:tcPr>
            <w:tcW w:w="1188" w:type="dxa"/>
            <w:tcBorders>
              <w:top w:val="nil"/>
              <w:left w:val="nil"/>
              <w:bottom w:val="single" w:sz="4" w:space="0" w:color="auto"/>
              <w:right w:val="single" w:sz="4" w:space="0" w:color="auto"/>
            </w:tcBorders>
            <w:shd w:val="clear" w:color="auto" w:fill="auto"/>
            <w:noWrap/>
            <w:vAlign w:val="bottom"/>
            <w:hideMark/>
          </w:tcPr>
          <w:p w14:paraId="05AF4EB5"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3,49</w:t>
            </w:r>
          </w:p>
        </w:tc>
        <w:tc>
          <w:tcPr>
            <w:tcW w:w="1188" w:type="dxa"/>
            <w:tcBorders>
              <w:top w:val="nil"/>
              <w:left w:val="nil"/>
              <w:bottom w:val="single" w:sz="4" w:space="0" w:color="auto"/>
              <w:right w:val="single" w:sz="4" w:space="0" w:color="auto"/>
            </w:tcBorders>
            <w:shd w:val="clear" w:color="auto" w:fill="auto"/>
            <w:noWrap/>
            <w:vAlign w:val="bottom"/>
            <w:hideMark/>
          </w:tcPr>
          <w:p w14:paraId="316B2376"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3,53</w:t>
            </w:r>
          </w:p>
        </w:tc>
        <w:tc>
          <w:tcPr>
            <w:tcW w:w="1207" w:type="dxa"/>
            <w:tcBorders>
              <w:top w:val="nil"/>
              <w:left w:val="nil"/>
              <w:bottom w:val="single" w:sz="4" w:space="0" w:color="auto"/>
              <w:right w:val="single" w:sz="12" w:space="0" w:color="auto"/>
            </w:tcBorders>
            <w:shd w:val="clear" w:color="auto" w:fill="auto"/>
            <w:noWrap/>
            <w:vAlign w:val="bottom"/>
            <w:hideMark/>
          </w:tcPr>
          <w:p w14:paraId="763C380F"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3,57</w:t>
            </w:r>
          </w:p>
        </w:tc>
      </w:tr>
      <w:tr w:rsidR="003E0F58" w:rsidRPr="0093556C" w14:paraId="56B4063E" w14:textId="77777777" w:rsidTr="004D2249">
        <w:trPr>
          <w:trHeight w:val="278"/>
        </w:trPr>
        <w:tc>
          <w:tcPr>
            <w:tcW w:w="3219" w:type="dxa"/>
            <w:tcBorders>
              <w:top w:val="nil"/>
              <w:left w:val="single" w:sz="12" w:space="0" w:color="auto"/>
              <w:bottom w:val="single" w:sz="4" w:space="0" w:color="auto"/>
              <w:right w:val="single" w:sz="12" w:space="0" w:color="auto"/>
            </w:tcBorders>
            <w:shd w:val="clear" w:color="auto" w:fill="auto"/>
            <w:noWrap/>
            <w:vAlign w:val="bottom"/>
            <w:hideMark/>
          </w:tcPr>
          <w:p w14:paraId="47280224" w14:textId="77777777" w:rsidR="003E0F58" w:rsidRPr="0093556C" w:rsidRDefault="003E0F58" w:rsidP="004D2249">
            <w:pPr>
              <w:jc w:val="left"/>
              <w:rPr>
                <w:rFonts w:cs="Times New Roman"/>
                <w:b/>
                <w:bCs/>
                <w:color w:val="000000"/>
                <w:sz w:val="20"/>
                <w:szCs w:val="20"/>
                <w:lang w:val="cs-CZ"/>
              </w:rPr>
            </w:pPr>
            <w:r w:rsidRPr="0093556C">
              <w:rPr>
                <w:rFonts w:cs="Times New Roman"/>
                <w:b/>
                <w:bCs/>
                <w:color w:val="000000"/>
                <w:sz w:val="20"/>
                <w:szCs w:val="20"/>
                <w:lang w:val="cs-CZ"/>
              </w:rPr>
              <w:t>zelená hmota</w:t>
            </w:r>
          </w:p>
        </w:tc>
        <w:tc>
          <w:tcPr>
            <w:tcW w:w="1170" w:type="dxa"/>
            <w:tcBorders>
              <w:top w:val="nil"/>
              <w:left w:val="single" w:sz="12" w:space="0" w:color="auto"/>
              <w:bottom w:val="single" w:sz="4" w:space="0" w:color="auto"/>
              <w:right w:val="single" w:sz="4" w:space="0" w:color="auto"/>
            </w:tcBorders>
            <w:shd w:val="clear" w:color="auto" w:fill="auto"/>
            <w:noWrap/>
            <w:vAlign w:val="bottom"/>
            <w:hideMark/>
          </w:tcPr>
          <w:p w14:paraId="64E6ED87"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0,94</w:t>
            </w:r>
          </w:p>
        </w:tc>
        <w:tc>
          <w:tcPr>
            <w:tcW w:w="1188" w:type="dxa"/>
            <w:tcBorders>
              <w:top w:val="nil"/>
              <w:left w:val="nil"/>
              <w:bottom w:val="single" w:sz="4" w:space="0" w:color="auto"/>
              <w:right w:val="single" w:sz="4" w:space="0" w:color="auto"/>
            </w:tcBorders>
            <w:shd w:val="clear" w:color="auto" w:fill="auto"/>
            <w:noWrap/>
            <w:vAlign w:val="bottom"/>
            <w:hideMark/>
          </w:tcPr>
          <w:p w14:paraId="0A3334B4"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0,93</w:t>
            </w:r>
          </w:p>
        </w:tc>
        <w:tc>
          <w:tcPr>
            <w:tcW w:w="1188" w:type="dxa"/>
            <w:tcBorders>
              <w:top w:val="nil"/>
              <w:left w:val="nil"/>
              <w:bottom w:val="single" w:sz="4" w:space="0" w:color="auto"/>
              <w:right w:val="single" w:sz="4" w:space="0" w:color="auto"/>
            </w:tcBorders>
            <w:shd w:val="clear" w:color="auto" w:fill="auto"/>
            <w:noWrap/>
            <w:vAlign w:val="bottom"/>
            <w:hideMark/>
          </w:tcPr>
          <w:p w14:paraId="69799D01"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0,94</w:t>
            </w:r>
          </w:p>
        </w:tc>
        <w:tc>
          <w:tcPr>
            <w:tcW w:w="1188" w:type="dxa"/>
            <w:tcBorders>
              <w:top w:val="nil"/>
              <w:left w:val="nil"/>
              <w:bottom w:val="single" w:sz="4" w:space="0" w:color="auto"/>
              <w:right w:val="single" w:sz="4" w:space="0" w:color="auto"/>
            </w:tcBorders>
            <w:shd w:val="clear" w:color="auto" w:fill="auto"/>
            <w:noWrap/>
            <w:vAlign w:val="bottom"/>
            <w:hideMark/>
          </w:tcPr>
          <w:p w14:paraId="7989115E"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0,95</w:t>
            </w:r>
          </w:p>
        </w:tc>
        <w:tc>
          <w:tcPr>
            <w:tcW w:w="1188" w:type="dxa"/>
            <w:tcBorders>
              <w:top w:val="nil"/>
              <w:left w:val="nil"/>
              <w:bottom w:val="single" w:sz="4" w:space="0" w:color="auto"/>
              <w:right w:val="single" w:sz="4" w:space="0" w:color="auto"/>
            </w:tcBorders>
            <w:shd w:val="clear" w:color="auto" w:fill="auto"/>
            <w:noWrap/>
            <w:vAlign w:val="bottom"/>
            <w:hideMark/>
          </w:tcPr>
          <w:p w14:paraId="1A6C3378"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0,96</w:t>
            </w:r>
          </w:p>
        </w:tc>
        <w:tc>
          <w:tcPr>
            <w:tcW w:w="1188" w:type="dxa"/>
            <w:tcBorders>
              <w:top w:val="nil"/>
              <w:left w:val="nil"/>
              <w:bottom w:val="single" w:sz="4" w:space="0" w:color="auto"/>
              <w:right w:val="single" w:sz="4" w:space="0" w:color="auto"/>
            </w:tcBorders>
            <w:shd w:val="clear" w:color="auto" w:fill="auto"/>
            <w:noWrap/>
            <w:vAlign w:val="bottom"/>
            <w:hideMark/>
          </w:tcPr>
          <w:p w14:paraId="43FF40DC"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0,98</w:t>
            </w:r>
          </w:p>
        </w:tc>
        <w:tc>
          <w:tcPr>
            <w:tcW w:w="1188" w:type="dxa"/>
            <w:tcBorders>
              <w:top w:val="nil"/>
              <w:left w:val="nil"/>
              <w:bottom w:val="single" w:sz="4" w:space="0" w:color="auto"/>
              <w:right w:val="single" w:sz="4" w:space="0" w:color="auto"/>
            </w:tcBorders>
            <w:shd w:val="clear" w:color="auto" w:fill="auto"/>
            <w:noWrap/>
            <w:vAlign w:val="bottom"/>
            <w:hideMark/>
          </w:tcPr>
          <w:p w14:paraId="32680F97"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1,00</w:t>
            </w:r>
          </w:p>
        </w:tc>
        <w:tc>
          <w:tcPr>
            <w:tcW w:w="1188" w:type="dxa"/>
            <w:tcBorders>
              <w:top w:val="nil"/>
              <w:left w:val="nil"/>
              <w:bottom w:val="single" w:sz="4" w:space="0" w:color="auto"/>
              <w:right w:val="single" w:sz="4" w:space="0" w:color="auto"/>
            </w:tcBorders>
            <w:shd w:val="clear" w:color="auto" w:fill="auto"/>
            <w:noWrap/>
            <w:vAlign w:val="bottom"/>
            <w:hideMark/>
          </w:tcPr>
          <w:p w14:paraId="5D2ADB43"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1,02</w:t>
            </w:r>
          </w:p>
        </w:tc>
        <w:tc>
          <w:tcPr>
            <w:tcW w:w="1188" w:type="dxa"/>
            <w:tcBorders>
              <w:top w:val="nil"/>
              <w:left w:val="nil"/>
              <w:bottom w:val="single" w:sz="4" w:space="0" w:color="auto"/>
              <w:right w:val="single" w:sz="4" w:space="0" w:color="auto"/>
            </w:tcBorders>
            <w:shd w:val="clear" w:color="auto" w:fill="auto"/>
            <w:noWrap/>
            <w:vAlign w:val="bottom"/>
            <w:hideMark/>
          </w:tcPr>
          <w:p w14:paraId="502A7726"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1,03</w:t>
            </w:r>
          </w:p>
        </w:tc>
        <w:tc>
          <w:tcPr>
            <w:tcW w:w="1188" w:type="dxa"/>
            <w:tcBorders>
              <w:top w:val="nil"/>
              <w:left w:val="nil"/>
              <w:bottom w:val="single" w:sz="4" w:space="0" w:color="auto"/>
              <w:right w:val="single" w:sz="4" w:space="0" w:color="auto"/>
            </w:tcBorders>
            <w:shd w:val="clear" w:color="auto" w:fill="auto"/>
            <w:noWrap/>
            <w:vAlign w:val="bottom"/>
            <w:hideMark/>
          </w:tcPr>
          <w:p w14:paraId="0829D688"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1,05</w:t>
            </w:r>
          </w:p>
        </w:tc>
        <w:tc>
          <w:tcPr>
            <w:tcW w:w="1207" w:type="dxa"/>
            <w:tcBorders>
              <w:top w:val="nil"/>
              <w:left w:val="nil"/>
              <w:bottom w:val="single" w:sz="4" w:space="0" w:color="auto"/>
              <w:right w:val="single" w:sz="12" w:space="0" w:color="auto"/>
            </w:tcBorders>
            <w:shd w:val="clear" w:color="auto" w:fill="auto"/>
            <w:noWrap/>
            <w:vAlign w:val="bottom"/>
            <w:hideMark/>
          </w:tcPr>
          <w:p w14:paraId="4817DE32"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1,06</w:t>
            </w:r>
          </w:p>
        </w:tc>
      </w:tr>
      <w:tr w:rsidR="003E0F58" w:rsidRPr="0093556C" w14:paraId="17BBE663" w14:textId="77777777" w:rsidTr="004D2249">
        <w:trPr>
          <w:trHeight w:val="278"/>
        </w:trPr>
        <w:tc>
          <w:tcPr>
            <w:tcW w:w="3219" w:type="dxa"/>
            <w:tcBorders>
              <w:top w:val="nil"/>
              <w:left w:val="single" w:sz="12" w:space="0" w:color="auto"/>
              <w:bottom w:val="single" w:sz="4" w:space="0" w:color="auto"/>
              <w:right w:val="single" w:sz="12" w:space="0" w:color="auto"/>
            </w:tcBorders>
            <w:shd w:val="clear" w:color="auto" w:fill="auto"/>
            <w:noWrap/>
            <w:vAlign w:val="bottom"/>
            <w:hideMark/>
          </w:tcPr>
          <w:p w14:paraId="53606FCF" w14:textId="77777777" w:rsidR="003E0F58" w:rsidRPr="0093556C" w:rsidRDefault="003E0F58" w:rsidP="004D2249">
            <w:pPr>
              <w:jc w:val="left"/>
              <w:rPr>
                <w:rFonts w:cs="Times New Roman"/>
                <w:b/>
                <w:bCs/>
                <w:color w:val="000000"/>
                <w:sz w:val="20"/>
                <w:szCs w:val="20"/>
                <w:lang w:val="cs-CZ"/>
              </w:rPr>
            </w:pPr>
            <w:r w:rsidRPr="0093556C">
              <w:rPr>
                <w:rFonts w:cs="Times New Roman"/>
                <w:b/>
                <w:bCs/>
                <w:color w:val="000000"/>
                <w:sz w:val="20"/>
                <w:szCs w:val="20"/>
                <w:lang w:val="cs-CZ"/>
              </w:rPr>
              <w:t>Brambory konzumní</w:t>
            </w:r>
          </w:p>
        </w:tc>
        <w:tc>
          <w:tcPr>
            <w:tcW w:w="1170" w:type="dxa"/>
            <w:tcBorders>
              <w:top w:val="nil"/>
              <w:left w:val="single" w:sz="12" w:space="0" w:color="auto"/>
              <w:bottom w:val="single" w:sz="4" w:space="0" w:color="auto"/>
              <w:right w:val="single" w:sz="4" w:space="0" w:color="auto"/>
            </w:tcBorders>
            <w:shd w:val="clear" w:color="auto" w:fill="auto"/>
            <w:noWrap/>
            <w:vAlign w:val="bottom"/>
            <w:hideMark/>
          </w:tcPr>
          <w:p w14:paraId="35AE38A2"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0,24</w:t>
            </w:r>
          </w:p>
        </w:tc>
        <w:tc>
          <w:tcPr>
            <w:tcW w:w="1188" w:type="dxa"/>
            <w:tcBorders>
              <w:top w:val="nil"/>
              <w:left w:val="nil"/>
              <w:bottom w:val="single" w:sz="4" w:space="0" w:color="auto"/>
              <w:right w:val="single" w:sz="4" w:space="0" w:color="auto"/>
            </w:tcBorders>
            <w:shd w:val="clear" w:color="auto" w:fill="auto"/>
            <w:noWrap/>
            <w:vAlign w:val="bottom"/>
            <w:hideMark/>
          </w:tcPr>
          <w:p w14:paraId="77BF6FEC"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0,24</w:t>
            </w:r>
          </w:p>
        </w:tc>
        <w:tc>
          <w:tcPr>
            <w:tcW w:w="1188" w:type="dxa"/>
            <w:tcBorders>
              <w:top w:val="nil"/>
              <w:left w:val="nil"/>
              <w:bottom w:val="single" w:sz="4" w:space="0" w:color="auto"/>
              <w:right w:val="single" w:sz="4" w:space="0" w:color="auto"/>
            </w:tcBorders>
            <w:shd w:val="clear" w:color="auto" w:fill="auto"/>
            <w:noWrap/>
            <w:vAlign w:val="bottom"/>
            <w:hideMark/>
          </w:tcPr>
          <w:p w14:paraId="06359F1C"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0,24</w:t>
            </w:r>
          </w:p>
        </w:tc>
        <w:tc>
          <w:tcPr>
            <w:tcW w:w="1188" w:type="dxa"/>
            <w:tcBorders>
              <w:top w:val="nil"/>
              <w:left w:val="nil"/>
              <w:bottom w:val="single" w:sz="4" w:space="0" w:color="auto"/>
              <w:right w:val="single" w:sz="4" w:space="0" w:color="auto"/>
            </w:tcBorders>
            <w:shd w:val="clear" w:color="auto" w:fill="auto"/>
            <w:noWrap/>
            <w:vAlign w:val="bottom"/>
            <w:hideMark/>
          </w:tcPr>
          <w:p w14:paraId="522597B7"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0,24</w:t>
            </w:r>
          </w:p>
        </w:tc>
        <w:tc>
          <w:tcPr>
            <w:tcW w:w="1188" w:type="dxa"/>
            <w:tcBorders>
              <w:top w:val="nil"/>
              <w:left w:val="nil"/>
              <w:bottom w:val="single" w:sz="4" w:space="0" w:color="auto"/>
              <w:right w:val="single" w:sz="4" w:space="0" w:color="auto"/>
            </w:tcBorders>
            <w:shd w:val="clear" w:color="auto" w:fill="auto"/>
            <w:noWrap/>
            <w:vAlign w:val="bottom"/>
            <w:hideMark/>
          </w:tcPr>
          <w:p w14:paraId="073A1735"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0,25</w:t>
            </w:r>
          </w:p>
        </w:tc>
        <w:tc>
          <w:tcPr>
            <w:tcW w:w="1188" w:type="dxa"/>
            <w:tcBorders>
              <w:top w:val="nil"/>
              <w:left w:val="nil"/>
              <w:bottom w:val="single" w:sz="4" w:space="0" w:color="auto"/>
              <w:right w:val="single" w:sz="4" w:space="0" w:color="auto"/>
            </w:tcBorders>
            <w:shd w:val="clear" w:color="auto" w:fill="auto"/>
            <w:noWrap/>
            <w:vAlign w:val="bottom"/>
            <w:hideMark/>
          </w:tcPr>
          <w:p w14:paraId="5A9909EB"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0,25</w:t>
            </w:r>
          </w:p>
        </w:tc>
        <w:tc>
          <w:tcPr>
            <w:tcW w:w="1188" w:type="dxa"/>
            <w:tcBorders>
              <w:top w:val="nil"/>
              <w:left w:val="nil"/>
              <w:bottom w:val="single" w:sz="4" w:space="0" w:color="auto"/>
              <w:right w:val="single" w:sz="4" w:space="0" w:color="auto"/>
            </w:tcBorders>
            <w:shd w:val="clear" w:color="auto" w:fill="auto"/>
            <w:noWrap/>
            <w:vAlign w:val="bottom"/>
            <w:hideMark/>
          </w:tcPr>
          <w:p w14:paraId="3C1E6905"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0,26</w:t>
            </w:r>
          </w:p>
        </w:tc>
        <w:tc>
          <w:tcPr>
            <w:tcW w:w="1188" w:type="dxa"/>
            <w:tcBorders>
              <w:top w:val="nil"/>
              <w:left w:val="nil"/>
              <w:bottom w:val="single" w:sz="4" w:space="0" w:color="auto"/>
              <w:right w:val="single" w:sz="4" w:space="0" w:color="auto"/>
            </w:tcBorders>
            <w:shd w:val="clear" w:color="auto" w:fill="auto"/>
            <w:noWrap/>
            <w:vAlign w:val="bottom"/>
            <w:hideMark/>
          </w:tcPr>
          <w:p w14:paraId="75AFA6D3"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0,26</w:t>
            </w:r>
          </w:p>
        </w:tc>
        <w:tc>
          <w:tcPr>
            <w:tcW w:w="1188" w:type="dxa"/>
            <w:tcBorders>
              <w:top w:val="nil"/>
              <w:left w:val="nil"/>
              <w:bottom w:val="single" w:sz="4" w:space="0" w:color="auto"/>
              <w:right w:val="single" w:sz="4" w:space="0" w:color="auto"/>
            </w:tcBorders>
            <w:shd w:val="clear" w:color="auto" w:fill="auto"/>
            <w:noWrap/>
            <w:vAlign w:val="bottom"/>
            <w:hideMark/>
          </w:tcPr>
          <w:p w14:paraId="6E9FEDD4"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0,27</w:t>
            </w:r>
          </w:p>
        </w:tc>
        <w:tc>
          <w:tcPr>
            <w:tcW w:w="1188" w:type="dxa"/>
            <w:tcBorders>
              <w:top w:val="nil"/>
              <w:left w:val="nil"/>
              <w:bottom w:val="single" w:sz="4" w:space="0" w:color="auto"/>
              <w:right w:val="single" w:sz="4" w:space="0" w:color="auto"/>
            </w:tcBorders>
            <w:shd w:val="clear" w:color="auto" w:fill="auto"/>
            <w:noWrap/>
            <w:vAlign w:val="bottom"/>
            <w:hideMark/>
          </w:tcPr>
          <w:p w14:paraId="0873BD8E"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0,27</w:t>
            </w:r>
          </w:p>
        </w:tc>
        <w:tc>
          <w:tcPr>
            <w:tcW w:w="1207" w:type="dxa"/>
            <w:tcBorders>
              <w:top w:val="nil"/>
              <w:left w:val="nil"/>
              <w:bottom w:val="single" w:sz="4" w:space="0" w:color="auto"/>
              <w:right w:val="single" w:sz="12" w:space="0" w:color="auto"/>
            </w:tcBorders>
            <w:shd w:val="clear" w:color="auto" w:fill="auto"/>
            <w:noWrap/>
            <w:vAlign w:val="bottom"/>
            <w:hideMark/>
          </w:tcPr>
          <w:p w14:paraId="5B3B947A"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0,27</w:t>
            </w:r>
          </w:p>
        </w:tc>
      </w:tr>
      <w:tr w:rsidR="003E0F58" w:rsidRPr="0093556C" w14:paraId="1A3C6B6A" w14:textId="77777777" w:rsidTr="004D2249">
        <w:trPr>
          <w:trHeight w:val="278"/>
        </w:trPr>
        <w:tc>
          <w:tcPr>
            <w:tcW w:w="3219" w:type="dxa"/>
            <w:tcBorders>
              <w:top w:val="nil"/>
              <w:left w:val="single" w:sz="12" w:space="0" w:color="auto"/>
              <w:bottom w:val="single" w:sz="4" w:space="0" w:color="auto"/>
              <w:right w:val="single" w:sz="12" w:space="0" w:color="auto"/>
            </w:tcBorders>
            <w:shd w:val="clear" w:color="auto" w:fill="auto"/>
            <w:noWrap/>
            <w:vAlign w:val="bottom"/>
            <w:hideMark/>
          </w:tcPr>
          <w:p w14:paraId="1E82242E" w14:textId="77777777" w:rsidR="003E0F58" w:rsidRPr="0093556C" w:rsidRDefault="003E0F58" w:rsidP="004D2249">
            <w:pPr>
              <w:jc w:val="left"/>
              <w:rPr>
                <w:rFonts w:cs="Times New Roman"/>
                <w:b/>
                <w:bCs/>
                <w:color w:val="000000"/>
                <w:sz w:val="20"/>
                <w:szCs w:val="20"/>
                <w:lang w:val="cs-CZ"/>
              </w:rPr>
            </w:pPr>
            <w:r w:rsidRPr="0093556C">
              <w:rPr>
                <w:rFonts w:cs="Times New Roman"/>
                <w:b/>
                <w:bCs/>
                <w:color w:val="000000"/>
                <w:sz w:val="20"/>
                <w:szCs w:val="20"/>
                <w:lang w:val="cs-CZ"/>
              </w:rPr>
              <w:t>Oves</w:t>
            </w:r>
          </w:p>
        </w:tc>
        <w:tc>
          <w:tcPr>
            <w:tcW w:w="1170" w:type="dxa"/>
            <w:tcBorders>
              <w:top w:val="nil"/>
              <w:left w:val="single" w:sz="12" w:space="0" w:color="auto"/>
              <w:bottom w:val="single" w:sz="4" w:space="0" w:color="auto"/>
              <w:right w:val="single" w:sz="4" w:space="0" w:color="auto"/>
            </w:tcBorders>
            <w:shd w:val="clear" w:color="auto" w:fill="auto"/>
            <w:noWrap/>
            <w:vAlign w:val="bottom"/>
            <w:hideMark/>
          </w:tcPr>
          <w:p w14:paraId="01B2C5BE"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1,13</w:t>
            </w:r>
          </w:p>
        </w:tc>
        <w:tc>
          <w:tcPr>
            <w:tcW w:w="1188" w:type="dxa"/>
            <w:tcBorders>
              <w:top w:val="nil"/>
              <w:left w:val="nil"/>
              <w:bottom w:val="single" w:sz="4" w:space="0" w:color="auto"/>
              <w:right w:val="single" w:sz="4" w:space="0" w:color="auto"/>
            </w:tcBorders>
            <w:shd w:val="clear" w:color="auto" w:fill="auto"/>
            <w:noWrap/>
            <w:vAlign w:val="bottom"/>
            <w:hideMark/>
          </w:tcPr>
          <w:p w14:paraId="4258B302"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1,12</w:t>
            </w:r>
          </w:p>
        </w:tc>
        <w:tc>
          <w:tcPr>
            <w:tcW w:w="1188" w:type="dxa"/>
            <w:tcBorders>
              <w:top w:val="nil"/>
              <w:left w:val="nil"/>
              <w:bottom w:val="single" w:sz="4" w:space="0" w:color="auto"/>
              <w:right w:val="single" w:sz="4" w:space="0" w:color="auto"/>
            </w:tcBorders>
            <w:shd w:val="clear" w:color="auto" w:fill="auto"/>
            <w:noWrap/>
            <w:vAlign w:val="bottom"/>
            <w:hideMark/>
          </w:tcPr>
          <w:p w14:paraId="5FD83B47"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1,13</w:t>
            </w:r>
          </w:p>
        </w:tc>
        <w:tc>
          <w:tcPr>
            <w:tcW w:w="1188" w:type="dxa"/>
            <w:tcBorders>
              <w:top w:val="nil"/>
              <w:left w:val="nil"/>
              <w:bottom w:val="single" w:sz="4" w:space="0" w:color="auto"/>
              <w:right w:val="single" w:sz="4" w:space="0" w:color="auto"/>
            </w:tcBorders>
            <w:shd w:val="clear" w:color="auto" w:fill="auto"/>
            <w:noWrap/>
            <w:vAlign w:val="bottom"/>
            <w:hideMark/>
          </w:tcPr>
          <w:p w14:paraId="056704B0"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1,14</w:t>
            </w:r>
          </w:p>
        </w:tc>
        <w:tc>
          <w:tcPr>
            <w:tcW w:w="1188" w:type="dxa"/>
            <w:tcBorders>
              <w:top w:val="nil"/>
              <w:left w:val="nil"/>
              <w:bottom w:val="single" w:sz="4" w:space="0" w:color="auto"/>
              <w:right w:val="single" w:sz="4" w:space="0" w:color="auto"/>
            </w:tcBorders>
            <w:shd w:val="clear" w:color="auto" w:fill="auto"/>
            <w:noWrap/>
            <w:vAlign w:val="bottom"/>
            <w:hideMark/>
          </w:tcPr>
          <w:p w14:paraId="5C2B8B02"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1,15</w:t>
            </w:r>
          </w:p>
        </w:tc>
        <w:tc>
          <w:tcPr>
            <w:tcW w:w="1188" w:type="dxa"/>
            <w:tcBorders>
              <w:top w:val="nil"/>
              <w:left w:val="nil"/>
              <w:bottom w:val="single" w:sz="4" w:space="0" w:color="auto"/>
              <w:right w:val="single" w:sz="4" w:space="0" w:color="auto"/>
            </w:tcBorders>
            <w:shd w:val="clear" w:color="auto" w:fill="auto"/>
            <w:noWrap/>
            <w:vAlign w:val="bottom"/>
            <w:hideMark/>
          </w:tcPr>
          <w:p w14:paraId="0D80B8FA"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1,18</w:t>
            </w:r>
          </w:p>
        </w:tc>
        <w:tc>
          <w:tcPr>
            <w:tcW w:w="1188" w:type="dxa"/>
            <w:tcBorders>
              <w:top w:val="nil"/>
              <w:left w:val="nil"/>
              <w:bottom w:val="single" w:sz="4" w:space="0" w:color="auto"/>
              <w:right w:val="single" w:sz="4" w:space="0" w:color="auto"/>
            </w:tcBorders>
            <w:shd w:val="clear" w:color="auto" w:fill="auto"/>
            <w:noWrap/>
            <w:vAlign w:val="bottom"/>
            <w:hideMark/>
          </w:tcPr>
          <w:p w14:paraId="1E44FBDB"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1,20</w:t>
            </w:r>
          </w:p>
        </w:tc>
        <w:tc>
          <w:tcPr>
            <w:tcW w:w="1188" w:type="dxa"/>
            <w:tcBorders>
              <w:top w:val="nil"/>
              <w:left w:val="nil"/>
              <w:bottom w:val="single" w:sz="4" w:space="0" w:color="auto"/>
              <w:right w:val="single" w:sz="4" w:space="0" w:color="auto"/>
            </w:tcBorders>
            <w:shd w:val="clear" w:color="auto" w:fill="auto"/>
            <w:noWrap/>
            <w:vAlign w:val="bottom"/>
            <w:hideMark/>
          </w:tcPr>
          <w:p w14:paraId="577EBA67"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1,22</w:t>
            </w:r>
          </w:p>
        </w:tc>
        <w:tc>
          <w:tcPr>
            <w:tcW w:w="1188" w:type="dxa"/>
            <w:tcBorders>
              <w:top w:val="nil"/>
              <w:left w:val="nil"/>
              <w:bottom w:val="single" w:sz="4" w:space="0" w:color="auto"/>
              <w:right w:val="single" w:sz="4" w:space="0" w:color="auto"/>
            </w:tcBorders>
            <w:shd w:val="clear" w:color="auto" w:fill="auto"/>
            <w:noWrap/>
            <w:vAlign w:val="bottom"/>
            <w:hideMark/>
          </w:tcPr>
          <w:p w14:paraId="33C1E3F3"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1,24</w:t>
            </w:r>
          </w:p>
        </w:tc>
        <w:tc>
          <w:tcPr>
            <w:tcW w:w="1188" w:type="dxa"/>
            <w:tcBorders>
              <w:top w:val="nil"/>
              <w:left w:val="nil"/>
              <w:bottom w:val="single" w:sz="4" w:space="0" w:color="auto"/>
              <w:right w:val="single" w:sz="4" w:space="0" w:color="auto"/>
            </w:tcBorders>
            <w:shd w:val="clear" w:color="auto" w:fill="auto"/>
            <w:noWrap/>
            <w:vAlign w:val="bottom"/>
            <w:hideMark/>
          </w:tcPr>
          <w:p w14:paraId="3052B5A6"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1,26</w:t>
            </w:r>
          </w:p>
        </w:tc>
        <w:tc>
          <w:tcPr>
            <w:tcW w:w="1207" w:type="dxa"/>
            <w:tcBorders>
              <w:top w:val="nil"/>
              <w:left w:val="nil"/>
              <w:bottom w:val="single" w:sz="4" w:space="0" w:color="auto"/>
              <w:right w:val="single" w:sz="12" w:space="0" w:color="auto"/>
            </w:tcBorders>
            <w:shd w:val="clear" w:color="auto" w:fill="auto"/>
            <w:noWrap/>
            <w:vAlign w:val="bottom"/>
            <w:hideMark/>
          </w:tcPr>
          <w:p w14:paraId="700F6902"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1,27</w:t>
            </w:r>
          </w:p>
        </w:tc>
      </w:tr>
      <w:tr w:rsidR="003E0F58" w:rsidRPr="0093556C" w14:paraId="65B31238" w14:textId="77777777" w:rsidTr="004D2249">
        <w:trPr>
          <w:trHeight w:val="293"/>
        </w:trPr>
        <w:tc>
          <w:tcPr>
            <w:tcW w:w="3219" w:type="dxa"/>
            <w:tcBorders>
              <w:top w:val="nil"/>
              <w:left w:val="single" w:sz="12" w:space="0" w:color="auto"/>
              <w:bottom w:val="single" w:sz="12" w:space="0" w:color="auto"/>
              <w:right w:val="single" w:sz="12" w:space="0" w:color="auto"/>
            </w:tcBorders>
            <w:shd w:val="clear" w:color="auto" w:fill="auto"/>
            <w:noWrap/>
            <w:vAlign w:val="bottom"/>
            <w:hideMark/>
          </w:tcPr>
          <w:p w14:paraId="1AF17463" w14:textId="77777777" w:rsidR="003E0F58" w:rsidRPr="0093556C" w:rsidRDefault="003E0F58" w:rsidP="004D2249">
            <w:pPr>
              <w:jc w:val="left"/>
              <w:rPr>
                <w:rFonts w:cs="Times New Roman"/>
                <w:b/>
                <w:bCs/>
                <w:color w:val="000000"/>
                <w:sz w:val="20"/>
                <w:szCs w:val="20"/>
                <w:lang w:val="cs-CZ"/>
              </w:rPr>
            </w:pPr>
            <w:r w:rsidRPr="0093556C">
              <w:rPr>
                <w:rFonts w:cs="Times New Roman"/>
                <w:b/>
                <w:bCs/>
                <w:color w:val="000000"/>
                <w:sz w:val="20"/>
                <w:szCs w:val="20"/>
                <w:lang w:val="cs-CZ"/>
              </w:rPr>
              <w:t>Ječmen ozimý (zrno)</w:t>
            </w:r>
          </w:p>
        </w:tc>
        <w:tc>
          <w:tcPr>
            <w:tcW w:w="1170" w:type="dxa"/>
            <w:tcBorders>
              <w:top w:val="nil"/>
              <w:left w:val="single" w:sz="12" w:space="0" w:color="auto"/>
              <w:bottom w:val="single" w:sz="12" w:space="0" w:color="auto"/>
              <w:right w:val="single" w:sz="4" w:space="0" w:color="auto"/>
            </w:tcBorders>
            <w:shd w:val="clear" w:color="auto" w:fill="auto"/>
            <w:noWrap/>
            <w:vAlign w:val="bottom"/>
            <w:hideMark/>
          </w:tcPr>
          <w:p w14:paraId="3C0ABA41"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0,40</w:t>
            </w:r>
          </w:p>
        </w:tc>
        <w:tc>
          <w:tcPr>
            <w:tcW w:w="1188" w:type="dxa"/>
            <w:tcBorders>
              <w:top w:val="nil"/>
              <w:left w:val="nil"/>
              <w:bottom w:val="single" w:sz="12" w:space="0" w:color="auto"/>
              <w:right w:val="single" w:sz="4" w:space="0" w:color="auto"/>
            </w:tcBorders>
            <w:shd w:val="clear" w:color="auto" w:fill="auto"/>
            <w:noWrap/>
            <w:vAlign w:val="bottom"/>
            <w:hideMark/>
          </w:tcPr>
          <w:p w14:paraId="0298239D"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0,40</w:t>
            </w:r>
          </w:p>
        </w:tc>
        <w:tc>
          <w:tcPr>
            <w:tcW w:w="1188" w:type="dxa"/>
            <w:tcBorders>
              <w:top w:val="nil"/>
              <w:left w:val="nil"/>
              <w:bottom w:val="single" w:sz="12" w:space="0" w:color="auto"/>
              <w:right w:val="single" w:sz="4" w:space="0" w:color="auto"/>
            </w:tcBorders>
            <w:shd w:val="clear" w:color="auto" w:fill="auto"/>
            <w:noWrap/>
            <w:vAlign w:val="bottom"/>
            <w:hideMark/>
          </w:tcPr>
          <w:p w14:paraId="219AE2E7"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0,40</w:t>
            </w:r>
          </w:p>
        </w:tc>
        <w:tc>
          <w:tcPr>
            <w:tcW w:w="1188" w:type="dxa"/>
            <w:tcBorders>
              <w:top w:val="nil"/>
              <w:left w:val="nil"/>
              <w:bottom w:val="single" w:sz="12" w:space="0" w:color="auto"/>
              <w:right w:val="single" w:sz="4" w:space="0" w:color="auto"/>
            </w:tcBorders>
            <w:shd w:val="clear" w:color="auto" w:fill="auto"/>
            <w:noWrap/>
            <w:vAlign w:val="bottom"/>
            <w:hideMark/>
          </w:tcPr>
          <w:p w14:paraId="4DFF797B"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0,41</w:t>
            </w:r>
          </w:p>
        </w:tc>
        <w:tc>
          <w:tcPr>
            <w:tcW w:w="1188" w:type="dxa"/>
            <w:tcBorders>
              <w:top w:val="nil"/>
              <w:left w:val="nil"/>
              <w:bottom w:val="single" w:sz="12" w:space="0" w:color="auto"/>
              <w:right w:val="single" w:sz="4" w:space="0" w:color="auto"/>
            </w:tcBorders>
            <w:shd w:val="clear" w:color="auto" w:fill="auto"/>
            <w:noWrap/>
            <w:vAlign w:val="bottom"/>
            <w:hideMark/>
          </w:tcPr>
          <w:p w14:paraId="5CE4520D"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0,41</w:t>
            </w:r>
          </w:p>
        </w:tc>
        <w:tc>
          <w:tcPr>
            <w:tcW w:w="1188" w:type="dxa"/>
            <w:tcBorders>
              <w:top w:val="nil"/>
              <w:left w:val="nil"/>
              <w:bottom w:val="single" w:sz="12" w:space="0" w:color="auto"/>
              <w:right w:val="single" w:sz="4" w:space="0" w:color="auto"/>
            </w:tcBorders>
            <w:shd w:val="clear" w:color="auto" w:fill="auto"/>
            <w:noWrap/>
            <w:vAlign w:val="bottom"/>
            <w:hideMark/>
          </w:tcPr>
          <w:p w14:paraId="3E2CABEB"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0,42</w:t>
            </w:r>
          </w:p>
        </w:tc>
        <w:tc>
          <w:tcPr>
            <w:tcW w:w="1188" w:type="dxa"/>
            <w:tcBorders>
              <w:top w:val="nil"/>
              <w:left w:val="nil"/>
              <w:bottom w:val="single" w:sz="12" w:space="0" w:color="auto"/>
              <w:right w:val="single" w:sz="4" w:space="0" w:color="auto"/>
            </w:tcBorders>
            <w:shd w:val="clear" w:color="auto" w:fill="auto"/>
            <w:noWrap/>
            <w:vAlign w:val="bottom"/>
            <w:hideMark/>
          </w:tcPr>
          <w:p w14:paraId="52CC1F20"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0,43</w:t>
            </w:r>
          </w:p>
        </w:tc>
        <w:tc>
          <w:tcPr>
            <w:tcW w:w="1188" w:type="dxa"/>
            <w:tcBorders>
              <w:top w:val="nil"/>
              <w:left w:val="nil"/>
              <w:bottom w:val="single" w:sz="12" w:space="0" w:color="auto"/>
              <w:right w:val="single" w:sz="4" w:space="0" w:color="auto"/>
            </w:tcBorders>
            <w:shd w:val="clear" w:color="auto" w:fill="auto"/>
            <w:noWrap/>
            <w:vAlign w:val="bottom"/>
            <w:hideMark/>
          </w:tcPr>
          <w:p w14:paraId="7BD2F6C6"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0,44</w:t>
            </w:r>
          </w:p>
        </w:tc>
        <w:tc>
          <w:tcPr>
            <w:tcW w:w="1188" w:type="dxa"/>
            <w:tcBorders>
              <w:top w:val="nil"/>
              <w:left w:val="nil"/>
              <w:bottom w:val="single" w:sz="12" w:space="0" w:color="auto"/>
              <w:right w:val="single" w:sz="4" w:space="0" w:color="auto"/>
            </w:tcBorders>
            <w:shd w:val="clear" w:color="auto" w:fill="auto"/>
            <w:noWrap/>
            <w:vAlign w:val="bottom"/>
            <w:hideMark/>
          </w:tcPr>
          <w:p w14:paraId="6751F633"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0,44</w:t>
            </w:r>
          </w:p>
        </w:tc>
        <w:tc>
          <w:tcPr>
            <w:tcW w:w="1188" w:type="dxa"/>
            <w:tcBorders>
              <w:top w:val="nil"/>
              <w:left w:val="nil"/>
              <w:bottom w:val="single" w:sz="12" w:space="0" w:color="auto"/>
              <w:right w:val="single" w:sz="4" w:space="0" w:color="auto"/>
            </w:tcBorders>
            <w:shd w:val="clear" w:color="auto" w:fill="auto"/>
            <w:noWrap/>
            <w:vAlign w:val="bottom"/>
            <w:hideMark/>
          </w:tcPr>
          <w:p w14:paraId="4E5EEE80"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0,45</w:t>
            </w:r>
          </w:p>
        </w:tc>
        <w:tc>
          <w:tcPr>
            <w:tcW w:w="1207" w:type="dxa"/>
            <w:tcBorders>
              <w:top w:val="nil"/>
              <w:left w:val="nil"/>
              <w:bottom w:val="single" w:sz="12" w:space="0" w:color="auto"/>
              <w:right w:val="single" w:sz="12" w:space="0" w:color="auto"/>
            </w:tcBorders>
            <w:shd w:val="clear" w:color="auto" w:fill="auto"/>
            <w:noWrap/>
            <w:vAlign w:val="bottom"/>
            <w:hideMark/>
          </w:tcPr>
          <w:p w14:paraId="2AF07486"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0,45</w:t>
            </w:r>
          </w:p>
        </w:tc>
      </w:tr>
      <w:tr w:rsidR="003E0F58" w:rsidRPr="0093556C" w14:paraId="3A286A44" w14:textId="77777777" w:rsidTr="004D2249">
        <w:trPr>
          <w:trHeight w:val="278"/>
        </w:trPr>
        <w:tc>
          <w:tcPr>
            <w:tcW w:w="3219"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14:paraId="21CECA82" w14:textId="77777777" w:rsidR="003E0F58" w:rsidRPr="0093556C" w:rsidRDefault="003E0F58" w:rsidP="004D2249">
            <w:pPr>
              <w:jc w:val="left"/>
              <w:rPr>
                <w:rFonts w:cs="Times New Roman"/>
                <w:b/>
                <w:bCs/>
                <w:color w:val="000000"/>
                <w:sz w:val="20"/>
                <w:szCs w:val="20"/>
                <w:lang w:val="cs-CZ"/>
              </w:rPr>
            </w:pPr>
            <w:r w:rsidRPr="0093556C">
              <w:rPr>
                <w:rFonts w:cs="Times New Roman"/>
                <w:b/>
                <w:bCs/>
                <w:color w:val="000000"/>
                <w:sz w:val="20"/>
                <w:szCs w:val="20"/>
                <w:lang w:val="cs-CZ"/>
              </w:rPr>
              <w:t>BIOPALIVA 1. GENERACE</w:t>
            </w:r>
          </w:p>
        </w:tc>
        <w:tc>
          <w:tcPr>
            <w:tcW w:w="1170" w:type="dxa"/>
            <w:tcBorders>
              <w:top w:val="single" w:sz="12" w:space="0" w:color="auto"/>
              <w:left w:val="single" w:sz="12" w:space="0" w:color="auto"/>
              <w:bottom w:val="single" w:sz="4" w:space="0" w:color="auto"/>
            </w:tcBorders>
            <w:shd w:val="clear" w:color="auto" w:fill="auto"/>
            <w:noWrap/>
            <w:vAlign w:val="bottom"/>
            <w:hideMark/>
          </w:tcPr>
          <w:p w14:paraId="153BA0BD" w14:textId="77777777" w:rsidR="003E0F58" w:rsidRPr="0093556C" w:rsidRDefault="003E0F58" w:rsidP="004D2249">
            <w:pPr>
              <w:jc w:val="left"/>
              <w:rPr>
                <w:rFonts w:cs="Times New Roman"/>
                <w:color w:val="000000"/>
                <w:sz w:val="20"/>
                <w:szCs w:val="20"/>
                <w:lang w:val="cs-CZ"/>
              </w:rPr>
            </w:pPr>
            <w:r w:rsidRPr="0093556C">
              <w:rPr>
                <w:rFonts w:cs="Times New Roman"/>
                <w:color w:val="000000"/>
                <w:sz w:val="20"/>
                <w:szCs w:val="20"/>
                <w:lang w:val="cs-CZ"/>
              </w:rPr>
              <w:t> </w:t>
            </w:r>
          </w:p>
        </w:tc>
        <w:tc>
          <w:tcPr>
            <w:tcW w:w="1188" w:type="dxa"/>
            <w:tcBorders>
              <w:top w:val="single" w:sz="12" w:space="0" w:color="auto"/>
              <w:left w:val="nil"/>
              <w:bottom w:val="single" w:sz="4" w:space="0" w:color="auto"/>
            </w:tcBorders>
            <w:shd w:val="clear" w:color="auto" w:fill="auto"/>
            <w:noWrap/>
            <w:vAlign w:val="bottom"/>
            <w:hideMark/>
          </w:tcPr>
          <w:p w14:paraId="2B923F63" w14:textId="77777777" w:rsidR="003E0F58" w:rsidRPr="0093556C" w:rsidRDefault="003E0F58" w:rsidP="004D2249">
            <w:pPr>
              <w:jc w:val="left"/>
              <w:rPr>
                <w:rFonts w:cs="Times New Roman"/>
                <w:color w:val="000000"/>
                <w:sz w:val="20"/>
                <w:szCs w:val="20"/>
                <w:lang w:val="cs-CZ"/>
              </w:rPr>
            </w:pPr>
            <w:r w:rsidRPr="0093556C">
              <w:rPr>
                <w:rFonts w:cs="Times New Roman"/>
                <w:color w:val="000000"/>
                <w:sz w:val="20"/>
                <w:szCs w:val="20"/>
                <w:lang w:val="cs-CZ"/>
              </w:rPr>
              <w:t> </w:t>
            </w:r>
          </w:p>
        </w:tc>
        <w:tc>
          <w:tcPr>
            <w:tcW w:w="1188" w:type="dxa"/>
            <w:tcBorders>
              <w:top w:val="single" w:sz="12" w:space="0" w:color="auto"/>
              <w:left w:val="nil"/>
              <w:bottom w:val="single" w:sz="4" w:space="0" w:color="auto"/>
            </w:tcBorders>
            <w:shd w:val="clear" w:color="auto" w:fill="auto"/>
            <w:noWrap/>
            <w:vAlign w:val="bottom"/>
            <w:hideMark/>
          </w:tcPr>
          <w:p w14:paraId="249692CE" w14:textId="77777777" w:rsidR="003E0F58" w:rsidRPr="0093556C" w:rsidRDefault="003E0F58" w:rsidP="004D2249">
            <w:pPr>
              <w:jc w:val="left"/>
              <w:rPr>
                <w:rFonts w:cs="Times New Roman"/>
                <w:color w:val="000000"/>
                <w:sz w:val="20"/>
                <w:szCs w:val="20"/>
                <w:lang w:val="cs-CZ"/>
              </w:rPr>
            </w:pPr>
            <w:r w:rsidRPr="0093556C">
              <w:rPr>
                <w:rFonts w:cs="Times New Roman"/>
                <w:color w:val="000000"/>
                <w:sz w:val="20"/>
                <w:szCs w:val="20"/>
                <w:lang w:val="cs-CZ"/>
              </w:rPr>
              <w:t> </w:t>
            </w:r>
          </w:p>
        </w:tc>
        <w:tc>
          <w:tcPr>
            <w:tcW w:w="1188" w:type="dxa"/>
            <w:tcBorders>
              <w:top w:val="single" w:sz="12" w:space="0" w:color="auto"/>
              <w:left w:val="nil"/>
              <w:bottom w:val="single" w:sz="4" w:space="0" w:color="auto"/>
            </w:tcBorders>
            <w:shd w:val="clear" w:color="auto" w:fill="auto"/>
            <w:noWrap/>
            <w:vAlign w:val="bottom"/>
            <w:hideMark/>
          </w:tcPr>
          <w:p w14:paraId="3F8ABA82" w14:textId="77777777" w:rsidR="003E0F58" w:rsidRPr="0093556C" w:rsidRDefault="003E0F58" w:rsidP="004D2249">
            <w:pPr>
              <w:jc w:val="left"/>
              <w:rPr>
                <w:rFonts w:cs="Times New Roman"/>
                <w:color w:val="000000"/>
                <w:sz w:val="20"/>
                <w:szCs w:val="20"/>
                <w:lang w:val="cs-CZ"/>
              </w:rPr>
            </w:pPr>
            <w:r w:rsidRPr="0093556C">
              <w:rPr>
                <w:rFonts w:cs="Times New Roman"/>
                <w:color w:val="000000"/>
                <w:sz w:val="20"/>
                <w:szCs w:val="20"/>
                <w:lang w:val="cs-CZ"/>
              </w:rPr>
              <w:t> </w:t>
            </w:r>
          </w:p>
        </w:tc>
        <w:tc>
          <w:tcPr>
            <w:tcW w:w="1188" w:type="dxa"/>
            <w:tcBorders>
              <w:top w:val="single" w:sz="12" w:space="0" w:color="auto"/>
              <w:left w:val="nil"/>
              <w:bottom w:val="single" w:sz="4" w:space="0" w:color="auto"/>
            </w:tcBorders>
            <w:shd w:val="clear" w:color="auto" w:fill="auto"/>
            <w:noWrap/>
            <w:vAlign w:val="bottom"/>
            <w:hideMark/>
          </w:tcPr>
          <w:p w14:paraId="4821E69E" w14:textId="77777777" w:rsidR="003E0F58" w:rsidRPr="0093556C" w:rsidRDefault="003E0F58" w:rsidP="004D2249">
            <w:pPr>
              <w:jc w:val="left"/>
              <w:rPr>
                <w:rFonts w:cs="Times New Roman"/>
                <w:color w:val="000000"/>
                <w:sz w:val="20"/>
                <w:szCs w:val="20"/>
                <w:lang w:val="cs-CZ"/>
              </w:rPr>
            </w:pPr>
            <w:r w:rsidRPr="0093556C">
              <w:rPr>
                <w:rFonts w:cs="Times New Roman"/>
                <w:color w:val="000000"/>
                <w:sz w:val="20"/>
                <w:szCs w:val="20"/>
                <w:lang w:val="cs-CZ"/>
              </w:rPr>
              <w:t> </w:t>
            </w:r>
          </w:p>
        </w:tc>
        <w:tc>
          <w:tcPr>
            <w:tcW w:w="1188" w:type="dxa"/>
            <w:tcBorders>
              <w:top w:val="single" w:sz="12" w:space="0" w:color="auto"/>
              <w:left w:val="nil"/>
              <w:bottom w:val="single" w:sz="4" w:space="0" w:color="auto"/>
            </w:tcBorders>
            <w:shd w:val="clear" w:color="auto" w:fill="auto"/>
            <w:noWrap/>
            <w:vAlign w:val="bottom"/>
            <w:hideMark/>
          </w:tcPr>
          <w:p w14:paraId="5799099F" w14:textId="77777777" w:rsidR="003E0F58" w:rsidRPr="0093556C" w:rsidRDefault="003E0F58" w:rsidP="004D2249">
            <w:pPr>
              <w:jc w:val="left"/>
              <w:rPr>
                <w:rFonts w:cs="Times New Roman"/>
                <w:color w:val="000000"/>
                <w:sz w:val="20"/>
                <w:szCs w:val="20"/>
                <w:lang w:val="cs-CZ"/>
              </w:rPr>
            </w:pPr>
            <w:r w:rsidRPr="0093556C">
              <w:rPr>
                <w:rFonts w:cs="Times New Roman"/>
                <w:color w:val="000000"/>
                <w:sz w:val="20"/>
                <w:szCs w:val="20"/>
                <w:lang w:val="cs-CZ"/>
              </w:rPr>
              <w:t> </w:t>
            </w:r>
          </w:p>
        </w:tc>
        <w:tc>
          <w:tcPr>
            <w:tcW w:w="1188" w:type="dxa"/>
            <w:tcBorders>
              <w:top w:val="single" w:sz="12" w:space="0" w:color="auto"/>
              <w:left w:val="nil"/>
              <w:bottom w:val="single" w:sz="4" w:space="0" w:color="auto"/>
            </w:tcBorders>
            <w:shd w:val="clear" w:color="auto" w:fill="auto"/>
            <w:noWrap/>
            <w:vAlign w:val="bottom"/>
            <w:hideMark/>
          </w:tcPr>
          <w:p w14:paraId="25130AE1" w14:textId="77777777" w:rsidR="003E0F58" w:rsidRPr="0093556C" w:rsidRDefault="003E0F58" w:rsidP="004D2249">
            <w:pPr>
              <w:jc w:val="left"/>
              <w:rPr>
                <w:rFonts w:cs="Times New Roman"/>
                <w:color w:val="000000"/>
                <w:sz w:val="20"/>
                <w:szCs w:val="20"/>
                <w:lang w:val="cs-CZ"/>
              </w:rPr>
            </w:pPr>
            <w:r w:rsidRPr="0093556C">
              <w:rPr>
                <w:rFonts w:cs="Times New Roman"/>
                <w:color w:val="000000"/>
                <w:sz w:val="20"/>
                <w:szCs w:val="20"/>
                <w:lang w:val="cs-CZ"/>
              </w:rPr>
              <w:t> </w:t>
            </w:r>
          </w:p>
        </w:tc>
        <w:tc>
          <w:tcPr>
            <w:tcW w:w="1188" w:type="dxa"/>
            <w:tcBorders>
              <w:top w:val="single" w:sz="12" w:space="0" w:color="auto"/>
              <w:left w:val="nil"/>
              <w:bottom w:val="single" w:sz="4" w:space="0" w:color="auto"/>
            </w:tcBorders>
            <w:shd w:val="clear" w:color="auto" w:fill="auto"/>
            <w:noWrap/>
            <w:vAlign w:val="bottom"/>
            <w:hideMark/>
          </w:tcPr>
          <w:p w14:paraId="669525B7" w14:textId="77777777" w:rsidR="003E0F58" w:rsidRPr="0093556C" w:rsidRDefault="003E0F58" w:rsidP="004D2249">
            <w:pPr>
              <w:jc w:val="left"/>
              <w:rPr>
                <w:rFonts w:cs="Times New Roman"/>
                <w:color w:val="000000"/>
                <w:sz w:val="20"/>
                <w:szCs w:val="20"/>
                <w:lang w:val="cs-CZ"/>
              </w:rPr>
            </w:pPr>
            <w:r w:rsidRPr="0093556C">
              <w:rPr>
                <w:rFonts w:cs="Times New Roman"/>
                <w:color w:val="000000"/>
                <w:sz w:val="20"/>
                <w:szCs w:val="20"/>
                <w:lang w:val="cs-CZ"/>
              </w:rPr>
              <w:t> </w:t>
            </w:r>
          </w:p>
        </w:tc>
        <w:tc>
          <w:tcPr>
            <w:tcW w:w="1188" w:type="dxa"/>
            <w:tcBorders>
              <w:top w:val="single" w:sz="12" w:space="0" w:color="auto"/>
              <w:left w:val="nil"/>
              <w:bottom w:val="single" w:sz="4" w:space="0" w:color="auto"/>
            </w:tcBorders>
            <w:shd w:val="clear" w:color="auto" w:fill="auto"/>
            <w:noWrap/>
            <w:vAlign w:val="bottom"/>
            <w:hideMark/>
          </w:tcPr>
          <w:p w14:paraId="02D4BE5E" w14:textId="77777777" w:rsidR="003E0F58" w:rsidRPr="0093556C" w:rsidRDefault="003E0F58" w:rsidP="004D2249">
            <w:pPr>
              <w:jc w:val="left"/>
              <w:rPr>
                <w:rFonts w:cs="Times New Roman"/>
                <w:color w:val="000000"/>
                <w:sz w:val="20"/>
                <w:szCs w:val="20"/>
                <w:lang w:val="cs-CZ"/>
              </w:rPr>
            </w:pPr>
            <w:r w:rsidRPr="0093556C">
              <w:rPr>
                <w:rFonts w:cs="Times New Roman"/>
                <w:color w:val="000000"/>
                <w:sz w:val="20"/>
                <w:szCs w:val="20"/>
                <w:lang w:val="cs-CZ"/>
              </w:rPr>
              <w:t> </w:t>
            </w:r>
          </w:p>
        </w:tc>
        <w:tc>
          <w:tcPr>
            <w:tcW w:w="1188" w:type="dxa"/>
            <w:tcBorders>
              <w:top w:val="single" w:sz="12" w:space="0" w:color="auto"/>
              <w:left w:val="nil"/>
              <w:bottom w:val="single" w:sz="4" w:space="0" w:color="auto"/>
            </w:tcBorders>
            <w:shd w:val="clear" w:color="auto" w:fill="auto"/>
            <w:noWrap/>
            <w:vAlign w:val="bottom"/>
            <w:hideMark/>
          </w:tcPr>
          <w:p w14:paraId="3697CA4E" w14:textId="77777777" w:rsidR="003E0F58" w:rsidRPr="0093556C" w:rsidRDefault="003E0F58" w:rsidP="004D2249">
            <w:pPr>
              <w:jc w:val="left"/>
              <w:rPr>
                <w:rFonts w:cs="Times New Roman"/>
                <w:color w:val="000000"/>
                <w:sz w:val="20"/>
                <w:szCs w:val="20"/>
                <w:lang w:val="cs-CZ"/>
              </w:rPr>
            </w:pPr>
            <w:r w:rsidRPr="0093556C">
              <w:rPr>
                <w:rFonts w:cs="Times New Roman"/>
                <w:color w:val="000000"/>
                <w:sz w:val="20"/>
                <w:szCs w:val="20"/>
                <w:lang w:val="cs-CZ"/>
              </w:rPr>
              <w:t> </w:t>
            </w:r>
          </w:p>
        </w:tc>
        <w:tc>
          <w:tcPr>
            <w:tcW w:w="1207" w:type="dxa"/>
            <w:tcBorders>
              <w:top w:val="single" w:sz="12" w:space="0" w:color="auto"/>
              <w:left w:val="nil"/>
              <w:bottom w:val="single" w:sz="4" w:space="0" w:color="auto"/>
              <w:right w:val="single" w:sz="12" w:space="0" w:color="auto"/>
            </w:tcBorders>
            <w:shd w:val="clear" w:color="auto" w:fill="auto"/>
            <w:noWrap/>
            <w:vAlign w:val="bottom"/>
            <w:hideMark/>
          </w:tcPr>
          <w:p w14:paraId="7838E7FA" w14:textId="77777777" w:rsidR="003E0F58" w:rsidRPr="0093556C" w:rsidRDefault="003E0F58" w:rsidP="004D2249">
            <w:pPr>
              <w:jc w:val="left"/>
              <w:rPr>
                <w:rFonts w:cs="Times New Roman"/>
                <w:color w:val="000000"/>
                <w:sz w:val="20"/>
                <w:szCs w:val="20"/>
                <w:lang w:val="cs-CZ"/>
              </w:rPr>
            </w:pPr>
            <w:r w:rsidRPr="0093556C">
              <w:rPr>
                <w:rFonts w:cs="Times New Roman"/>
                <w:color w:val="000000"/>
                <w:sz w:val="20"/>
                <w:szCs w:val="20"/>
                <w:lang w:val="cs-CZ"/>
              </w:rPr>
              <w:t> </w:t>
            </w:r>
          </w:p>
        </w:tc>
      </w:tr>
      <w:tr w:rsidR="003E0F58" w:rsidRPr="0093556C" w14:paraId="443759EF" w14:textId="77777777" w:rsidTr="004D2249">
        <w:trPr>
          <w:trHeight w:val="278"/>
        </w:trPr>
        <w:tc>
          <w:tcPr>
            <w:tcW w:w="3219" w:type="dxa"/>
            <w:tcBorders>
              <w:top w:val="nil"/>
              <w:left w:val="single" w:sz="12" w:space="0" w:color="auto"/>
              <w:bottom w:val="dotted" w:sz="4" w:space="0" w:color="auto"/>
              <w:right w:val="single" w:sz="12" w:space="0" w:color="auto"/>
            </w:tcBorders>
            <w:shd w:val="clear" w:color="auto" w:fill="auto"/>
            <w:noWrap/>
            <w:vAlign w:val="bottom"/>
            <w:hideMark/>
          </w:tcPr>
          <w:p w14:paraId="3B8183B4" w14:textId="77777777" w:rsidR="003E0F58" w:rsidRPr="0093556C" w:rsidRDefault="003E0F58" w:rsidP="004D2249">
            <w:pPr>
              <w:jc w:val="left"/>
              <w:rPr>
                <w:rFonts w:cs="Times New Roman"/>
                <w:i/>
                <w:iCs/>
                <w:color w:val="000000"/>
                <w:sz w:val="20"/>
                <w:szCs w:val="20"/>
                <w:lang w:val="cs-CZ"/>
              </w:rPr>
            </w:pPr>
            <w:r w:rsidRPr="0093556C">
              <w:rPr>
                <w:rFonts w:cs="Times New Roman"/>
                <w:i/>
                <w:iCs/>
                <w:color w:val="000000"/>
                <w:sz w:val="20"/>
                <w:szCs w:val="20"/>
                <w:lang w:val="cs-CZ"/>
              </w:rPr>
              <w:t>celkem [tis.t.]</w:t>
            </w:r>
          </w:p>
        </w:tc>
        <w:tc>
          <w:tcPr>
            <w:tcW w:w="1170" w:type="dxa"/>
            <w:tcBorders>
              <w:top w:val="nil"/>
              <w:left w:val="single" w:sz="12" w:space="0" w:color="auto"/>
              <w:bottom w:val="dotted" w:sz="4" w:space="0" w:color="auto"/>
              <w:right w:val="single" w:sz="4" w:space="0" w:color="auto"/>
            </w:tcBorders>
            <w:shd w:val="clear" w:color="auto" w:fill="auto"/>
            <w:noWrap/>
            <w:vAlign w:val="bottom"/>
            <w:hideMark/>
          </w:tcPr>
          <w:p w14:paraId="72A6516D" w14:textId="77777777" w:rsidR="003E0F58" w:rsidRPr="0093556C" w:rsidRDefault="003E0F58" w:rsidP="004D2249">
            <w:pPr>
              <w:jc w:val="right"/>
              <w:rPr>
                <w:rFonts w:cs="Times New Roman"/>
                <w:i/>
                <w:iCs/>
                <w:color w:val="000000"/>
                <w:sz w:val="20"/>
                <w:szCs w:val="20"/>
                <w:lang w:val="cs-CZ"/>
              </w:rPr>
            </w:pPr>
            <w:r w:rsidRPr="0093556C">
              <w:rPr>
                <w:rFonts w:cs="Times New Roman"/>
                <w:i/>
                <w:iCs/>
                <w:color w:val="000000"/>
                <w:sz w:val="20"/>
                <w:szCs w:val="20"/>
                <w:lang w:val="cs-CZ"/>
              </w:rPr>
              <w:t>2232,25</w:t>
            </w:r>
          </w:p>
        </w:tc>
        <w:tc>
          <w:tcPr>
            <w:tcW w:w="1188" w:type="dxa"/>
            <w:tcBorders>
              <w:top w:val="nil"/>
              <w:left w:val="nil"/>
              <w:bottom w:val="dotted" w:sz="4" w:space="0" w:color="auto"/>
              <w:right w:val="single" w:sz="4" w:space="0" w:color="auto"/>
            </w:tcBorders>
            <w:shd w:val="clear" w:color="auto" w:fill="auto"/>
            <w:noWrap/>
            <w:vAlign w:val="bottom"/>
            <w:hideMark/>
          </w:tcPr>
          <w:p w14:paraId="718EB5E9" w14:textId="77777777" w:rsidR="003E0F58" w:rsidRPr="0093556C" w:rsidRDefault="003E0F58" w:rsidP="004D2249">
            <w:pPr>
              <w:jc w:val="right"/>
              <w:rPr>
                <w:rFonts w:cs="Times New Roman"/>
                <w:i/>
                <w:iCs/>
                <w:color w:val="000000"/>
                <w:sz w:val="20"/>
                <w:szCs w:val="20"/>
                <w:lang w:val="cs-CZ"/>
              </w:rPr>
            </w:pPr>
            <w:r w:rsidRPr="0093556C">
              <w:rPr>
                <w:rFonts w:cs="Times New Roman"/>
                <w:i/>
                <w:iCs/>
                <w:color w:val="000000"/>
                <w:sz w:val="20"/>
                <w:szCs w:val="20"/>
                <w:lang w:val="cs-CZ"/>
              </w:rPr>
              <w:t>2328,09</w:t>
            </w:r>
          </w:p>
        </w:tc>
        <w:tc>
          <w:tcPr>
            <w:tcW w:w="1188" w:type="dxa"/>
            <w:tcBorders>
              <w:top w:val="nil"/>
              <w:left w:val="nil"/>
              <w:bottom w:val="dotted" w:sz="4" w:space="0" w:color="auto"/>
              <w:right w:val="single" w:sz="4" w:space="0" w:color="auto"/>
            </w:tcBorders>
            <w:shd w:val="clear" w:color="auto" w:fill="auto"/>
            <w:noWrap/>
            <w:vAlign w:val="bottom"/>
            <w:hideMark/>
          </w:tcPr>
          <w:p w14:paraId="0AE59A78" w14:textId="77777777" w:rsidR="003E0F58" w:rsidRPr="0093556C" w:rsidRDefault="003E0F58" w:rsidP="004D2249">
            <w:pPr>
              <w:jc w:val="right"/>
              <w:rPr>
                <w:rFonts w:cs="Times New Roman"/>
                <w:i/>
                <w:iCs/>
                <w:color w:val="000000"/>
                <w:sz w:val="20"/>
                <w:szCs w:val="20"/>
                <w:lang w:val="cs-CZ"/>
              </w:rPr>
            </w:pPr>
            <w:r w:rsidRPr="0093556C">
              <w:rPr>
                <w:rFonts w:cs="Times New Roman"/>
                <w:i/>
                <w:iCs/>
                <w:color w:val="000000"/>
                <w:sz w:val="20"/>
                <w:szCs w:val="20"/>
                <w:lang w:val="cs-CZ"/>
              </w:rPr>
              <w:t>2340,34</w:t>
            </w:r>
          </w:p>
        </w:tc>
        <w:tc>
          <w:tcPr>
            <w:tcW w:w="1188" w:type="dxa"/>
            <w:tcBorders>
              <w:top w:val="nil"/>
              <w:left w:val="nil"/>
              <w:bottom w:val="dotted" w:sz="4" w:space="0" w:color="auto"/>
              <w:right w:val="single" w:sz="4" w:space="0" w:color="auto"/>
            </w:tcBorders>
            <w:shd w:val="clear" w:color="auto" w:fill="auto"/>
            <w:noWrap/>
            <w:vAlign w:val="bottom"/>
            <w:hideMark/>
          </w:tcPr>
          <w:p w14:paraId="25639396" w14:textId="77777777" w:rsidR="003E0F58" w:rsidRPr="0093556C" w:rsidRDefault="003E0F58" w:rsidP="004D2249">
            <w:pPr>
              <w:jc w:val="right"/>
              <w:rPr>
                <w:rFonts w:cs="Times New Roman"/>
                <w:i/>
                <w:iCs/>
                <w:color w:val="000000"/>
                <w:sz w:val="20"/>
                <w:szCs w:val="20"/>
                <w:lang w:val="cs-CZ"/>
              </w:rPr>
            </w:pPr>
            <w:r w:rsidRPr="0093556C">
              <w:rPr>
                <w:rFonts w:cs="Times New Roman"/>
                <w:i/>
                <w:iCs/>
                <w:color w:val="000000"/>
                <w:sz w:val="20"/>
                <w:szCs w:val="20"/>
                <w:lang w:val="cs-CZ"/>
              </w:rPr>
              <w:t>2354,32</w:t>
            </w:r>
          </w:p>
        </w:tc>
        <w:tc>
          <w:tcPr>
            <w:tcW w:w="1188" w:type="dxa"/>
            <w:tcBorders>
              <w:top w:val="nil"/>
              <w:left w:val="nil"/>
              <w:bottom w:val="dotted" w:sz="4" w:space="0" w:color="auto"/>
              <w:right w:val="single" w:sz="4" w:space="0" w:color="auto"/>
            </w:tcBorders>
            <w:shd w:val="clear" w:color="auto" w:fill="auto"/>
            <w:noWrap/>
            <w:vAlign w:val="bottom"/>
            <w:hideMark/>
          </w:tcPr>
          <w:p w14:paraId="7821987D" w14:textId="77777777" w:rsidR="003E0F58" w:rsidRPr="0093556C" w:rsidRDefault="003E0F58" w:rsidP="004D2249">
            <w:pPr>
              <w:jc w:val="right"/>
              <w:rPr>
                <w:rFonts w:cs="Times New Roman"/>
                <w:i/>
                <w:iCs/>
                <w:color w:val="000000"/>
                <w:sz w:val="20"/>
                <w:szCs w:val="20"/>
                <w:lang w:val="cs-CZ"/>
              </w:rPr>
            </w:pPr>
            <w:r w:rsidRPr="0093556C">
              <w:rPr>
                <w:rFonts w:cs="Times New Roman"/>
                <w:i/>
                <w:iCs/>
                <w:color w:val="000000"/>
                <w:sz w:val="20"/>
                <w:szCs w:val="20"/>
                <w:lang w:val="cs-CZ"/>
              </w:rPr>
              <w:t>2370,52</w:t>
            </w:r>
          </w:p>
        </w:tc>
        <w:tc>
          <w:tcPr>
            <w:tcW w:w="1188" w:type="dxa"/>
            <w:tcBorders>
              <w:top w:val="nil"/>
              <w:left w:val="nil"/>
              <w:bottom w:val="dotted" w:sz="4" w:space="0" w:color="auto"/>
              <w:right w:val="single" w:sz="4" w:space="0" w:color="auto"/>
            </w:tcBorders>
            <w:shd w:val="clear" w:color="auto" w:fill="auto"/>
            <w:noWrap/>
            <w:vAlign w:val="bottom"/>
            <w:hideMark/>
          </w:tcPr>
          <w:p w14:paraId="3BE3D9B0" w14:textId="77777777" w:rsidR="003E0F58" w:rsidRPr="0093556C" w:rsidRDefault="003E0F58" w:rsidP="004D2249">
            <w:pPr>
              <w:jc w:val="right"/>
              <w:rPr>
                <w:rFonts w:cs="Times New Roman"/>
                <w:i/>
                <w:iCs/>
                <w:color w:val="000000"/>
                <w:sz w:val="20"/>
                <w:szCs w:val="20"/>
                <w:lang w:val="cs-CZ"/>
              </w:rPr>
            </w:pPr>
            <w:r w:rsidRPr="0093556C">
              <w:rPr>
                <w:rFonts w:cs="Times New Roman"/>
                <w:i/>
                <w:iCs/>
                <w:color w:val="000000"/>
                <w:sz w:val="20"/>
                <w:szCs w:val="20"/>
                <w:lang w:val="cs-CZ"/>
              </w:rPr>
              <w:t>2384,72</w:t>
            </w:r>
          </w:p>
        </w:tc>
        <w:tc>
          <w:tcPr>
            <w:tcW w:w="1188" w:type="dxa"/>
            <w:tcBorders>
              <w:top w:val="nil"/>
              <w:left w:val="nil"/>
              <w:bottom w:val="dotted" w:sz="4" w:space="0" w:color="auto"/>
              <w:right w:val="single" w:sz="4" w:space="0" w:color="auto"/>
            </w:tcBorders>
            <w:shd w:val="clear" w:color="auto" w:fill="auto"/>
            <w:noWrap/>
            <w:vAlign w:val="bottom"/>
            <w:hideMark/>
          </w:tcPr>
          <w:p w14:paraId="2F230C88" w14:textId="77777777" w:rsidR="003E0F58" w:rsidRPr="0093556C" w:rsidRDefault="003E0F58" w:rsidP="004D2249">
            <w:pPr>
              <w:jc w:val="right"/>
              <w:rPr>
                <w:rFonts w:cs="Times New Roman"/>
                <w:i/>
                <w:iCs/>
                <w:color w:val="000000"/>
                <w:sz w:val="20"/>
                <w:szCs w:val="20"/>
                <w:lang w:val="cs-CZ"/>
              </w:rPr>
            </w:pPr>
            <w:r w:rsidRPr="0093556C">
              <w:rPr>
                <w:rFonts w:cs="Times New Roman"/>
                <w:i/>
                <w:iCs/>
                <w:color w:val="000000"/>
                <w:sz w:val="20"/>
                <w:szCs w:val="20"/>
                <w:lang w:val="cs-CZ"/>
              </w:rPr>
              <w:t>2393,99</w:t>
            </w:r>
          </w:p>
        </w:tc>
        <w:tc>
          <w:tcPr>
            <w:tcW w:w="1188" w:type="dxa"/>
            <w:tcBorders>
              <w:top w:val="nil"/>
              <w:left w:val="nil"/>
              <w:bottom w:val="dotted" w:sz="4" w:space="0" w:color="auto"/>
            </w:tcBorders>
            <w:shd w:val="clear" w:color="auto" w:fill="auto"/>
            <w:noWrap/>
            <w:vAlign w:val="bottom"/>
            <w:hideMark/>
          </w:tcPr>
          <w:p w14:paraId="6EA47DD8" w14:textId="77777777" w:rsidR="003E0F58" w:rsidRPr="0093556C" w:rsidRDefault="003E0F58" w:rsidP="004D2249">
            <w:pPr>
              <w:jc w:val="right"/>
              <w:rPr>
                <w:rFonts w:cs="Times New Roman"/>
                <w:i/>
                <w:iCs/>
                <w:color w:val="000000"/>
                <w:sz w:val="20"/>
                <w:szCs w:val="20"/>
                <w:lang w:val="cs-CZ"/>
              </w:rPr>
            </w:pPr>
            <w:r w:rsidRPr="0093556C">
              <w:rPr>
                <w:rFonts w:cs="Times New Roman"/>
                <w:i/>
                <w:iCs/>
                <w:color w:val="000000"/>
                <w:sz w:val="20"/>
                <w:szCs w:val="20"/>
                <w:lang w:val="cs-CZ"/>
              </w:rPr>
              <w:t>2407,07</w:t>
            </w:r>
          </w:p>
        </w:tc>
        <w:tc>
          <w:tcPr>
            <w:tcW w:w="1188" w:type="dxa"/>
            <w:tcBorders>
              <w:top w:val="nil"/>
              <w:left w:val="nil"/>
              <w:bottom w:val="dotted" w:sz="4" w:space="0" w:color="auto"/>
              <w:right w:val="single" w:sz="4" w:space="0" w:color="auto"/>
            </w:tcBorders>
            <w:shd w:val="clear" w:color="auto" w:fill="auto"/>
            <w:noWrap/>
            <w:vAlign w:val="bottom"/>
            <w:hideMark/>
          </w:tcPr>
          <w:p w14:paraId="377CA967" w14:textId="77777777" w:rsidR="003E0F58" w:rsidRPr="0093556C" w:rsidRDefault="003E0F58" w:rsidP="004D2249">
            <w:pPr>
              <w:jc w:val="right"/>
              <w:rPr>
                <w:rFonts w:cs="Times New Roman"/>
                <w:i/>
                <w:iCs/>
                <w:color w:val="000000"/>
                <w:sz w:val="20"/>
                <w:szCs w:val="20"/>
                <w:lang w:val="cs-CZ"/>
              </w:rPr>
            </w:pPr>
            <w:r w:rsidRPr="0093556C">
              <w:rPr>
                <w:rFonts w:cs="Times New Roman"/>
                <w:i/>
                <w:iCs/>
                <w:color w:val="000000"/>
                <w:sz w:val="20"/>
                <w:szCs w:val="20"/>
                <w:lang w:val="cs-CZ"/>
              </w:rPr>
              <w:t>2422,25</w:t>
            </w:r>
          </w:p>
        </w:tc>
        <w:tc>
          <w:tcPr>
            <w:tcW w:w="1188" w:type="dxa"/>
            <w:tcBorders>
              <w:top w:val="nil"/>
              <w:left w:val="nil"/>
              <w:bottom w:val="dotted" w:sz="4" w:space="0" w:color="auto"/>
              <w:right w:val="single" w:sz="4" w:space="0" w:color="auto"/>
            </w:tcBorders>
            <w:shd w:val="clear" w:color="auto" w:fill="auto"/>
            <w:noWrap/>
            <w:vAlign w:val="bottom"/>
            <w:hideMark/>
          </w:tcPr>
          <w:p w14:paraId="447B977B" w14:textId="77777777" w:rsidR="003E0F58" w:rsidRPr="0093556C" w:rsidRDefault="003E0F58" w:rsidP="004D2249">
            <w:pPr>
              <w:jc w:val="right"/>
              <w:rPr>
                <w:rFonts w:cs="Times New Roman"/>
                <w:i/>
                <w:iCs/>
                <w:color w:val="000000"/>
                <w:sz w:val="20"/>
                <w:szCs w:val="20"/>
                <w:lang w:val="cs-CZ"/>
              </w:rPr>
            </w:pPr>
            <w:r w:rsidRPr="0093556C">
              <w:rPr>
                <w:rFonts w:cs="Times New Roman"/>
                <w:i/>
                <w:iCs/>
                <w:color w:val="000000"/>
                <w:sz w:val="20"/>
                <w:szCs w:val="20"/>
                <w:lang w:val="cs-CZ"/>
              </w:rPr>
              <w:t>2439,44</w:t>
            </w:r>
          </w:p>
        </w:tc>
        <w:tc>
          <w:tcPr>
            <w:tcW w:w="1207" w:type="dxa"/>
            <w:tcBorders>
              <w:top w:val="nil"/>
              <w:left w:val="nil"/>
              <w:bottom w:val="dotted" w:sz="4" w:space="0" w:color="auto"/>
              <w:right w:val="single" w:sz="12" w:space="0" w:color="auto"/>
            </w:tcBorders>
            <w:shd w:val="clear" w:color="auto" w:fill="auto"/>
            <w:noWrap/>
            <w:vAlign w:val="bottom"/>
            <w:hideMark/>
          </w:tcPr>
          <w:p w14:paraId="546F12F6" w14:textId="77777777" w:rsidR="003E0F58" w:rsidRPr="0093556C" w:rsidRDefault="003E0F58" w:rsidP="004D2249">
            <w:pPr>
              <w:jc w:val="right"/>
              <w:rPr>
                <w:rFonts w:cs="Times New Roman"/>
                <w:i/>
                <w:iCs/>
                <w:color w:val="000000"/>
                <w:sz w:val="20"/>
                <w:szCs w:val="20"/>
                <w:lang w:val="cs-CZ"/>
              </w:rPr>
            </w:pPr>
            <w:r w:rsidRPr="0093556C">
              <w:rPr>
                <w:rFonts w:cs="Times New Roman"/>
                <w:i/>
                <w:iCs/>
                <w:color w:val="000000"/>
                <w:sz w:val="20"/>
                <w:szCs w:val="20"/>
                <w:lang w:val="cs-CZ"/>
              </w:rPr>
              <w:t>2452,73</w:t>
            </w:r>
          </w:p>
        </w:tc>
      </w:tr>
      <w:tr w:rsidR="003E0F58" w:rsidRPr="0093556C" w14:paraId="6E94C504" w14:textId="77777777" w:rsidTr="004D2249">
        <w:trPr>
          <w:trHeight w:val="278"/>
        </w:trPr>
        <w:tc>
          <w:tcPr>
            <w:tcW w:w="3219" w:type="dxa"/>
            <w:tcBorders>
              <w:top w:val="dotted" w:sz="4" w:space="0" w:color="auto"/>
              <w:left w:val="single" w:sz="12" w:space="0" w:color="auto"/>
              <w:bottom w:val="single" w:sz="4" w:space="0" w:color="auto"/>
              <w:right w:val="single" w:sz="12" w:space="0" w:color="auto"/>
            </w:tcBorders>
            <w:shd w:val="clear" w:color="auto" w:fill="auto"/>
            <w:noWrap/>
            <w:vAlign w:val="bottom"/>
            <w:hideMark/>
          </w:tcPr>
          <w:p w14:paraId="1A81F540" w14:textId="77777777" w:rsidR="003E0F58" w:rsidRPr="0093556C" w:rsidRDefault="003E0F58" w:rsidP="004D2249">
            <w:pPr>
              <w:jc w:val="left"/>
              <w:rPr>
                <w:rFonts w:cs="Times New Roman"/>
                <w:b/>
                <w:bCs/>
                <w:color w:val="000000"/>
                <w:sz w:val="20"/>
                <w:szCs w:val="20"/>
                <w:lang w:val="cs-CZ"/>
              </w:rPr>
            </w:pPr>
            <w:r w:rsidRPr="0093556C">
              <w:rPr>
                <w:rFonts w:cs="Times New Roman"/>
                <w:b/>
                <w:bCs/>
                <w:color w:val="000000"/>
                <w:sz w:val="20"/>
                <w:szCs w:val="20"/>
                <w:lang w:val="cs-CZ"/>
              </w:rPr>
              <w:t>celkem [tis. ha]</w:t>
            </w:r>
          </w:p>
        </w:tc>
        <w:tc>
          <w:tcPr>
            <w:tcW w:w="1170" w:type="dxa"/>
            <w:tcBorders>
              <w:top w:val="dotted" w:sz="4" w:space="0" w:color="auto"/>
              <w:left w:val="single" w:sz="12" w:space="0" w:color="auto"/>
              <w:bottom w:val="single" w:sz="4" w:space="0" w:color="auto"/>
              <w:right w:val="single" w:sz="4" w:space="0" w:color="auto"/>
            </w:tcBorders>
            <w:shd w:val="clear" w:color="auto" w:fill="auto"/>
            <w:noWrap/>
            <w:vAlign w:val="bottom"/>
            <w:hideMark/>
          </w:tcPr>
          <w:p w14:paraId="06AA6069"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227,76</w:t>
            </w:r>
          </w:p>
        </w:tc>
        <w:tc>
          <w:tcPr>
            <w:tcW w:w="1188" w:type="dxa"/>
            <w:tcBorders>
              <w:top w:val="dotted" w:sz="4" w:space="0" w:color="auto"/>
              <w:left w:val="nil"/>
              <w:bottom w:val="single" w:sz="4" w:space="0" w:color="auto"/>
              <w:right w:val="single" w:sz="4" w:space="0" w:color="auto"/>
            </w:tcBorders>
            <w:shd w:val="clear" w:color="auto" w:fill="auto"/>
            <w:noWrap/>
            <w:vAlign w:val="bottom"/>
            <w:hideMark/>
          </w:tcPr>
          <w:p w14:paraId="51414C8C"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237,54</w:t>
            </w:r>
          </w:p>
        </w:tc>
        <w:tc>
          <w:tcPr>
            <w:tcW w:w="1188" w:type="dxa"/>
            <w:tcBorders>
              <w:top w:val="dotted" w:sz="4" w:space="0" w:color="auto"/>
              <w:left w:val="nil"/>
              <w:bottom w:val="single" w:sz="4" w:space="0" w:color="auto"/>
              <w:right w:val="single" w:sz="4" w:space="0" w:color="auto"/>
            </w:tcBorders>
            <w:shd w:val="clear" w:color="auto" w:fill="auto"/>
            <w:noWrap/>
            <w:vAlign w:val="bottom"/>
            <w:hideMark/>
          </w:tcPr>
          <w:p w14:paraId="51227DBC"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238,78</w:t>
            </w:r>
          </w:p>
        </w:tc>
        <w:tc>
          <w:tcPr>
            <w:tcW w:w="1188" w:type="dxa"/>
            <w:tcBorders>
              <w:top w:val="dotted" w:sz="4" w:space="0" w:color="auto"/>
              <w:left w:val="nil"/>
              <w:bottom w:val="single" w:sz="4" w:space="0" w:color="auto"/>
              <w:right w:val="single" w:sz="4" w:space="0" w:color="auto"/>
            </w:tcBorders>
            <w:shd w:val="clear" w:color="auto" w:fill="auto"/>
            <w:noWrap/>
            <w:vAlign w:val="bottom"/>
            <w:hideMark/>
          </w:tcPr>
          <w:p w14:paraId="333E7E33"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240,21</w:t>
            </w:r>
          </w:p>
        </w:tc>
        <w:tc>
          <w:tcPr>
            <w:tcW w:w="1188" w:type="dxa"/>
            <w:tcBorders>
              <w:top w:val="dotted" w:sz="4" w:space="0" w:color="auto"/>
              <w:left w:val="nil"/>
              <w:bottom w:val="single" w:sz="4" w:space="0" w:color="auto"/>
              <w:right w:val="single" w:sz="4" w:space="0" w:color="auto"/>
            </w:tcBorders>
            <w:shd w:val="clear" w:color="auto" w:fill="auto"/>
            <w:noWrap/>
            <w:vAlign w:val="bottom"/>
            <w:hideMark/>
          </w:tcPr>
          <w:p w14:paraId="7F7C2963"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241,86</w:t>
            </w:r>
          </w:p>
        </w:tc>
        <w:tc>
          <w:tcPr>
            <w:tcW w:w="1188" w:type="dxa"/>
            <w:tcBorders>
              <w:top w:val="dotted" w:sz="4" w:space="0" w:color="auto"/>
              <w:left w:val="nil"/>
              <w:bottom w:val="single" w:sz="4" w:space="0" w:color="auto"/>
              <w:right w:val="single" w:sz="4" w:space="0" w:color="auto"/>
            </w:tcBorders>
            <w:shd w:val="clear" w:color="auto" w:fill="auto"/>
            <w:noWrap/>
            <w:vAlign w:val="bottom"/>
            <w:hideMark/>
          </w:tcPr>
          <w:p w14:paraId="594CCA60"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243,31</w:t>
            </w:r>
          </w:p>
        </w:tc>
        <w:tc>
          <w:tcPr>
            <w:tcW w:w="1188" w:type="dxa"/>
            <w:tcBorders>
              <w:top w:val="dotted" w:sz="4" w:space="0" w:color="auto"/>
              <w:left w:val="nil"/>
              <w:bottom w:val="single" w:sz="4" w:space="0" w:color="auto"/>
              <w:right w:val="single" w:sz="4" w:space="0" w:color="auto"/>
            </w:tcBorders>
            <w:shd w:val="clear" w:color="auto" w:fill="auto"/>
            <w:noWrap/>
            <w:vAlign w:val="bottom"/>
            <w:hideMark/>
          </w:tcPr>
          <w:p w14:paraId="71FCB830"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244,26</w:t>
            </w:r>
          </w:p>
        </w:tc>
        <w:tc>
          <w:tcPr>
            <w:tcW w:w="1188" w:type="dxa"/>
            <w:tcBorders>
              <w:top w:val="dotted" w:sz="4" w:space="0" w:color="auto"/>
              <w:left w:val="nil"/>
              <w:bottom w:val="single" w:sz="4" w:space="0" w:color="auto"/>
              <w:right w:val="single" w:sz="4" w:space="0" w:color="auto"/>
            </w:tcBorders>
            <w:shd w:val="clear" w:color="auto" w:fill="auto"/>
            <w:noWrap/>
            <w:vAlign w:val="bottom"/>
            <w:hideMark/>
          </w:tcPr>
          <w:p w14:paraId="0732F82F"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245,59</w:t>
            </w:r>
          </w:p>
        </w:tc>
        <w:tc>
          <w:tcPr>
            <w:tcW w:w="1188" w:type="dxa"/>
            <w:tcBorders>
              <w:top w:val="dotted" w:sz="4" w:space="0" w:color="auto"/>
              <w:left w:val="nil"/>
              <w:bottom w:val="single" w:sz="4" w:space="0" w:color="auto"/>
              <w:right w:val="single" w:sz="4" w:space="0" w:color="auto"/>
            </w:tcBorders>
            <w:shd w:val="clear" w:color="auto" w:fill="auto"/>
            <w:noWrap/>
            <w:vAlign w:val="bottom"/>
            <w:hideMark/>
          </w:tcPr>
          <w:p w14:paraId="4967E888"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247,14</w:t>
            </w:r>
          </w:p>
        </w:tc>
        <w:tc>
          <w:tcPr>
            <w:tcW w:w="1188" w:type="dxa"/>
            <w:tcBorders>
              <w:top w:val="dotted" w:sz="4" w:space="0" w:color="auto"/>
              <w:left w:val="nil"/>
              <w:bottom w:val="single" w:sz="4" w:space="0" w:color="auto"/>
              <w:right w:val="single" w:sz="4" w:space="0" w:color="auto"/>
            </w:tcBorders>
            <w:shd w:val="clear" w:color="auto" w:fill="auto"/>
            <w:noWrap/>
            <w:vAlign w:val="bottom"/>
            <w:hideMark/>
          </w:tcPr>
          <w:p w14:paraId="325091DC"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248,90</w:t>
            </w:r>
          </w:p>
        </w:tc>
        <w:tc>
          <w:tcPr>
            <w:tcW w:w="1207" w:type="dxa"/>
            <w:tcBorders>
              <w:top w:val="dotted" w:sz="4" w:space="0" w:color="auto"/>
              <w:left w:val="nil"/>
              <w:bottom w:val="single" w:sz="4" w:space="0" w:color="auto"/>
              <w:right w:val="single" w:sz="12" w:space="0" w:color="auto"/>
            </w:tcBorders>
            <w:shd w:val="clear" w:color="auto" w:fill="auto"/>
            <w:noWrap/>
            <w:vAlign w:val="bottom"/>
            <w:hideMark/>
          </w:tcPr>
          <w:p w14:paraId="57F86057"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250,25</w:t>
            </w:r>
          </w:p>
        </w:tc>
      </w:tr>
      <w:tr w:rsidR="003E0F58" w:rsidRPr="0093556C" w14:paraId="5C6CBA02" w14:textId="77777777" w:rsidTr="004D2249">
        <w:trPr>
          <w:trHeight w:val="278"/>
        </w:trPr>
        <w:tc>
          <w:tcPr>
            <w:tcW w:w="3219" w:type="dxa"/>
            <w:tcBorders>
              <w:top w:val="nil"/>
              <w:left w:val="single" w:sz="12" w:space="0" w:color="auto"/>
              <w:bottom w:val="single" w:sz="4" w:space="0" w:color="auto"/>
              <w:right w:val="single" w:sz="12" w:space="0" w:color="auto"/>
            </w:tcBorders>
            <w:shd w:val="clear" w:color="auto" w:fill="auto"/>
            <w:noWrap/>
            <w:vAlign w:val="bottom"/>
            <w:hideMark/>
          </w:tcPr>
          <w:p w14:paraId="5C571B5E" w14:textId="77777777" w:rsidR="003E0F58" w:rsidRPr="0093556C" w:rsidRDefault="003E0F58" w:rsidP="004D2249">
            <w:pPr>
              <w:jc w:val="left"/>
              <w:rPr>
                <w:rFonts w:cs="Times New Roman"/>
                <w:b/>
                <w:bCs/>
                <w:color w:val="000000"/>
                <w:sz w:val="20"/>
                <w:szCs w:val="20"/>
                <w:lang w:val="cs-CZ"/>
              </w:rPr>
            </w:pPr>
            <w:r w:rsidRPr="0093556C">
              <w:rPr>
                <w:rFonts w:cs="Times New Roman"/>
                <w:b/>
                <w:bCs/>
                <w:color w:val="000000"/>
                <w:sz w:val="20"/>
                <w:szCs w:val="20"/>
                <w:lang w:val="cs-CZ"/>
              </w:rPr>
              <w:t>technická cukrovka</w:t>
            </w:r>
          </w:p>
        </w:tc>
        <w:tc>
          <w:tcPr>
            <w:tcW w:w="1170" w:type="dxa"/>
            <w:tcBorders>
              <w:top w:val="nil"/>
              <w:left w:val="single" w:sz="12" w:space="0" w:color="auto"/>
              <w:bottom w:val="single" w:sz="4" w:space="0" w:color="auto"/>
              <w:right w:val="single" w:sz="4" w:space="0" w:color="auto"/>
            </w:tcBorders>
            <w:shd w:val="clear" w:color="auto" w:fill="auto"/>
            <w:noWrap/>
            <w:vAlign w:val="bottom"/>
            <w:hideMark/>
          </w:tcPr>
          <w:p w14:paraId="14C1DB2A"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23,07</w:t>
            </w:r>
          </w:p>
        </w:tc>
        <w:tc>
          <w:tcPr>
            <w:tcW w:w="1188" w:type="dxa"/>
            <w:tcBorders>
              <w:top w:val="nil"/>
              <w:left w:val="nil"/>
              <w:bottom w:val="single" w:sz="4" w:space="0" w:color="auto"/>
              <w:right w:val="single" w:sz="4" w:space="0" w:color="auto"/>
            </w:tcBorders>
            <w:shd w:val="clear" w:color="auto" w:fill="auto"/>
            <w:noWrap/>
            <w:vAlign w:val="bottom"/>
            <w:hideMark/>
          </w:tcPr>
          <w:p w14:paraId="6C0190F4"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24,06</w:t>
            </w:r>
          </w:p>
        </w:tc>
        <w:tc>
          <w:tcPr>
            <w:tcW w:w="1188" w:type="dxa"/>
            <w:tcBorders>
              <w:top w:val="nil"/>
              <w:left w:val="nil"/>
              <w:bottom w:val="single" w:sz="4" w:space="0" w:color="auto"/>
              <w:right w:val="single" w:sz="4" w:space="0" w:color="auto"/>
            </w:tcBorders>
            <w:shd w:val="clear" w:color="auto" w:fill="auto"/>
            <w:noWrap/>
            <w:vAlign w:val="bottom"/>
            <w:hideMark/>
          </w:tcPr>
          <w:p w14:paraId="1322D169"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24,18</w:t>
            </w:r>
          </w:p>
        </w:tc>
        <w:tc>
          <w:tcPr>
            <w:tcW w:w="1188" w:type="dxa"/>
            <w:tcBorders>
              <w:top w:val="nil"/>
              <w:left w:val="nil"/>
              <w:bottom w:val="single" w:sz="4" w:space="0" w:color="auto"/>
              <w:right w:val="single" w:sz="4" w:space="0" w:color="auto"/>
            </w:tcBorders>
            <w:shd w:val="clear" w:color="auto" w:fill="auto"/>
            <w:noWrap/>
            <w:vAlign w:val="bottom"/>
            <w:hideMark/>
          </w:tcPr>
          <w:p w14:paraId="39C86ADB"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24,33</w:t>
            </w:r>
          </w:p>
        </w:tc>
        <w:tc>
          <w:tcPr>
            <w:tcW w:w="1188" w:type="dxa"/>
            <w:tcBorders>
              <w:top w:val="nil"/>
              <w:left w:val="nil"/>
              <w:bottom w:val="single" w:sz="4" w:space="0" w:color="auto"/>
              <w:right w:val="single" w:sz="4" w:space="0" w:color="auto"/>
            </w:tcBorders>
            <w:shd w:val="clear" w:color="auto" w:fill="auto"/>
            <w:noWrap/>
            <w:vAlign w:val="bottom"/>
            <w:hideMark/>
          </w:tcPr>
          <w:p w14:paraId="58B838DC"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24,50</w:t>
            </w:r>
          </w:p>
        </w:tc>
        <w:tc>
          <w:tcPr>
            <w:tcW w:w="1188" w:type="dxa"/>
            <w:tcBorders>
              <w:top w:val="nil"/>
              <w:left w:val="nil"/>
              <w:bottom w:val="single" w:sz="4" w:space="0" w:color="auto"/>
              <w:right w:val="single" w:sz="4" w:space="0" w:color="auto"/>
            </w:tcBorders>
            <w:shd w:val="clear" w:color="auto" w:fill="auto"/>
            <w:noWrap/>
            <w:vAlign w:val="bottom"/>
            <w:hideMark/>
          </w:tcPr>
          <w:p w14:paraId="2E6A3FF1"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24,64</w:t>
            </w:r>
          </w:p>
        </w:tc>
        <w:tc>
          <w:tcPr>
            <w:tcW w:w="1188" w:type="dxa"/>
            <w:tcBorders>
              <w:top w:val="nil"/>
              <w:left w:val="nil"/>
              <w:bottom w:val="single" w:sz="4" w:space="0" w:color="auto"/>
              <w:right w:val="single" w:sz="4" w:space="0" w:color="auto"/>
            </w:tcBorders>
            <w:shd w:val="clear" w:color="auto" w:fill="auto"/>
            <w:noWrap/>
            <w:vAlign w:val="bottom"/>
            <w:hideMark/>
          </w:tcPr>
          <w:p w14:paraId="3D23C93B"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24,74</w:t>
            </w:r>
          </w:p>
        </w:tc>
        <w:tc>
          <w:tcPr>
            <w:tcW w:w="1188" w:type="dxa"/>
            <w:tcBorders>
              <w:top w:val="nil"/>
              <w:left w:val="nil"/>
              <w:bottom w:val="single" w:sz="4" w:space="0" w:color="auto"/>
              <w:right w:val="single" w:sz="4" w:space="0" w:color="auto"/>
            </w:tcBorders>
            <w:shd w:val="clear" w:color="auto" w:fill="auto"/>
            <w:noWrap/>
            <w:vAlign w:val="bottom"/>
            <w:hideMark/>
          </w:tcPr>
          <w:p w14:paraId="20EBBD9E"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24,87</w:t>
            </w:r>
          </w:p>
        </w:tc>
        <w:tc>
          <w:tcPr>
            <w:tcW w:w="1188" w:type="dxa"/>
            <w:tcBorders>
              <w:top w:val="nil"/>
              <w:left w:val="nil"/>
              <w:bottom w:val="single" w:sz="4" w:space="0" w:color="auto"/>
              <w:right w:val="single" w:sz="4" w:space="0" w:color="auto"/>
            </w:tcBorders>
            <w:shd w:val="clear" w:color="auto" w:fill="auto"/>
            <w:noWrap/>
            <w:vAlign w:val="bottom"/>
            <w:hideMark/>
          </w:tcPr>
          <w:p w14:paraId="0ED6206E"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25,03</w:t>
            </w:r>
          </w:p>
        </w:tc>
        <w:tc>
          <w:tcPr>
            <w:tcW w:w="1188" w:type="dxa"/>
            <w:tcBorders>
              <w:top w:val="nil"/>
              <w:left w:val="nil"/>
              <w:bottom w:val="single" w:sz="4" w:space="0" w:color="auto"/>
              <w:right w:val="single" w:sz="4" w:space="0" w:color="auto"/>
            </w:tcBorders>
            <w:shd w:val="clear" w:color="auto" w:fill="auto"/>
            <w:noWrap/>
            <w:vAlign w:val="bottom"/>
            <w:hideMark/>
          </w:tcPr>
          <w:p w14:paraId="47A6E11F"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25,21</w:t>
            </w:r>
          </w:p>
        </w:tc>
        <w:tc>
          <w:tcPr>
            <w:tcW w:w="1207" w:type="dxa"/>
            <w:tcBorders>
              <w:top w:val="nil"/>
              <w:left w:val="nil"/>
              <w:bottom w:val="single" w:sz="4" w:space="0" w:color="auto"/>
              <w:right w:val="single" w:sz="12" w:space="0" w:color="auto"/>
            </w:tcBorders>
            <w:shd w:val="clear" w:color="auto" w:fill="auto"/>
            <w:noWrap/>
            <w:vAlign w:val="bottom"/>
            <w:hideMark/>
          </w:tcPr>
          <w:p w14:paraId="68172ED6"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25,35</w:t>
            </w:r>
          </w:p>
        </w:tc>
      </w:tr>
      <w:tr w:rsidR="003E0F58" w:rsidRPr="0093556C" w14:paraId="434A9D20" w14:textId="77777777" w:rsidTr="004D2249">
        <w:trPr>
          <w:trHeight w:val="278"/>
        </w:trPr>
        <w:tc>
          <w:tcPr>
            <w:tcW w:w="3219" w:type="dxa"/>
            <w:tcBorders>
              <w:top w:val="nil"/>
              <w:left w:val="single" w:sz="12" w:space="0" w:color="auto"/>
              <w:bottom w:val="single" w:sz="4" w:space="0" w:color="auto"/>
              <w:right w:val="single" w:sz="12" w:space="0" w:color="auto"/>
            </w:tcBorders>
            <w:shd w:val="clear" w:color="auto" w:fill="auto"/>
            <w:noWrap/>
            <w:vAlign w:val="bottom"/>
            <w:hideMark/>
          </w:tcPr>
          <w:p w14:paraId="5228B8A4" w14:textId="77777777" w:rsidR="003E0F58" w:rsidRPr="0093556C" w:rsidRDefault="003E0F58" w:rsidP="004D2249">
            <w:pPr>
              <w:jc w:val="left"/>
              <w:rPr>
                <w:rFonts w:cs="Times New Roman"/>
                <w:b/>
                <w:bCs/>
                <w:color w:val="000000"/>
                <w:sz w:val="20"/>
                <w:szCs w:val="20"/>
                <w:lang w:val="cs-CZ"/>
              </w:rPr>
            </w:pPr>
            <w:r w:rsidRPr="0093556C">
              <w:rPr>
                <w:rFonts w:cs="Times New Roman"/>
                <w:b/>
                <w:bCs/>
                <w:color w:val="000000"/>
                <w:sz w:val="20"/>
                <w:szCs w:val="20"/>
                <w:lang w:val="cs-CZ"/>
              </w:rPr>
              <w:t>pšenice</w:t>
            </w:r>
          </w:p>
        </w:tc>
        <w:tc>
          <w:tcPr>
            <w:tcW w:w="1170" w:type="dxa"/>
            <w:tcBorders>
              <w:top w:val="nil"/>
              <w:left w:val="single" w:sz="12" w:space="0" w:color="auto"/>
              <w:bottom w:val="single" w:sz="4" w:space="0" w:color="auto"/>
              <w:right w:val="single" w:sz="4" w:space="0" w:color="auto"/>
            </w:tcBorders>
            <w:shd w:val="clear" w:color="auto" w:fill="auto"/>
            <w:noWrap/>
            <w:vAlign w:val="bottom"/>
            <w:hideMark/>
          </w:tcPr>
          <w:p w14:paraId="7F404437"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5,33</w:t>
            </w:r>
          </w:p>
        </w:tc>
        <w:tc>
          <w:tcPr>
            <w:tcW w:w="1188" w:type="dxa"/>
            <w:tcBorders>
              <w:top w:val="nil"/>
              <w:left w:val="nil"/>
              <w:bottom w:val="single" w:sz="4" w:space="0" w:color="auto"/>
              <w:right w:val="single" w:sz="4" w:space="0" w:color="auto"/>
            </w:tcBorders>
            <w:shd w:val="clear" w:color="auto" w:fill="auto"/>
            <w:noWrap/>
            <w:vAlign w:val="bottom"/>
            <w:hideMark/>
          </w:tcPr>
          <w:p w14:paraId="5F85ED9C"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5,56</w:t>
            </w:r>
          </w:p>
        </w:tc>
        <w:tc>
          <w:tcPr>
            <w:tcW w:w="1188" w:type="dxa"/>
            <w:tcBorders>
              <w:top w:val="nil"/>
              <w:left w:val="nil"/>
              <w:bottom w:val="single" w:sz="4" w:space="0" w:color="auto"/>
              <w:right w:val="single" w:sz="4" w:space="0" w:color="auto"/>
            </w:tcBorders>
            <w:shd w:val="clear" w:color="auto" w:fill="auto"/>
            <w:noWrap/>
            <w:vAlign w:val="bottom"/>
            <w:hideMark/>
          </w:tcPr>
          <w:p w14:paraId="2FF96EC9"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5,59</w:t>
            </w:r>
          </w:p>
        </w:tc>
        <w:tc>
          <w:tcPr>
            <w:tcW w:w="1188" w:type="dxa"/>
            <w:tcBorders>
              <w:top w:val="nil"/>
              <w:left w:val="nil"/>
              <w:bottom w:val="single" w:sz="4" w:space="0" w:color="auto"/>
              <w:right w:val="single" w:sz="4" w:space="0" w:color="auto"/>
            </w:tcBorders>
            <w:shd w:val="clear" w:color="auto" w:fill="auto"/>
            <w:noWrap/>
            <w:vAlign w:val="bottom"/>
            <w:hideMark/>
          </w:tcPr>
          <w:p w14:paraId="0F1BEB31"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5,63</w:t>
            </w:r>
          </w:p>
        </w:tc>
        <w:tc>
          <w:tcPr>
            <w:tcW w:w="1188" w:type="dxa"/>
            <w:tcBorders>
              <w:top w:val="nil"/>
              <w:left w:val="nil"/>
              <w:bottom w:val="single" w:sz="4" w:space="0" w:color="auto"/>
              <w:right w:val="single" w:sz="4" w:space="0" w:color="auto"/>
            </w:tcBorders>
            <w:shd w:val="clear" w:color="auto" w:fill="auto"/>
            <w:noWrap/>
            <w:vAlign w:val="bottom"/>
            <w:hideMark/>
          </w:tcPr>
          <w:p w14:paraId="3D1A65EE"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5,67</w:t>
            </w:r>
          </w:p>
        </w:tc>
        <w:tc>
          <w:tcPr>
            <w:tcW w:w="1188" w:type="dxa"/>
            <w:tcBorders>
              <w:top w:val="nil"/>
              <w:left w:val="nil"/>
              <w:bottom w:val="single" w:sz="4" w:space="0" w:color="auto"/>
              <w:right w:val="single" w:sz="4" w:space="0" w:color="auto"/>
            </w:tcBorders>
            <w:shd w:val="clear" w:color="auto" w:fill="auto"/>
            <w:noWrap/>
            <w:vAlign w:val="bottom"/>
            <w:hideMark/>
          </w:tcPr>
          <w:p w14:paraId="38C53EF7"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5,70</w:t>
            </w:r>
          </w:p>
        </w:tc>
        <w:tc>
          <w:tcPr>
            <w:tcW w:w="1188" w:type="dxa"/>
            <w:tcBorders>
              <w:top w:val="nil"/>
              <w:left w:val="nil"/>
              <w:bottom w:val="single" w:sz="4" w:space="0" w:color="auto"/>
              <w:right w:val="single" w:sz="4" w:space="0" w:color="auto"/>
            </w:tcBorders>
            <w:shd w:val="clear" w:color="auto" w:fill="auto"/>
            <w:noWrap/>
            <w:vAlign w:val="bottom"/>
            <w:hideMark/>
          </w:tcPr>
          <w:p w14:paraId="020D6BF7"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5,72</w:t>
            </w:r>
          </w:p>
        </w:tc>
        <w:tc>
          <w:tcPr>
            <w:tcW w:w="1188" w:type="dxa"/>
            <w:tcBorders>
              <w:top w:val="nil"/>
              <w:left w:val="nil"/>
              <w:bottom w:val="single" w:sz="4" w:space="0" w:color="auto"/>
              <w:right w:val="single" w:sz="4" w:space="0" w:color="auto"/>
            </w:tcBorders>
            <w:shd w:val="clear" w:color="auto" w:fill="auto"/>
            <w:noWrap/>
            <w:vAlign w:val="bottom"/>
            <w:hideMark/>
          </w:tcPr>
          <w:p w14:paraId="57F39B3A"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5,75</w:t>
            </w:r>
          </w:p>
        </w:tc>
        <w:tc>
          <w:tcPr>
            <w:tcW w:w="1188" w:type="dxa"/>
            <w:tcBorders>
              <w:top w:val="nil"/>
              <w:left w:val="nil"/>
              <w:bottom w:val="single" w:sz="4" w:space="0" w:color="auto"/>
              <w:right w:val="single" w:sz="4" w:space="0" w:color="auto"/>
            </w:tcBorders>
            <w:shd w:val="clear" w:color="auto" w:fill="auto"/>
            <w:noWrap/>
            <w:vAlign w:val="bottom"/>
            <w:hideMark/>
          </w:tcPr>
          <w:p w14:paraId="3796D844"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5,79</w:t>
            </w:r>
          </w:p>
        </w:tc>
        <w:tc>
          <w:tcPr>
            <w:tcW w:w="1188" w:type="dxa"/>
            <w:tcBorders>
              <w:top w:val="nil"/>
              <w:left w:val="nil"/>
              <w:bottom w:val="single" w:sz="4" w:space="0" w:color="auto"/>
              <w:right w:val="single" w:sz="4" w:space="0" w:color="auto"/>
            </w:tcBorders>
            <w:shd w:val="clear" w:color="auto" w:fill="auto"/>
            <w:noWrap/>
            <w:vAlign w:val="bottom"/>
            <w:hideMark/>
          </w:tcPr>
          <w:p w14:paraId="30F36B2A"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5,83</w:t>
            </w:r>
          </w:p>
        </w:tc>
        <w:tc>
          <w:tcPr>
            <w:tcW w:w="1207" w:type="dxa"/>
            <w:tcBorders>
              <w:top w:val="nil"/>
              <w:left w:val="nil"/>
              <w:bottom w:val="single" w:sz="4" w:space="0" w:color="auto"/>
              <w:right w:val="single" w:sz="12" w:space="0" w:color="auto"/>
            </w:tcBorders>
            <w:shd w:val="clear" w:color="auto" w:fill="auto"/>
            <w:noWrap/>
            <w:vAlign w:val="bottom"/>
            <w:hideMark/>
          </w:tcPr>
          <w:p w14:paraId="05630886"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5,86</w:t>
            </w:r>
          </w:p>
        </w:tc>
      </w:tr>
      <w:tr w:rsidR="003E0F58" w:rsidRPr="0093556C" w14:paraId="52F374F3" w14:textId="77777777" w:rsidTr="004D2249">
        <w:trPr>
          <w:trHeight w:val="278"/>
        </w:trPr>
        <w:tc>
          <w:tcPr>
            <w:tcW w:w="3219" w:type="dxa"/>
            <w:tcBorders>
              <w:top w:val="nil"/>
              <w:left w:val="single" w:sz="12" w:space="0" w:color="auto"/>
              <w:bottom w:val="single" w:sz="4" w:space="0" w:color="auto"/>
              <w:right w:val="single" w:sz="12" w:space="0" w:color="auto"/>
            </w:tcBorders>
            <w:shd w:val="clear" w:color="auto" w:fill="auto"/>
            <w:noWrap/>
            <w:vAlign w:val="bottom"/>
            <w:hideMark/>
          </w:tcPr>
          <w:p w14:paraId="207AA10E" w14:textId="77777777" w:rsidR="003E0F58" w:rsidRPr="0093556C" w:rsidRDefault="003E0F58" w:rsidP="004D2249">
            <w:pPr>
              <w:jc w:val="left"/>
              <w:rPr>
                <w:rFonts w:cs="Times New Roman"/>
                <w:b/>
                <w:bCs/>
                <w:color w:val="000000"/>
                <w:sz w:val="20"/>
                <w:szCs w:val="20"/>
                <w:lang w:val="cs-CZ"/>
              </w:rPr>
            </w:pPr>
            <w:r w:rsidRPr="0093556C">
              <w:rPr>
                <w:rFonts w:cs="Times New Roman"/>
                <w:b/>
                <w:bCs/>
                <w:color w:val="000000"/>
                <w:sz w:val="20"/>
                <w:szCs w:val="20"/>
                <w:lang w:val="cs-CZ"/>
              </w:rPr>
              <w:t>kukuřice - zrno</w:t>
            </w:r>
          </w:p>
        </w:tc>
        <w:tc>
          <w:tcPr>
            <w:tcW w:w="1170" w:type="dxa"/>
            <w:tcBorders>
              <w:top w:val="nil"/>
              <w:left w:val="single" w:sz="12" w:space="0" w:color="auto"/>
              <w:bottom w:val="single" w:sz="4" w:space="0" w:color="auto"/>
              <w:right w:val="single" w:sz="4" w:space="0" w:color="auto"/>
            </w:tcBorders>
            <w:shd w:val="clear" w:color="auto" w:fill="auto"/>
            <w:noWrap/>
            <w:vAlign w:val="bottom"/>
            <w:hideMark/>
          </w:tcPr>
          <w:p w14:paraId="1B81540E"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26,27</w:t>
            </w:r>
          </w:p>
        </w:tc>
        <w:tc>
          <w:tcPr>
            <w:tcW w:w="1188" w:type="dxa"/>
            <w:tcBorders>
              <w:top w:val="nil"/>
              <w:left w:val="nil"/>
              <w:bottom w:val="single" w:sz="4" w:space="0" w:color="auto"/>
              <w:right w:val="single" w:sz="4" w:space="0" w:color="auto"/>
            </w:tcBorders>
            <w:shd w:val="clear" w:color="auto" w:fill="auto"/>
            <w:noWrap/>
            <w:vAlign w:val="bottom"/>
            <w:hideMark/>
          </w:tcPr>
          <w:p w14:paraId="4B8258E1"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27,40</w:t>
            </w:r>
          </w:p>
        </w:tc>
        <w:tc>
          <w:tcPr>
            <w:tcW w:w="1188" w:type="dxa"/>
            <w:tcBorders>
              <w:top w:val="nil"/>
              <w:left w:val="nil"/>
              <w:bottom w:val="single" w:sz="4" w:space="0" w:color="auto"/>
              <w:right w:val="single" w:sz="4" w:space="0" w:color="auto"/>
            </w:tcBorders>
            <w:shd w:val="clear" w:color="auto" w:fill="auto"/>
            <w:noWrap/>
            <w:vAlign w:val="bottom"/>
            <w:hideMark/>
          </w:tcPr>
          <w:p w14:paraId="629887A1"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27,54</w:t>
            </w:r>
          </w:p>
        </w:tc>
        <w:tc>
          <w:tcPr>
            <w:tcW w:w="1188" w:type="dxa"/>
            <w:tcBorders>
              <w:top w:val="nil"/>
              <w:left w:val="nil"/>
              <w:bottom w:val="single" w:sz="4" w:space="0" w:color="auto"/>
              <w:right w:val="single" w:sz="4" w:space="0" w:color="auto"/>
            </w:tcBorders>
            <w:shd w:val="clear" w:color="auto" w:fill="auto"/>
            <w:noWrap/>
            <w:vAlign w:val="bottom"/>
            <w:hideMark/>
          </w:tcPr>
          <w:p w14:paraId="109807CE"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27,70</w:t>
            </w:r>
          </w:p>
        </w:tc>
        <w:tc>
          <w:tcPr>
            <w:tcW w:w="1188" w:type="dxa"/>
            <w:tcBorders>
              <w:top w:val="nil"/>
              <w:left w:val="nil"/>
              <w:bottom w:val="single" w:sz="4" w:space="0" w:color="auto"/>
              <w:right w:val="single" w:sz="4" w:space="0" w:color="auto"/>
            </w:tcBorders>
            <w:shd w:val="clear" w:color="auto" w:fill="auto"/>
            <w:noWrap/>
            <w:vAlign w:val="bottom"/>
            <w:hideMark/>
          </w:tcPr>
          <w:p w14:paraId="337014EC"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27,89</w:t>
            </w:r>
          </w:p>
        </w:tc>
        <w:tc>
          <w:tcPr>
            <w:tcW w:w="1188" w:type="dxa"/>
            <w:tcBorders>
              <w:top w:val="nil"/>
              <w:left w:val="nil"/>
              <w:bottom w:val="single" w:sz="4" w:space="0" w:color="auto"/>
              <w:right w:val="single" w:sz="4" w:space="0" w:color="auto"/>
            </w:tcBorders>
            <w:shd w:val="clear" w:color="auto" w:fill="auto"/>
            <w:noWrap/>
            <w:vAlign w:val="bottom"/>
            <w:hideMark/>
          </w:tcPr>
          <w:p w14:paraId="6DDF6637"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28,06</w:t>
            </w:r>
          </w:p>
        </w:tc>
        <w:tc>
          <w:tcPr>
            <w:tcW w:w="1188" w:type="dxa"/>
            <w:tcBorders>
              <w:top w:val="nil"/>
              <w:left w:val="nil"/>
              <w:bottom w:val="single" w:sz="4" w:space="0" w:color="auto"/>
              <w:right w:val="single" w:sz="4" w:space="0" w:color="auto"/>
            </w:tcBorders>
            <w:shd w:val="clear" w:color="auto" w:fill="auto"/>
            <w:noWrap/>
            <w:vAlign w:val="bottom"/>
            <w:hideMark/>
          </w:tcPr>
          <w:p w14:paraId="2E614CEF"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28,17</w:t>
            </w:r>
          </w:p>
        </w:tc>
        <w:tc>
          <w:tcPr>
            <w:tcW w:w="1188" w:type="dxa"/>
            <w:tcBorders>
              <w:top w:val="nil"/>
              <w:left w:val="nil"/>
              <w:bottom w:val="single" w:sz="4" w:space="0" w:color="auto"/>
              <w:right w:val="single" w:sz="4" w:space="0" w:color="auto"/>
            </w:tcBorders>
            <w:shd w:val="clear" w:color="auto" w:fill="auto"/>
            <w:noWrap/>
            <w:vAlign w:val="bottom"/>
            <w:hideMark/>
          </w:tcPr>
          <w:p w14:paraId="65D13787"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28,32</w:t>
            </w:r>
          </w:p>
        </w:tc>
        <w:tc>
          <w:tcPr>
            <w:tcW w:w="1188" w:type="dxa"/>
            <w:tcBorders>
              <w:top w:val="nil"/>
              <w:left w:val="nil"/>
              <w:bottom w:val="single" w:sz="4" w:space="0" w:color="auto"/>
              <w:right w:val="single" w:sz="4" w:space="0" w:color="auto"/>
            </w:tcBorders>
            <w:shd w:val="clear" w:color="auto" w:fill="auto"/>
            <w:noWrap/>
            <w:vAlign w:val="bottom"/>
            <w:hideMark/>
          </w:tcPr>
          <w:p w14:paraId="264C138E"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28,50</w:t>
            </w:r>
          </w:p>
        </w:tc>
        <w:tc>
          <w:tcPr>
            <w:tcW w:w="1188" w:type="dxa"/>
            <w:tcBorders>
              <w:top w:val="nil"/>
              <w:left w:val="nil"/>
              <w:bottom w:val="single" w:sz="4" w:space="0" w:color="auto"/>
              <w:right w:val="single" w:sz="4" w:space="0" w:color="auto"/>
            </w:tcBorders>
            <w:shd w:val="clear" w:color="auto" w:fill="auto"/>
            <w:noWrap/>
            <w:vAlign w:val="bottom"/>
            <w:hideMark/>
          </w:tcPr>
          <w:p w14:paraId="4F96FC70"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28,71</w:t>
            </w:r>
          </w:p>
        </w:tc>
        <w:tc>
          <w:tcPr>
            <w:tcW w:w="1207" w:type="dxa"/>
            <w:tcBorders>
              <w:top w:val="nil"/>
              <w:left w:val="nil"/>
              <w:bottom w:val="single" w:sz="4" w:space="0" w:color="auto"/>
              <w:right w:val="single" w:sz="12" w:space="0" w:color="auto"/>
            </w:tcBorders>
            <w:shd w:val="clear" w:color="auto" w:fill="auto"/>
            <w:noWrap/>
            <w:vAlign w:val="bottom"/>
            <w:hideMark/>
          </w:tcPr>
          <w:p w14:paraId="6E5F23F6"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28,86</w:t>
            </w:r>
          </w:p>
        </w:tc>
      </w:tr>
      <w:tr w:rsidR="003E0F58" w:rsidRPr="0093556C" w14:paraId="69B6E17E" w14:textId="77777777" w:rsidTr="004D2249">
        <w:trPr>
          <w:trHeight w:val="293"/>
        </w:trPr>
        <w:tc>
          <w:tcPr>
            <w:tcW w:w="3219" w:type="dxa"/>
            <w:tcBorders>
              <w:top w:val="nil"/>
              <w:left w:val="single" w:sz="12" w:space="0" w:color="auto"/>
              <w:bottom w:val="single" w:sz="12" w:space="0" w:color="auto"/>
              <w:right w:val="single" w:sz="12" w:space="0" w:color="auto"/>
            </w:tcBorders>
            <w:shd w:val="clear" w:color="auto" w:fill="auto"/>
            <w:noWrap/>
            <w:vAlign w:val="bottom"/>
            <w:hideMark/>
          </w:tcPr>
          <w:p w14:paraId="60DA6D5C" w14:textId="77777777" w:rsidR="003E0F58" w:rsidRPr="0093556C" w:rsidRDefault="003E0F58" w:rsidP="004D2249">
            <w:pPr>
              <w:jc w:val="left"/>
              <w:rPr>
                <w:rFonts w:cs="Times New Roman"/>
                <w:b/>
                <w:bCs/>
                <w:color w:val="000000"/>
                <w:sz w:val="20"/>
                <w:szCs w:val="20"/>
                <w:lang w:val="cs-CZ"/>
              </w:rPr>
            </w:pPr>
            <w:r w:rsidRPr="0093556C">
              <w:rPr>
                <w:rFonts w:cs="Times New Roman"/>
                <w:b/>
                <w:bCs/>
                <w:color w:val="000000"/>
                <w:sz w:val="20"/>
                <w:szCs w:val="20"/>
                <w:lang w:val="cs-CZ"/>
              </w:rPr>
              <w:t>řepka olejka - zrno</w:t>
            </w:r>
          </w:p>
        </w:tc>
        <w:tc>
          <w:tcPr>
            <w:tcW w:w="1170" w:type="dxa"/>
            <w:tcBorders>
              <w:top w:val="nil"/>
              <w:left w:val="single" w:sz="12" w:space="0" w:color="auto"/>
              <w:bottom w:val="single" w:sz="12" w:space="0" w:color="auto"/>
              <w:right w:val="single" w:sz="4" w:space="0" w:color="auto"/>
            </w:tcBorders>
            <w:shd w:val="clear" w:color="auto" w:fill="auto"/>
            <w:noWrap/>
            <w:vAlign w:val="bottom"/>
            <w:hideMark/>
          </w:tcPr>
          <w:p w14:paraId="36A24F85"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173,09</w:t>
            </w:r>
          </w:p>
        </w:tc>
        <w:tc>
          <w:tcPr>
            <w:tcW w:w="1188" w:type="dxa"/>
            <w:tcBorders>
              <w:top w:val="nil"/>
              <w:left w:val="nil"/>
              <w:bottom w:val="single" w:sz="12" w:space="0" w:color="auto"/>
              <w:right w:val="single" w:sz="4" w:space="0" w:color="auto"/>
            </w:tcBorders>
            <w:shd w:val="clear" w:color="auto" w:fill="auto"/>
            <w:noWrap/>
            <w:vAlign w:val="bottom"/>
            <w:hideMark/>
          </w:tcPr>
          <w:p w14:paraId="0BD166C7"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180,52</w:t>
            </w:r>
          </w:p>
        </w:tc>
        <w:tc>
          <w:tcPr>
            <w:tcW w:w="1188" w:type="dxa"/>
            <w:tcBorders>
              <w:top w:val="nil"/>
              <w:left w:val="nil"/>
              <w:bottom w:val="single" w:sz="12" w:space="0" w:color="auto"/>
              <w:right w:val="single" w:sz="4" w:space="0" w:color="auto"/>
            </w:tcBorders>
            <w:shd w:val="clear" w:color="auto" w:fill="auto"/>
            <w:noWrap/>
            <w:vAlign w:val="bottom"/>
            <w:hideMark/>
          </w:tcPr>
          <w:p w14:paraId="7B60A260"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181,47</w:t>
            </w:r>
          </w:p>
        </w:tc>
        <w:tc>
          <w:tcPr>
            <w:tcW w:w="1188" w:type="dxa"/>
            <w:tcBorders>
              <w:top w:val="nil"/>
              <w:left w:val="nil"/>
              <w:bottom w:val="single" w:sz="12" w:space="0" w:color="auto"/>
              <w:right w:val="single" w:sz="4" w:space="0" w:color="auto"/>
            </w:tcBorders>
            <w:shd w:val="clear" w:color="auto" w:fill="auto"/>
            <w:noWrap/>
            <w:vAlign w:val="bottom"/>
            <w:hideMark/>
          </w:tcPr>
          <w:p w14:paraId="45424505"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182,55</w:t>
            </w:r>
          </w:p>
        </w:tc>
        <w:tc>
          <w:tcPr>
            <w:tcW w:w="1188" w:type="dxa"/>
            <w:tcBorders>
              <w:top w:val="nil"/>
              <w:left w:val="nil"/>
              <w:bottom w:val="single" w:sz="12" w:space="0" w:color="auto"/>
              <w:right w:val="single" w:sz="4" w:space="0" w:color="auto"/>
            </w:tcBorders>
            <w:shd w:val="clear" w:color="auto" w:fill="auto"/>
            <w:noWrap/>
            <w:vAlign w:val="bottom"/>
            <w:hideMark/>
          </w:tcPr>
          <w:p w14:paraId="1A5EAC4E"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183,81</w:t>
            </w:r>
          </w:p>
        </w:tc>
        <w:tc>
          <w:tcPr>
            <w:tcW w:w="1188" w:type="dxa"/>
            <w:tcBorders>
              <w:top w:val="nil"/>
              <w:left w:val="nil"/>
              <w:bottom w:val="single" w:sz="12" w:space="0" w:color="auto"/>
              <w:right w:val="single" w:sz="4" w:space="0" w:color="auto"/>
            </w:tcBorders>
            <w:shd w:val="clear" w:color="auto" w:fill="auto"/>
            <w:noWrap/>
            <w:vAlign w:val="bottom"/>
            <w:hideMark/>
          </w:tcPr>
          <w:p w14:paraId="3D04FDDC"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184,91</w:t>
            </w:r>
          </w:p>
        </w:tc>
        <w:tc>
          <w:tcPr>
            <w:tcW w:w="1188" w:type="dxa"/>
            <w:tcBorders>
              <w:top w:val="nil"/>
              <w:left w:val="nil"/>
              <w:bottom w:val="single" w:sz="12" w:space="0" w:color="auto"/>
              <w:right w:val="single" w:sz="4" w:space="0" w:color="auto"/>
            </w:tcBorders>
            <w:shd w:val="clear" w:color="auto" w:fill="auto"/>
            <w:noWrap/>
            <w:vAlign w:val="bottom"/>
            <w:hideMark/>
          </w:tcPr>
          <w:p w14:paraId="038BAC61"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185,63</w:t>
            </w:r>
          </w:p>
        </w:tc>
        <w:tc>
          <w:tcPr>
            <w:tcW w:w="1188" w:type="dxa"/>
            <w:tcBorders>
              <w:top w:val="nil"/>
              <w:left w:val="nil"/>
              <w:bottom w:val="single" w:sz="12" w:space="0" w:color="auto"/>
              <w:right w:val="single" w:sz="4" w:space="0" w:color="auto"/>
            </w:tcBorders>
            <w:shd w:val="clear" w:color="auto" w:fill="auto"/>
            <w:noWrap/>
            <w:vAlign w:val="bottom"/>
            <w:hideMark/>
          </w:tcPr>
          <w:p w14:paraId="2060B558"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186,64</w:t>
            </w:r>
          </w:p>
        </w:tc>
        <w:tc>
          <w:tcPr>
            <w:tcW w:w="1188" w:type="dxa"/>
            <w:tcBorders>
              <w:top w:val="nil"/>
              <w:left w:val="nil"/>
              <w:bottom w:val="single" w:sz="12" w:space="0" w:color="auto"/>
              <w:right w:val="single" w:sz="4" w:space="0" w:color="auto"/>
            </w:tcBorders>
            <w:shd w:val="clear" w:color="auto" w:fill="auto"/>
            <w:noWrap/>
            <w:vAlign w:val="bottom"/>
            <w:hideMark/>
          </w:tcPr>
          <w:p w14:paraId="3919BBF9"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187,82</w:t>
            </w:r>
          </w:p>
        </w:tc>
        <w:tc>
          <w:tcPr>
            <w:tcW w:w="1188" w:type="dxa"/>
            <w:tcBorders>
              <w:top w:val="nil"/>
              <w:left w:val="nil"/>
              <w:bottom w:val="single" w:sz="12" w:space="0" w:color="auto"/>
              <w:right w:val="single" w:sz="4" w:space="0" w:color="auto"/>
            </w:tcBorders>
            <w:shd w:val="clear" w:color="auto" w:fill="auto"/>
            <w:noWrap/>
            <w:vAlign w:val="bottom"/>
            <w:hideMark/>
          </w:tcPr>
          <w:p w14:paraId="2B4D127B"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189,15</w:t>
            </w:r>
          </w:p>
        </w:tc>
        <w:tc>
          <w:tcPr>
            <w:tcW w:w="1207" w:type="dxa"/>
            <w:tcBorders>
              <w:top w:val="nil"/>
              <w:left w:val="nil"/>
              <w:bottom w:val="single" w:sz="12" w:space="0" w:color="auto"/>
              <w:right w:val="single" w:sz="12" w:space="0" w:color="auto"/>
            </w:tcBorders>
            <w:shd w:val="clear" w:color="auto" w:fill="auto"/>
            <w:noWrap/>
            <w:vAlign w:val="bottom"/>
            <w:hideMark/>
          </w:tcPr>
          <w:p w14:paraId="46CAB60D"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190,18</w:t>
            </w:r>
          </w:p>
        </w:tc>
      </w:tr>
      <w:tr w:rsidR="003E0F58" w:rsidRPr="0093556C" w14:paraId="7842FAA2" w14:textId="77777777" w:rsidTr="004D2249">
        <w:trPr>
          <w:trHeight w:val="278"/>
        </w:trPr>
        <w:tc>
          <w:tcPr>
            <w:tcW w:w="3219" w:type="dxa"/>
            <w:tcBorders>
              <w:top w:val="single" w:sz="12" w:space="0" w:color="auto"/>
              <w:left w:val="single" w:sz="12" w:space="0" w:color="auto"/>
              <w:bottom w:val="single" w:sz="4" w:space="0" w:color="auto"/>
              <w:right w:val="single" w:sz="12" w:space="0" w:color="auto"/>
            </w:tcBorders>
            <w:shd w:val="clear" w:color="000000" w:fill="E2EFDA"/>
            <w:noWrap/>
            <w:vAlign w:val="bottom"/>
            <w:hideMark/>
          </w:tcPr>
          <w:p w14:paraId="27F597A2" w14:textId="77777777" w:rsidR="003E0F58" w:rsidRPr="0093556C" w:rsidRDefault="003E0F58" w:rsidP="004D2249">
            <w:pPr>
              <w:jc w:val="left"/>
              <w:rPr>
                <w:rFonts w:cs="Times New Roman"/>
                <w:b/>
                <w:bCs/>
                <w:color w:val="000000"/>
                <w:sz w:val="20"/>
                <w:szCs w:val="20"/>
                <w:lang w:val="cs-CZ"/>
              </w:rPr>
            </w:pPr>
            <w:r w:rsidRPr="0093556C">
              <w:rPr>
                <w:rFonts w:cs="Times New Roman"/>
                <w:b/>
                <w:bCs/>
                <w:color w:val="000000"/>
                <w:sz w:val="20"/>
                <w:szCs w:val="20"/>
                <w:lang w:val="cs-CZ"/>
              </w:rPr>
              <w:t>ZEMĚDĚLSKÁ PŮDA CELKEM [ha]</w:t>
            </w:r>
          </w:p>
        </w:tc>
        <w:tc>
          <w:tcPr>
            <w:tcW w:w="1170" w:type="dxa"/>
            <w:tcBorders>
              <w:top w:val="single" w:sz="12" w:space="0" w:color="auto"/>
              <w:left w:val="single" w:sz="12" w:space="0" w:color="auto"/>
              <w:bottom w:val="single" w:sz="4" w:space="0" w:color="auto"/>
              <w:right w:val="single" w:sz="4" w:space="0" w:color="auto"/>
            </w:tcBorders>
            <w:shd w:val="clear" w:color="000000" w:fill="E2EFDA"/>
            <w:noWrap/>
            <w:vAlign w:val="bottom"/>
            <w:hideMark/>
          </w:tcPr>
          <w:p w14:paraId="13C6FB2B"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487,85</w:t>
            </w:r>
          </w:p>
        </w:tc>
        <w:tc>
          <w:tcPr>
            <w:tcW w:w="1188" w:type="dxa"/>
            <w:tcBorders>
              <w:top w:val="single" w:sz="12" w:space="0" w:color="auto"/>
              <w:left w:val="nil"/>
              <w:bottom w:val="single" w:sz="4" w:space="0" w:color="auto"/>
              <w:right w:val="single" w:sz="4" w:space="0" w:color="auto"/>
            </w:tcBorders>
            <w:shd w:val="clear" w:color="000000" w:fill="E2EFDA"/>
            <w:noWrap/>
            <w:vAlign w:val="bottom"/>
            <w:hideMark/>
          </w:tcPr>
          <w:p w14:paraId="539E67E1"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495,44</w:t>
            </w:r>
          </w:p>
        </w:tc>
        <w:tc>
          <w:tcPr>
            <w:tcW w:w="1188" w:type="dxa"/>
            <w:tcBorders>
              <w:top w:val="single" w:sz="12" w:space="0" w:color="auto"/>
              <w:left w:val="nil"/>
              <w:bottom w:val="single" w:sz="4" w:space="0" w:color="auto"/>
              <w:right w:val="single" w:sz="4" w:space="0" w:color="auto"/>
            </w:tcBorders>
            <w:shd w:val="clear" w:color="000000" w:fill="E2EFDA"/>
            <w:noWrap/>
            <w:vAlign w:val="bottom"/>
            <w:hideMark/>
          </w:tcPr>
          <w:p w14:paraId="7F03F29C"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499,86</w:t>
            </w:r>
          </w:p>
        </w:tc>
        <w:tc>
          <w:tcPr>
            <w:tcW w:w="1188" w:type="dxa"/>
            <w:tcBorders>
              <w:top w:val="single" w:sz="12" w:space="0" w:color="auto"/>
              <w:left w:val="nil"/>
              <w:bottom w:val="single" w:sz="4" w:space="0" w:color="auto"/>
              <w:right w:val="single" w:sz="4" w:space="0" w:color="auto"/>
            </w:tcBorders>
            <w:shd w:val="clear" w:color="000000" w:fill="E2EFDA"/>
            <w:noWrap/>
            <w:vAlign w:val="bottom"/>
            <w:hideMark/>
          </w:tcPr>
          <w:p w14:paraId="557F3CA3"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503,23</w:t>
            </w:r>
          </w:p>
        </w:tc>
        <w:tc>
          <w:tcPr>
            <w:tcW w:w="1188" w:type="dxa"/>
            <w:tcBorders>
              <w:top w:val="single" w:sz="12" w:space="0" w:color="auto"/>
              <w:left w:val="nil"/>
              <w:bottom w:val="single" w:sz="4" w:space="0" w:color="auto"/>
              <w:right w:val="single" w:sz="4" w:space="0" w:color="auto"/>
            </w:tcBorders>
            <w:shd w:val="clear" w:color="000000" w:fill="E2EFDA"/>
            <w:noWrap/>
            <w:vAlign w:val="bottom"/>
            <w:hideMark/>
          </w:tcPr>
          <w:p w14:paraId="0D461DB2"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507,18</w:t>
            </w:r>
          </w:p>
        </w:tc>
        <w:tc>
          <w:tcPr>
            <w:tcW w:w="1188" w:type="dxa"/>
            <w:tcBorders>
              <w:top w:val="single" w:sz="12" w:space="0" w:color="auto"/>
              <w:left w:val="nil"/>
              <w:bottom w:val="single" w:sz="4" w:space="0" w:color="auto"/>
              <w:right w:val="single" w:sz="4" w:space="0" w:color="auto"/>
            </w:tcBorders>
            <w:shd w:val="clear" w:color="000000" w:fill="E2EFDA"/>
            <w:noWrap/>
            <w:vAlign w:val="bottom"/>
            <w:hideMark/>
          </w:tcPr>
          <w:p w14:paraId="55EDFF64"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516,08</w:t>
            </w:r>
          </w:p>
        </w:tc>
        <w:tc>
          <w:tcPr>
            <w:tcW w:w="1188" w:type="dxa"/>
            <w:tcBorders>
              <w:top w:val="single" w:sz="12" w:space="0" w:color="auto"/>
              <w:left w:val="nil"/>
              <w:bottom w:val="single" w:sz="4" w:space="0" w:color="auto"/>
              <w:right w:val="single" w:sz="4" w:space="0" w:color="auto"/>
            </w:tcBorders>
            <w:shd w:val="clear" w:color="000000" w:fill="E2EFDA"/>
            <w:noWrap/>
            <w:vAlign w:val="bottom"/>
            <w:hideMark/>
          </w:tcPr>
          <w:p w14:paraId="266B9558"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521,15</w:t>
            </w:r>
          </w:p>
        </w:tc>
        <w:tc>
          <w:tcPr>
            <w:tcW w:w="1188" w:type="dxa"/>
            <w:tcBorders>
              <w:top w:val="single" w:sz="12" w:space="0" w:color="auto"/>
              <w:left w:val="nil"/>
              <w:bottom w:val="single" w:sz="4" w:space="0" w:color="auto"/>
              <w:right w:val="single" w:sz="4" w:space="0" w:color="auto"/>
            </w:tcBorders>
            <w:shd w:val="clear" w:color="000000" w:fill="E2EFDA"/>
            <w:noWrap/>
            <w:vAlign w:val="bottom"/>
            <w:hideMark/>
          </w:tcPr>
          <w:p w14:paraId="084D07AC"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528,51</w:t>
            </w:r>
          </w:p>
        </w:tc>
        <w:tc>
          <w:tcPr>
            <w:tcW w:w="1188" w:type="dxa"/>
            <w:tcBorders>
              <w:top w:val="single" w:sz="12" w:space="0" w:color="auto"/>
              <w:left w:val="nil"/>
              <w:bottom w:val="single" w:sz="4" w:space="0" w:color="auto"/>
              <w:right w:val="single" w:sz="4" w:space="0" w:color="auto"/>
            </w:tcBorders>
            <w:shd w:val="clear" w:color="000000" w:fill="E2EFDA"/>
            <w:noWrap/>
            <w:vAlign w:val="bottom"/>
            <w:hideMark/>
          </w:tcPr>
          <w:p w14:paraId="0E2BF587"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534,08</w:t>
            </w:r>
          </w:p>
        </w:tc>
        <w:tc>
          <w:tcPr>
            <w:tcW w:w="1188" w:type="dxa"/>
            <w:tcBorders>
              <w:top w:val="single" w:sz="12" w:space="0" w:color="auto"/>
              <w:left w:val="nil"/>
              <w:bottom w:val="single" w:sz="4" w:space="0" w:color="auto"/>
              <w:right w:val="single" w:sz="4" w:space="0" w:color="auto"/>
            </w:tcBorders>
            <w:shd w:val="clear" w:color="000000" w:fill="E2EFDA"/>
            <w:noWrap/>
            <w:vAlign w:val="bottom"/>
            <w:hideMark/>
          </w:tcPr>
          <w:p w14:paraId="4776FDAE"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539,18</w:t>
            </w:r>
          </w:p>
        </w:tc>
        <w:tc>
          <w:tcPr>
            <w:tcW w:w="1207" w:type="dxa"/>
            <w:tcBorders>
              <w:top w:val="single" w:sz="12" w:space="0" w:color="auto"/>
              <w:left w:val="nil"/>
              <w:bottom w:val="single" w:sz="4" w:space="0" w:color="auto"/>
              <w:right w:val="single" w:sz="12" w:space="0" w:color="auto"/>
            </w:tcBorders>
            <w:shd w:val="clear" w:color="000000" w:fill="E2EFDA"/>
            <w:noWrap/>
            <w:vAlign w:val="bottom"/>
            <w:hideMark/>
          </w:tcPr>
          <w:p w14:paraId="3AEEDA8C" w14:textId="77777777" w:rsidR="003E0F58" w:rsidRPr="0093556C" w:rsidRDefault="003E0F58" w:rsidP="004D2249">
            <w:pPr>
              <w:jc w:val="right"/>
              <w:rPr>
                <w:rFonts w:cs="Times New Roman"/>
                <w:b/>
                <w:bCs/>
                <w:color w:val="000000"/>
                <w:sz w:val="20"/>
                <w:szCs w:val="20"/>
                <w:lang w:val="cs-CZ"/>
              </w:rPr>
            </w:pPr>
            <w:r w:rsidRPr="0093556C">
              <w:rPr>
                <w:rFonts w:cs="Times New Roman"/>
                <w:b/>
                <w:bCs/>
                <w:color w:val="000000"/>
                <w:sz w:val="20"/>
                <w:szCs w:val="20"/>
                <w:lang w:val="cs-CZ"/>
              </w:rPr>
              <w:t>543,89</w:t>
            </w:r>
          </w:p>
        </w:tc>
      </w:tr>
      <w:tr w:rsidR="003E0F58" w:rsidRPr="0093556C" w14:paraId="23884E9D" w14:textId="77777777" w:rsidTr="004D2249">
        <w:trPr>
          <w:trHeight w:val="278"/>
        </w:trPr>
        <w:tc>
          <w:tcPr>
            <w:tcW w:w="3219" w:type="dxa"/>
            <w:tcBorders>
              <w:top w:val="nil"/>
              <w:left w:val="single" w:sz="12" w:space="0" w:color="auto"/>
              <w:bottom w:val="single" w:sz="4" w:space="0" w:color="auto"/>
              <w:right w:val="single" w:sz="12" w:space="0" w:color="auto"/>
            </w:tcBorders>
            <w:shd w:val="clear" w:color="auto" w:fill="auto"/>
            <w:noWrap/>
            <w:vAlign w:val="bottom"/>
            <w:hideMark/>
          </w:tcPr>
          <w:p w14:paraId="3C960785" w14:textId="77777777" w:rsidR="003E0F58" w:rsidRPr="0093556C" w:rsidRDefault="003E0F58" w:rsidP="004D2249">
            <w:pPr>
              <w:jc w:val="left"/>
              <w:rPr>
                <w:rFonts w:cs="Times New Roman"/>
                <w:b/>
                <w:bCs/>
                <w:i/>
                <w:iCs/>
                <w:color w:val="000000"/>
                <w:sz w:val="20"/>
                <w:szCs w:val="20"/>
                <w:lang w:val="cs-CZ"/>
              </w:rPr>
            </w:pPr>
            <w:r w:rsidRPr="0093556C">
              <w:rPr>
                <w:rFonts w:cs="Times New Roman"/>
                <w:b/>
                <w:bCs/>
                <w:i/>
                <w:iCs/>
                <w:color w:val="000000"/>
                <w:sz w:val="20"/>
                <w:szCs w:val="20"/>
                <w:lang w:val="cs-CZ"/>
              </w:rPr>
              <w:t xml:space="preserve"> - orná půda</w:t>
            </w:r>
          </w:p>
        </w:tc>
        <w:tc>
          <w:tcPr>
            <w:tcW w:w="1170" w:type="dxa"/>
            <w:tcBorders>
              <w:top w:val="nil"/>
              <w:left w:val="single" w:sz="12" w:space="0" w:color="auto"/>
              <w:bottom w:val="single" w:sz="4" w:space="0" w:color="auto"/>
              <w:right w:val="single" w:sz="4" w:space="0" w:color="auto"/>
            </w:tcBorders>
            <w:shd w:val="clear" w:color="auto" w:fill="auto"/>
            <w:noWrap/>
            <w:vAlign w:val="bottom"/>
            <w:hideMark/>
          </w:tcPr>
          <w:p w14:paraId="62AB5E18" w14:textId="77777777" w:rsidR="003E0F58" w:rsidRPr="0093556C" w:rsidRDefault="003E0F58" w:rsidP="004D2249">
            <w:pPr>
              <w:jc w:val="right"/>
              <w:rPr>
                <w:rFonts w:cs="Times New Roman"/>
                <w:b/>
                <w:bCs/>
                <w:i/>
                <w:iCs/>
                <w:color w:val="000000"/>
                <w:sz w:val="20"/>
                <w:szCs w:val="20"/>
                <w:lang w:val="cs-CZ"/>
              </w:rPr>
            </w:pPr>
            <w:r w:rsidRPr="0093556C">
              <w:rPr>
                <w:rFonts w:cs="Times New Roman"/>
                <w:b/>
                <w:bCs/>
                <w:i/>
                <w:iCs/>
                <w:color w:val="000000"/>
                <w:sz w:val="20"/>
                <w:szCs w:val="20"/>
                <w:lang w:val="cs-CZ"/>
              </w:rPr>
              <w:t>364,06</w:t>
            </w:r>
          </w:p>
        </w:tc>
        <w:tc>
          <w:tcPr>
            <w:tcW w:w="1188" w:type="dxa"/>
            <w:tcBorders>
              <w:top w:val="nil"/>
              <w:left w:val="nil"/>
              <w:bottom w:val="single" w:sz="4" w:space="0" w:color="auto"/>
              <w:right w:val="single" w:sz="4" w:space="0" w:color="auto"/>
            </w:tcBorders>
            <w:shd w:val="clear" w:color="auto" w:fill="auto"/>
            <w:noWrap/>
            <w:vAlign w:val="bottom"/>
            <w:hideMark/>
          </w:tcPr>
          <w:p w14:paraId="6345A452" w14:textId="77777777" w:rsidR="003E0F58" w:rsidRPr="0093556C" w:rsidRDefault="003E0F58" w:rsidP="004D2249">
            <w:pPr>
              <w:jc w:val="right"/>
              <w:rPr>
                <w:rFonts w:cs="Times New Roman"/>
                <w:b/>
                <w:bCs/>
                <w:i/>
                <w:iCs/>
                <w:color w:val="000000"/>
                <w:sz w:val="20"/>
                <w:szCs w:val="20"/>
                <w:lang w:val="cs-CZ"/>
              </w:rPr>
            </w:pPr>
            <w:r w:rsidRPr="0093556C">
              <w:rPr>
                <w:rFonts w:cs="Times New Roman"/>
                <w:b/>
                <w:bCs/>
                <w:i/>
                <w:iCs/>
                <w:color w:val="000000"/>
                <w:sz w:val="20"/>
                <w:szCs w:val="20"/>
                <w:lang w:val="cs-CZ"/>
              </w:rPr>
              <w:t>372,70</w:t>
            </w:r>
          </w:p>
        </w:tc>
        <w:tc>
          <w:tcPr>
            <w:tcW w:w="1188" w:type="dxa"/>
            <w:tcBorders>
              <w:top w:val="nil"/>
              <w:left w:val="nil"/>
              <w:bottom w:val="single" w:sz="4" w:space="0" w:color="auto"/>
              <w:right w:val="single" w:sz="4" w:space="0" w:color="auto"/>
            </w:tcBorders>
            <w:shd w:val="clear" w:color="auto" w:fill="auto"/>
            <w:noWrap/>
            <w:vAlign w:val="bottom"/>
            <w:hideMark/>
          </w:tcPr>
          <w:p w14:paraId="01BDC352" w14:textId="77777777" w:rsidR="003E0F58" w:rsidRPr="0093556C" w:rsidRDefault="003E0F58" w:rsidP="004D2249">
            <w:pPr>
              <w:jc w:val="right"/>
              <w:rPr>
                <w:rFonts w:cs="Times New Roman"/>
                <w:b/>
                <w:bCs/>
                <w:i/>
                <w:iCs/>
                <w:color w:val="000000"/>
                <w:sz w:val="20"/>
                <w:szCs w:val="20"/>
                <w:lang w:val="cs-CZ"/>
              </w:rPr>
            </w:pPr>
            <w:r w:rsidRPr="0093556C">
              <w:rPr>
                <w:rFonts w:cs="Times New Roman"/>
                <w:b/>
                <w:bCs/>
                <w:i/>
                <w:iCs/>
                <w:color w:val="000000"/>
                <w:sz w:val="20"/>
                <w:szCs w:val="20"/>
                <w:lang w:val="cs-CZ"/>
              </w:rPr>
              <w:t>375,61</w:t>
            </w:r>
          </w:p>
        </w:tc>
        <w:tc>
          <w:tcPr>
            <w:tcW w:w="1188" w:type="dxa"/>
            <w:tcBorders>
              <w:top w:val="nil"/>
              <w:left w:val="nil"/>
              <w:bottom w:val="single" w:sz="4" w:space="0" w:color="auto"/>
              <w:right w:val="single" w:sz="4" w:space="0" w:color="auto"/>
            </w:tcBorders>
            <w:shd w:val="clear" w:color="auto" w:fill="auto"/>
            <w:noWrap/>
            <w:vAlign w:val="bottom"/>
            <w:hideMark/>
          </w:tcPr>
          <w:p w14:paraId="67FAD8FC" w14:textId="77777777" w:rsidR="003E0F58" w:rsidRPr="0093556C" w:rsidRDefault="003E0F58" w:rsidP="004D2249">
            <w:pPr>
              <w:jc w:val="right"/>
              <w:rPr>
                <w:rFonts w:cs="Times New Roman"/>
                <w:b/>
                <w:bCs/>
                <w:i/>
                <w:iCs/>
                <w:color w:val="000000"/>
                <w:sz w:val="20"/>
                <w:szCs w:val="20"/>
                <w:lang w:val="cs-CZ"/>
              </w:rPr>
            </w:pPr>
            <w:r w:rsidRPr="0093556C">
              <w:rPr>
                <w:rFonts w:cs="Times New Roman"/>
                <w:b/>
                <w:bCs/>
                <w:i/>
                <w:iCs/>
                <w:color w:val="000000"/>
                <w:sz w:val="20"/>
                <w:szCs w:val="20"/>
                <w:lang w:val="cs-CZ"/>
              </w:rPr>
              <w:t>378,05</w:t>
            </w:r>
          </w:p>
        </w:tc>
        <w:tc>
          <w:tcPr>
            <w:tcW w:w="1188" w:type="dxa"/>
            <w:tcBorders>
              <w:top w:val="nil"/>
              <w:left w:val="nil"/>
              <w:bottom w:val="single" w:sz="4" w:space="0" w:color="auto"/>
              <w:right w:val="single" w:sz="4" w:space="0" w:color="auto"/>
            </w:tcBorders>
            <w:shd w:val="clear" w:color="auto" w:fill="auto"/>
            <w:noWrap/>
            <w:vAlign w:val="bottom"/>
            <w:hideMark/>
          </w:tcPr>
          <w:p w14:paraId="1D631E3B" w14:textId="77777777" w:rsidR="003E0F58" w:rsidRPr="0093556C" w:rsidRDefault="003E0F58" w:rsidP="004D2249">
            <w:pPr>
              <w:jc w:val="right"/>
              <w:rPr>
                <w:rFonts w:cs="Times New Roman"/>
                <w:b/>
                <w:bCs/>
                <w:i/>
                <w:iCs/>
                <w:color w:val="000000"/>
                <w:sz w:val="20"/>
                <w:szCs w:val="20"/>
                <w:lang w:val="cs-CZ"/>
              </w:rPr>
            </w:pPr>
            <w:r w:rsidRPr="0093556C">
              <w:rPr>
                <w:rFonts w:cs="Times New Roman"/>
                <w:b/>
                <w:bCs/>
                <w:i/>
                <w:iCs/>
                <w:color w:val="000000"/>
                <w:sz w:val="20"/>
                <w:szCs w:val="20"/>
                <w:lang w:val="cs-CZ"/>
              </w:rPr>
              <w:t>380,91</w:t>
            </w:r>
          </w:p>
        </w:tc>
        <w:tc>
          <w:tcPr>
            <w:tcW w:w="1188" w:type="dxa"/>
            <w:tcBorders>
              <w:top w:val="nil"/>
              <w:left w:val="nil"/>
              <w:bottom w:val="single" w:sz="4" w:space="0" w:color="auto"/>
              <w:right w:val="single" w:sz="4" w:space="0" w:color="auto"/>
            </w:tcBorders>
            <w:shd w:val="clear" w:color="auto" w:fill="auto"/>
            <w:noWrap/>
            <w:vAlign w:val="bottom"/>
            <w:hideMark/>
          </w:tcPr>
          <w:p w14:paraId="7E8B9060" w14:textId="77777777" w:rsidR="003E0F58" w:rsidRPr="0093556C" w:rsidRDefault="003E0F58" w:rsidP="004D2249">
            <w:pPr>
              <w:jc w:val="right"/>
              <w:rPr>
                <w:rFonts w:cs="Times New Roman"/>
                <w:b/>
                <w:bCs/>
                <w:i/>
                <w:iCs/>
                <w:color w:val="000000"/>
                <w:sz w:val="20"/>
                <w:szCs w:val="20"/>
                <w:lang w:val="cs-CZ"/>
              </w:rPr>
            </w:pPr>
            <w:r w:rsidRPr="0093556C">
              <w:rPr>
                <w:rFonts w:cs="Times New Roman"/>
                <w:b/>
                <w:bCs/>
                <w:i/>
                <w:iCs/>
                <w:color w:val="000000"/>
                <w:sz w:val="20"/>
                <w:szCs w:val="20"/>
                <w:lang w:val="cs-CZ"/>
              </w:rPr>
              <w:t>386,27</w:t>
            </w:r>
          </w:p>
        </w:tc>
        <w:tc>
          <w:tcPr>
            <w:tcW w:w="1188" w:type="dxa"/>
            <w:tcBorders>
              <w:top w:val="nil"/>
              <w:left w:val="nil"/>
              <w:bottom w:val="single" w:sz="4" w:space="0" w:color="auto"/>
              <w:right w:val="single" w:sz="4" w:space="0" w:color="auto"/>
            </w:tcBorders>
            <w:shd w:val="clear" w:color="auto" w:fill="auto"/>
            <w:noWrap/>
            <w:vAlign w:val="bottom"/>
            <w:hideMark/>
          </w:tcPr>
          <w:p w14:paraId="4B2EB600" w14:textId="77777777" w:rsidR="003E0F58" w:rsidRPr="0093556C" w:rsidRDefault="003E0F58" w:rsidP="004D2249">
            <w:pPr>
              <w:jc w:val="right"/>
              <w:rPr>
                <w:rFonts w:cs="Times New Roman"/>
                <w:b/>
                <w:bCs/>
                <w:i/>
                <w:iCs/>
                <w:color w:val="000000"/>
                <w:sz w:val="20"/>
                <w:szCs w:val="20"/>
                <w:lang w:val="cs-CZ"/>
              </w:rPr>
            </w:pPr>
            <w:r w:rsidRPr="0093556C">
              <w:rPr>
                <w:rFonts w:cs="Times New Roman"/>
                <w:b/>
                <w:bCs/>
                <w:i/>
                <w:iCs/>
                <w:color w:val="000000"/>
                <w:sz w:val="20"/>
                <w:szCs w:val="20"/>
                <w:lang w:val="cs-CZ"/>
              </w:rPr>
              <w:t>389,37</w:t>
            </w:r>
          </w:p>
        </w:tc>
        <w:tc>
          <w:tcPr>
            <w:tcW w:w="1188" w:type="dxa"/>
            <w:tcBorders>
              <w:top w:val="nil"/>
              <w:left w:val="nil"/>
              <w:bottom w:val="single" w:sz="4" w:space="0" w:color="auto"/>
              <w:right w:val="single" w:sz="4" w:space="0" w:color="auto"/>
            </w:tcBorders>
            <w:shd w:val="clear" w:color="auto" w:fill="auto"/>
            <w:noWrap/>
            <w:vAlign w:val="bottom"/>
            <w:hideMark/>
          </w:tcPr>
          <w:p w14:paraId="5A08F30B" w14:textId="77777777" w:rsidR="003E0F58" w:rsidRPr="0093556C" w:rsidRDefault="003E0F58" w:rsidP="004D2249">
            <w:pPr>
              <w:jc w:val="right"/>
              <w:rPr>
                <w:rFonts w:cs="Times New Roman"/>
                <w:b/>
                <w:bCs/>
                <w:i/>
                <w:iCs/>
                <w:color w:val="000000"/>
                <w:sz w:val="20"/>
                <w:szCs w:val="20"/>
                <w:lang w:val="cs-CZ"/>
              </w:rPr>
            </w:pPr>
            <w:r w:rsidRPr="0093556C">
              <w:rPr>
                <w:rFonts w:cs="Times New Roman"/>
                <w:b/>
                <w:bCs/>
                <w:i/>
                <w:iCs/>
                <w:color w:val="000000"/>
                <w:sz w:val="20"/>
                <w:szCs w:val="20"/>
                <w:lang w:val="cs-CZ"/>
              </w:rPr>
              <w:t>393,86</w:t>
            </w:r>
          </w:p>
        </w:tc>
        <w:tc>
          <w:tcPr>
            <w:tcW w:w="1188" w:type="dxa"/>
            <w:tcBorders>
              <w:top w:val="nil"/>
              <w:left w:val="nil"/>
              <w:bottom w:val="single" w:sz="4" w:space="0" w:color="auto"/>
              <w:right w:val="single" w:sz="4" w:space="0" w:color="auto"/>
            </w:tcBorders>
            <w:shd w:val="clear" w:color="auto" w:fill="auto"/>
            <w:noWrap/>
            <w:vAlign w:val="bottom"/>
            <w:hideMark/>
          </w:tcPr>
          <w:p w14:paraId="2460CD0E" w14:textId="77777777" w:rsidR="003E0F58" w:rsidRPr="0093556C" w:rsidRDefault="003E0F58" w:rsidP="004D2249">
            <w:pPr>
              <w:jc w:val="right"/>
              <w:rPr>
                <w:rFonts w:cs="Times New Roman"/>
                <w:b/>
                <w:bCs/>
                <w:i/>
                <w:iCs/>
                <w:color w:val="000000"/>
                <w:sz w:val="20"/>
                <w:szCs w:val="20"/>
                <w:lang w:val="cs-CZ"/>
              </w:rPr>
            </w:pPr>
            <w:r w:rsidRPr="0093556C">
              <w:rPr>
                <w:rFonts w:cs="Times New Roman"/>
                <w:b/>
                <w:bCs/>
                <w:i/>
                <w:iCs/>
                <w:color w:val="000000"/>
                <w:sz w:val="20"/>
                <w:szCs w:val="20"/>
                <w:lang w:val="cs-CZ"/>
              </w:rPr>
              <w:t>397,52</w:t>
            </w:r>
          </w:p>
        </w:tc>
        <w:tc>
          <w:tcPr>
            <w:tcW w:w="1188" w:type="dxa"/>
            <w:tcBorders>
              <w:top w:val="nil"/>
              <w:left w:val="nil"/>
              <w:bottom w:val="single" w:sz="4" w:space="0" w:color="auto"/>
              <w:right w:val="single" w:sz="4" w:space="0" w:color="auto"/>
            </w:tcBorders>
            <w:shd w:val="clear" w:color="auto" w:fill="auto"/>
            <w:noWrap/>
            <w:vAlign w:val="bottom"/>
            <w:hideMark/>
          </w:tcPr>
          <w:p w14:paraId="30A766AE" w14:textId="77777777" w:rsidR="003E0F58" w:rsidRPr="0093556C" w:rsidRDefault="003E0F58" w:rsidP="004D2249">
            <w:pPr>
              <w:jc w:val="right"/>
              <w:rPr>
                <w:rFonts w:cs="Times New Roman"/>
                <w:b/>
                <w:bCs/>
                <w:i/>
                <w:iCs/>
                <w:color w:val="000000"/>
                <w:sz w:val="20"/>
                <w:szCs w:val="20"/>
                <w:lang w:val="cs-CZ"/>
              </w:rPr>
            </w:pPr>
            <w:r w:rsidRPr="0093556C">
              <w:rPr>
                <w:rFonts w:cs="Times New Roman"/>
                <w:b/>
                <w:bCs/>
                <w:i/>
                <w:iCs/>
                <w:color w:val="000000"/>
                <w:sz w:val="20"/>
                <w:szCs w:val="20"/>
                <w:lang w:val="cs-CZ"/>
              </w:rPr>
              <w:t>401,03</w:t>
            </w:r>
          </w:p>
        </w:tc>
        <w:tc>
          <w:tcPr>
            <w:tcW w:w="1207" w:type="dxa"/>
            <w:tcBorders>
              <w:top w:val="nil"/>
              <w:left w:val="nil"/>
              <w:bottom w:val="single" w:sz="4" w:space="0" w:color="auto"/>
              <w:right w:val="single" w:sz="12" w:space="0" w:color="auto"/>
            </w:tcBorders>
            <w:shd w:val="clear" w:color="auto" w:fill="auto"/>
            <w:noWrap/>
            <w:vAlign w:val="bottom"/>
            <w:hideMark/>
          </w:tcPr>
          <w:p w14:paraId="211AFDD3" w14:textId="77777777" w:rsidR="003E0F58" w:rsidRPr="0093556C" w:rsidRDefault="003E0F58" w:rsidP="004D2249">
            <w:pPr>
              <w:jc w:val="right"/>
              <w:rPr>
                <w:rFonts w:cs="Times New Roman"/>
                <w:b/>
                <w:bCs/>
                <w:i/>
                <w:iCs/>
                <w:color w:val="000000"/>
                <w:sz w:val="20"/>
                <w:szCs w:val="20"/>
                <w:lang w:val="cs-CZ"/>
              </w:rPr>
            </w:pPr>
            <w:r w:rsidRPr="0093556C">
              <w:rPr>
                <w:rFonts w:cs="Times New Roman"/>
                <w:b/>
                <w:bCs/>
                <w:i/>
                <w:iCs/>
                <w:color w:val="000000"/>
                <w:sz w:val="20"/>
                <w:szCs w:val="20"/>
                <w:lang w:val="cs-CZ"/>
              </w:rPr>
              <w:t>404,14</w:t>
            </w:r>
          </w:p>
        </w:tc>
      </w:tr>
      <w:tr w:rsidR="003E0F58" w:rsidRPr="0093556C" w14:paraId="260E92EB" w14:textId="77777777" w:rsidTr="004D2249">
        <w:trPr>
          <w:trHeight w:val="293"/>
        </w:trPr>
        <w:tc>
          <w:tcPr>
            <w:tcW w:w="3219" w:type="dxa"/>
            <w:tcBorders>
              <w:top w:val="nil"/>
              <w:left w:val="single" w:sz="12" w:space="0" w:color="auto"/>
              <w:bottom w:val="single" w:sz="12" w:space="0" w:color="auto"/>
              <w:right w:val="single" w:sz="12" w:space="0" w:color="auto"/>
            </w:tcBorders>
            <w:shd w:val="clear" w:color="auto" w:fill="auto"/>
            <w:noWrap/>
            <w:vAlign w:val="bottom"/>
            <w:hideMark/>
          </w:tcPr>
          <w:p w14:paraId="3F3C9109" w14:textId="77777777" w:rsidR="003E0F58" w:rsidRPr="0093556C" w:rsidRDefault="003E0F58" w:rsidP="004D2249">
            <w:pPr>
              <w:jc w:val="left"/>
              <w:rPr>
                <w:rFonts w:cs="Times New Roman"/>
                <w:b/>
                <w:bCs/>
                <w:i/>
                <w:iCs/>
                <w:color w:val="000000"/>
                <w:sz w:val="20"/>
                <w:szCs w:val="20"/>
                <w:lang w:val="cs-CZ"/>
              </w:rPr>
            </w:pPr>
            <w:r w:rsidRPr="0093556C">
              <w:rPr>
                <w:rFonts w:cs="Times New Roman"/>
                <w:b/>
                <w:bCs/>
                <w:i/>
                <w:iCs/>
                <w:color w:val="000000"/>
                <w:sz w:val="20"/>
                <w:szCs w:val="20"/>
                <w:lang w:val="cs-CZ"/>
              </w:rPr>
              <w:t xml:space="preserve"> - TTP</w:t>
            </w:r>
          </w:p>
        </w:tc>
        <w:tc>
          <w:tcPr>
            <w:tcW w:w="1170" w:type="dxa"/>
            <w:tcBorders>
              <w:top w:val="nil"/>
              <w:left w:val="single" w:sz="12" w:space="0" w:color="auto"/>
              <w:bottom w:val="single" w:sz="12" w:space="0" w:color="auto"/>
              <w:right w:val="single" w:sz="4" w:space="0" w:color="auto"/>
            </w:tcBorders>
            <w:shd w:val="clear" w:color="auto" w:fill="auto"/>
            <w:noWrap/>
            <w:vAlign w:val="bottom"/>
            <w:hideMark/>
          </w:tcPr>
          <w:p w14:paraId="1194E25C" w14:textId="77777777" w:rsidR="003E0F58" w:rsidRPr="0093556C" w:rsidRDefault="003E0F58" w:rsidP="004D2249">
            <w:pPr>
              <w:jc w:val="right"/>
              <w:rPr>
                <w:rFonts w:cs="Times New Roman"/>
                <w:b/>
                <w:bCs/>
                <w:i/>
                <w:iCs/>
                <w:color w:val="000000"/>
                <w:sz w:val="20"/>
                <w:szCs w:val="20"/>
                <w:lang w:val="cs-CZ"/>
              </w:rPr>
            </w:pPr>
            <w:r w:rsidRPr="0093556C">
              <w:rPr>
                <w:rFonts w:cs="Times New Roman"/>
                <w:b/>
                <w:bCs/>
                <w:i/>
                <w:iCs/>
                <w:color w:val="000000"/>
                <w:sz w:val="20"/>
                <w:szCs w:val="20"/>
                <w:lang w:val="cs-CZ"/>
              </w:rPr>
              <w:t>123,78</w:t>
            </w:r>
          </w:p>
        </w:tc>
        <w:tc>
          <w:tcPr>
            <w:tcW w:w="1188" w:type="dxa"/>
            <w:tcBorders>
              <w:top w:val="nil"/>
              <w:left w:val="nil"/>
              <w:bottom w:val="single" w:sz="12" w:space="0" w:color="auto"/>
              <w:right w:val="single" w:sz="4" w:space="0" w:color="auto"/>
            </w:tcBorders>
            <w:shd w:val="clear" w:color="auto" w:fill="auto"/>
            <w:noWrap/>
            <w:vAlign w:val="bottom"/>
            <w:hideMark/>
          </w:tcPr>
          <w:p w14:paraId="17BC9FF7" w14:textId="77777777" w:rsidR="003E0F58" w:rsidRPr="0093556C" w:rsidRDefault="003E0F58" w:rsidP="004D2249">
            <w:pPr>
              <w:jc w:val="right"/>
              <w:rPr>
                <w:rFonts w:cs="Times New Roman"/>
                <w:b/>
                <w:bCs/>
                <w:i/>
                <w:iCs/>
                <w:color w:val="000000"/>
                <w:sz w:val="20"/>
                <w:szCs w:val="20"/>
                <w:lang w:val="cs-CZ"/>
              </w:rPr>
            </w:pPr>
            <w:r w:rsidRPr="0093556C">
              <w:rPr>
                <w:rFonts w:cs="Times New Roman"/>
                <w:b/>
                <w:bCs/>
                <w:i/>
                <w:iCs/>
                <w:color w:val="000000"/>
                <w:sz w:val="20"/>
                <w:szCs w:val="20"/>
                <w:lang w:val="cs-CZ"/>
              </w:rPr>
              <w:t>122,74</w:t>
            </w:r>
          </w:p>
        </w:tc>
        <w:tc>
          <w:tcPr>
            <w:tcW w:w="1188" w:type="dxa"/>
            <w:tcBorders>
              <w:top w:val="nil"/>
              <w:left w:val="nil"/>
              <w:bottom w:val="single" w:sz="12" w:space="0" w:color="auto"/>
              <w:right w:val="single" w:sz="4" w:space="0" w:color="auto"/>
            </w:tcBorders>
            <w:shd w:val="clear" w:color="auto" w:fill="auto"/>
            <w:noWrap/>
            <w:vAlign w:val="bottom"/>
            <w:hideMark/>
          </w:tcPr>
          <w:p w14:paraId="3A519794" w14:textId="77777777" w:rsidR="003E0F58" w:rsidRPr="0093556C" w:rsidRDefault="003E0F58" w:rsidP="004D2249">
            <w:pPr>
              <w:jc w:val="right"/>
              <w:rPr>
                <w:rFonts w:cs="Times New Roman"/>
                <w:b/>
                <w:bCs/>
                <w:i/>
                <w:iCs/>
                <w:color w:val="000000"/>
                <w:sz w:val="20"/>
                <w:szCs w:val="20"/>
                <w:lang w:val="cs-CZ"/>
              </w:rPr>
            </w:pPr>
            <w:r w:rsidRPr="0093556C">
              <w:rPr>
                <w:rFonts w:cs="Times New Roman"/>
                <w:b/>
                <w:bCs/>
                <w:i/>
                <w:iCs/>
                <w:color w:val="000000"/>
                <w:sz w:val="20"/>
                <w:szCs w:val="20"/>
                <w:lang w:val="cs-CZ"/>
              </w:rPr>
              <w:t>124,25</w:t>
            </w:r>
          </w:p>
        </w:tc>
        <w:tc>
          <w:tcPr>
            <w:tcW w:w="1188" w:type="dxa"/>
            <w:tcBorders>
              <w:top w:val="nil"/>
              <w:left w:val="nil"/>
              <w:bottom w:val="single" w:sz="12" w:space="0" w:color="auto"/>
              <w:right w:val="single" w:sz="4" w:space="0" w:color="auto"/>
            </w:tcBorders>
            <w:shd w:val="clear" w:color="auto" w:fill="auto"/>
            <w:noWrap/>
            <w:vAlign w:val="bottom"/>
            <w:hideMark/>
          </w:tcPr>
          <w:p w14:paraId="6730E23A" w14:textId="77777777" w:rsidR="003E0F58" w:rsidRPr="0093556C" w:rsidRDefault="003E0F58" w:rsidP="004D2249">
            <w:pPr>
              <w:jc w:val="right"/>
              <w:rPr>
                <w:rFonts w:cs="Times New Roman"/>
                <w:b/>
                <w:bCs/>
                <w:i/>
                <w:iCs/>
                <w:color w:val="000000"/>
                <w:sz w:val="20"/>
                <w:szCs w:val="20"/>
                <w:lang w:val="cs-CZ"/>
              </w:rPr>
            </w:pPr>
            <w:r w:rsidRPr="0093556C">
              <w:rPr>
                <w:rFonts w:cs="Times New Roman"/>
                <w:b/>
                <w:bCs/>
                <w:i/>
                <w:iCs/>
                <w:color w:val="000000"/>
                <w:sz w:val="20"/>
                <w:szCs w:val="20"/>
                <w:lang w:val="cs-CZ"/>
              </w:rPr>
              <w:t>125,18</w:t>
            </w:r>
          </w:p>
        </w:tc>
        <w:tc>
          <w:tcPr>
            <w:tcW w:w="1188" w:type="dxa"/>
            <w:tcBorders>
              <w:top w:val="nil"/>
              <w:left w:val="nil"/>
              <w:bottom w:val="single" w:sz="12" w:space="0" w:color="auto"/>
              <w:right w:val="single" w:sz="4" w:space="0" w:color="auto"/>
            </w:tcBorders>
            <w:shd w:val="clear" w:color="auto" w:fill="auto"/>
            <w:noWrap/>
            <w:vAlign w:val="bottom"/>
            <w:hideMark/>
          </w:tcPr>
          <w:p w14:paraId="5963C6A0" w14:textId="77777777" w:rsidR="003E0F58" w:rsidRPr="0093556C" w:rsidRDefault="003E0F58" w:rsidP="004D2249">
            <w:pPr>
              <w:jc w:val="right"/>
              <w:rPr>
                <w:rFonts w:cs="Times New Roman"/>
                <w:b/>
                <w:bCs/>
                <w:i/>
                <w:iCs/>
                <w:color w:val="000000"/>
                <w:sz w:val="20"/>
                <w:szCs w:val="20"/>
                <w:lang w:val="cs-CZ"/>
              </w:rPr>
            </w:pPr>
            <w:r w:rsidRPr="0093556C">
              <w:rPr>
                <w:rFonts w:cs="Times New Roman"/>
                <w:b/>
                <w:bCs/>
                <w:i/>
                <w:iCs/>
                <w:color w:val="000000"/>
                <w:sz w:val="20"/>
                <w:szCs w:val="20"/>
                <w:lang w:val="cs-CZ"/>
              </w:rPr>
              <w:t>126,27</w:t>
            </w:r>
          </w:p>
        </w:tc>
        <w:tc>
          <w:tcPr>
            <w:tcW w:w="1188" w:type="dxa"/>
            <w:tcBorders>
              <w:top w:val="nil"/>
              <w:left w:val="nil"/>
              <w:bottom w:val="single" w:sz="12" w:space="0" w:color="auto"/>
              <w:right w:val="single" w:sz="4" w:space="0" w:color="auto"/>
            </w:tcBorders>
            <w:shd w:val="clear" w:color="auto" w:fill="auto"/>
            <w:noWrap/>
            <w:vAlign w:val="bottom"/>
            <w:hideMark/>
          </w:tcPr>
          <w:p w14:paraId="63C7D61E" w14:textId="77777777" w:rsidR="003E0F58" w:rsidRPr="0093556C" w:rsidRDefault="003E0F58" w:rsidP="004D2249">
            <w:pPr>
              <w:jc w:val="right"/>
              <w:rPr>
                <w:rFonts w:cs="Times New Roman"/>
                <w:b/>
                <w:bCs/>
                <w:i/>
                <w:iCs/>
                <w:color w:val="000000"/>
                <w:sz w:val="20"/>
                <w:szCs w:val="20"/>
                <w:lang w:val="cs-CZ"/>
              </w:rPr>
            </w:pPr>
            <w:r w:rsidRPr="0093556C">
              <w:rPr>
                <w:rFonts w:cs="Times New Roman"/>
                <w:b/>
                <w:bCs/>
                <w:i/>
                <w:iCs/>
                <w:color w:val="000000"/>
                <w:sz w:val="20"/>
                <w:szCs w:val="20"/>
                <w:lang w:val="cs-CZ"/>
              </w:rPr>
              <w:t>129,82</w:t>
            </w:r>
          </w:p>
        </w:tc>
        <w:tc>
          <w:tcPr>
            <w:tcW w:w="1188" w:type="dxa"/>
            <w:tcBorders>
              <w:top w:val="nil"/>
              <w:left w:val="nil"/>
              <w:bottom w:val="single" w:sz="12" w:space="0" w:color="auto"/>
              <w:right w:val="single" w:sz="4" w:space="0" w:color="auto"/>
            </w:tcBorders>
            <w:shd w:val="clear" w:color="auto" w:fill="auto"/>
            <w:noWrap/>
            <w:vAlign w:val="bottom"/>
            <w:hideMark/>
          </w:tcPr>
          <w:p w14:paraId="046E2F9E" w14:textId="77777777" w:rsidR="003E0F58" w:rsidRPr="0093556C" w:rsidRDefault="003E0F58" w:rsidP="004D2249">
            <w:pPr>
              <w:jc w:val="right"/>
              <w:rPr>
                <w:rFonts w:cs="Times New Roman"/>
                <w:b/>
                <w:bCs/>
                <w:i/>
                <w:iCs/>
                <w:color w:val="000000"/>
                <w:sz w:val="20"/>
                <w:szCs w:val="20"/>
                <w:lang w:val="cs-CZ"/>
              </w:rPr>
            </w:pPr>
            <w:r w:rsidRPr="0093556C">
              <w:rPr>
                <w:rFonts w:cs="Times New Roman"/>
                <w:b/>
                <w:bCs/>
                <w:i/>
                <w:iCs/>
                <w:color w:val="000000"/>
                <w:sz w:val="20"/>
                <w:szCs w:val="20"/>
                <w:lang w:val="cs-CZ"/>
              </w:rPr>
              <w:t>131,78</w:t>
            </w:r>
          </w:p>
        </w:tc>
        <w:tc>
          <w:tcPr>
            <w:tcW w:w="1188" w:type="dxa"/>
            <w:tcBorders>
              <w:top w:val="nil"/>
              <w:left w:val="nil"/>
              <w:bottom w:val="single" w:sz="12" w:space="0" w:color="auto"/>
              <w:right w:val="single" w:sz="4" w:space="0" w:color="auto"/>
            </w:tcBorders>
            <w:shd w:val="clear" w:color="auto" w:fill="auto"/>
            <w:noWrap/>
            <w:vAlign w:val="bottom"/>
            <w:hideMark/>
          </w:tcPr>
          <w:p w14:paraId="12257766" w14:textId="77777777" w:rsidR="003E0F58" w:rsidRPr="0093556C" w:rsidRDefault="003E0F58" w:rsidP="004D2249">
            <w:pPr>
              <w:jc w:val="right"/>
              <w:rPr>
                <w:rFonts w:cs="Times New Roman"/>
                <w:b/>
                <w:bCs/>
                <w:i/>
                <w:iCs/>
                <w:color w:val="000000"/>
                <w:sz w:val="20"/>
                <w:szCs w:val="20"/>
                <w:lang w:val="cs-CZ"/>
              </w:rPr>
            </w:pPr>
            <w:r w:rsidRPr="0093556C">
              <w:rPr>
                <w:rFonts w:cs="Times New Roman"/>
                <w:b/>
                <w:bCs/>
                <w:i/>
                <w:iCs/>
                <w:color w:val="000000"/>
                <w:sz w:val="20"/>
                <w:szCs w:val="20"/>
                <w:lang w:val="cs-CZ"/>
              </w:rPr>
              <w:t>134,65</w:t>
            </w:r>
          </w:p>
        </w:tc>
        <w:tc>
          <w:tcPr>
            <w:tcW w:w="1188" w:type="dxa"/>
            <w:tcBorders>
              <w:top w:val="nil"/>
              <w:left w:val="nil"/>
              <w:bottom w:val="single" w:sz="12" w:space="0" w:color="auto"/>
              <w:right w:val="single" w:sz="4" w:space="0" w:color="auto"/>
            </w:tcBorders>
            <w:shd w:val="clear" w:color="auto" w:fill="auto"/>
            <w:noWrap/>
            <w:vAlign w:val="bottom"/>
            <w:hideMark/>
          </w:tcPr>
          <w:p w14:paraId="426243F8" w14:textId="77777777" w:rsidR="003E0F58" w:rsidRPr="0093556C" w:rsidRDefault="003E0F58" w:rsidP="004D2249">
            <w:pPr>
              <w:jc w:val="right"/>
              <w:rPr>
                <w:rFonts w:cs="Times New Roman"/>
                <w:b/>
                <w:bCs/>
                <w:i/>
                <w:iCs/>
                <w:color w:val="000000"/>
                <w:sz w:val="20"/>
                <w:szCs w:val="20"/>
                <w:lang w:val="cs-CZ"/>
              </w:rPr>
            </w:pPr>
            <w:r w:rsidRPr="0093556C">
              <w:rPr>
                <w:rFonts w:cs="Times New Roman"/>
                <w:b/>
                <w:bCs/>
                <w:i/>
                <w:iCs/>
                <w:color w:val="000000"/>
                <w:sz w:val="20"/>
                <w:szCs w:val="20"/>
                <w:lang w:val="cs-CZ"/>
              </w:rPr>
              <w:t>136,56</w:t>
            </w:r>
          </w:p>
        </w:tc>
        <w:tc>
          <w:tcPr>
            <w:tcW w:w="1188" w:type="dxa"/>
            <w:tcBorders>
              <w:top w:val="nil"/>
              <w:left w:val="nil"/>
              <w:bottom w:val="single" w:sz="12" w:space="0" w:color="auto"/>
              <w:right w:val="single" w:sz="4" w:space="0" w:color="auto"/>
            </w:tcBorders>
            <w:shd w:val="clear" w:color="auto" w:fill="auto"/>
            <w:noWrap/>
            <w:vAlign w:val="bottom"/>
            <w:hideMark/>
          </w:tcPr>
          <w:p w14:paraId="4ED6589C" w14:textId="77777777" w:rsidR="003E0F58" w:rsidRPr="0093556C" w:rsidRDefault="003E0F58" w:rsidP="004D2249">
            <w:pPr>
              <w:jc w:val="right"/>
              <w:rPr>
                <w:rFonts w:cs="Times New Roman"/>
                <w:b/>
                <w:bCs/>
                <w:i/>
                <w:iCs/>
                <w:color w:val="000000"/>
                <w:sz w:val="20"/>
                <w:szCs w:val="20"/>
                <w:lang w:val="cs-CZ"/>
              </w:rPr>
            </w:pPr>
            <w:r w:rsidRPr="0093556C">
              <w:rPr>
                <w:rFonts w:cs="Times New Roman"/>
                <w:b/>
                <w:bCs/>
                <w:i/>
                <w:iCs/>
                <w:color w:val="000000"/>
                <w:sz w:val="20"/>
                <w:szCs w:val="20"/>
                <w:lang w:val="cs-CZ"/>
              </w:rPr>
              <w:t>138,15</w:t>
            </w:r>
          </w:p>
        </w:tc>
        <w:tc>
          <w:tcPr>
            <w:tcW w:w="1207" w:type="dxa"/>
            <w:tcBorders>
              <w:top w:val="nil"/>
              <w:left w:val="nil"/>
              <w:bottom w:val="single" w:sz="12" w:space="0" w:color="auto"/>
              <w:right w:val="single" w:sz="12" w:space="0" w:color="auto"/>
            </w:tcBorders>
            <w:shd w:val="clear" w:color="auto" w:fill="auto"/>
            <w:noWrap/>
            <w:vAlign w:val="bottom"/>
            <w:hideMark/>
          </w:tcPr>
          <w:p w14:paraId="10123882" w14:textId="77777777" w:rsidR="003E0F58" w:rsidRPr="0093556C" w:rsidRDefault="003E0F58" w:rsidP="004D2249">
            <w:pPr>
              <w:jc w:val="right"/>
              <w:rPr>
                <w:rFonts w:cs="Times New Roman"/>
                <w:b/>
                <w:bCs/>
                <w:i/>
                <w:iCs/>
                <w:color w:val="000000"/>
                <w:sz w:val="20"/>
                <w:szCs w:val="20"/>
                <w:lang w:val="cs-CZ"/>
              </w:rPr>
            </w:pPr>
            <w:r w:rsidRPr="0093556C">
              <w:rPr>
                <w:rFonts w:cs="Times New Roman"/>
                <w:b/>
                <w:bCs/>
                <w:i/>
                <w:iCs/>
                <w:color w:val="000000"/>
                <w:sz w:val="20"/>
                <w:szCs w:val="20"/>
                <w:lang w:val="cs-CZ"/>
              </w:rPr>
              <w:t>139,75</w:t>
            </w:r>
          </w:p>
        </w:tc>
      </w:tr>
    </w:tbl>
    <w:p w14:paraId="182703FC" w14:textId="77777777" w:rsidR="003E0F58" w:rsidRPr="007C705C" w:rsidRDefault="003E0F58" w:rsidP="0093556C">
      <w:pPr>
        <w:pStyle w:val="UZEIZdroj"/>
        <w:sectPr w:rsidR="003E0F58" w:rsidRPr="007C705C" w:rsidSect="004D2249">
          <w:pgSz w:w="16838" w:h="11906" w:orient="landscape"/>
          <w:pgMar w:top="1134" w:right="1417" w:bottom="1417" w:left="1417" w:header="708" w:footer="708" w:gutter="0"/>
          <w:cols w:space="708"/>
          <w:titlePg/>
          <w:docGrid w:linePitch="360"/>
        </w:sectPr>
      </w:pPr>
      <w:r w:rsidRPr="007C705C">
        <w:t>Zdroj: TÚ ÚZEI 52/4227 Analýza potravinového zabezpečení ČR ve vztahu k potenciálu obnovitelných zdrojů energie a dopadům změny klimatu (2019).</w:t>
      </w:r>
    </w:p>
    <w:p w14:paraId="7DA58E2A" w14:textId="79328A09" w:rsidR="003E0F58" w:rsidRPr="0093556C" w:rsidRDefault="003E0F58" w:rsidP="0093556C">
      <w:pPr>
        <w:pStyle w:val="UZEINormaln"/>
      </w:pPr>
      <w:r w:rsidRPr="007C705C">
        <w:lastRenderedPageBreak/>
        <w:t>Na základě údajů ČSÚ a s použitím matematického modelu 4-AGRO-2019 byly vypočítány potenciály využití zemědělské půdy pro produkci energetické biomasy, a to diferencovaně podle různé úrovně potravinového zabezpečení, tzn. aktuální současná úroveň a dále ve výši 100 %. Dále byly do těchto scénářů promítnuty negativní projevy klimatických změn týkající se zejména snížení výnosů vybraných hlavních plodin o 20 %.</w:t>
      </w:r>
    </w:p>
    <w:p w14:paraId="534BD4CC" w14:textId="77777777" w:rsidR="003E0F58" w:rsidRPr="007C705C" w:rsidRDefault="003E0F58" w:rsidP="0093556C">
      <w:pPr>
        <w:pStyle w:val="UZEINormaln"/>
        <w:rPr>
          <w:b/>
        </w:rPr>
      </w:pPr>
      <w:r w:rsidRPr="007C705C">
        <w:rPr>
          <w:b/>
        </w:rPr>
        <w:t>Výchozí charakteristiky (ČSÚ, 2017)</w:t>
      </w:r>
    </w:p>
    <w:p w14:paraId="1F2F738C" w14:textId="77777777" w:rsidR="003E0F58" w:rsidRPr="007C705C" w:rsidRDefault="003E0F58" w:rsidP="0093556C">
      <w:pPr>
        <w:pStyle w:val="UZEINormaln"/>
      </w:pPr>
      <w:r w:rsidRPr="007C705C">
        <w:t>Celková plocha zemědělské půdy: 3 548 tis. ha</w:t>
      </w:r>
    </w:p>
    <w:p w14:paraId="7A7088BD" w14:textId="77777777" w:rsidR="003E0F58" w:rsidRPr="007C705C" w:rsidRDefault="003E0F58" w:rsidP="0093556C">
      <w:pPr>
        <w:pStyle w:val="UZEINormaln"/>
      </w:pPr>
      <w:r w:rsidRPr="007C705C">
        <w:t>Počet dojnic: 370 tis. ks</w:t>
      </w:r>
    </w:p>
    <w:p w14:paraId="4A3AB46B" w14:textId="77777777" w:rsidR="003E0F58" w:rsidRPr="007C705C" w:rsidRDefault="003E0F58" w:rsidP="0093556C">
      <w:pPr>
        <w:pStyle w:val="UZEINormaln"/>
      </w:pPr>
      <w:r w:rsidRPr="007C705C">
        <w:t>KBTPM: 216 tis. ks</w:t>
      </w:r>
    </w:p>
    <w:p w14:paraId="49284D27" w14:textId="77777777" w:rsidR="003E0F58" w:rsidRPr="007C705C" w:rsidRDefault="003E0F58" w:rsidP="0093556C">
      <w:pPr>
        <w:pStyle w:val="UZEINormaln"/>
      </w:pPr>
      <w:r w:rsidRPr="007C705C">
        <w:t>Prasata celkem: 1 491 tis. ks</w:t>
      </w:r>
    </w:p>
    <w:p w14:paraId="2A24BAAB" w14:textId="77777777" w:rsidR="003E0F58" w:rsidRPr="007C705C" w:rsidRDefault="003E0F58" w:rsidP="0093556C">
      <w:pPr>
        <w:pStyle w:val="UZEINormaln"/>
      </w:pPr>
      <w:r w:rsidRPr="007C705C">
        <w:t>Drůbež celkem: 21 494 tis. ks</w:t>
      </w:r>
    </w:p>
    <w:p w14:paraId="5E1A025E" w14:textId="7FE7B998" w:rsidR="003E0F58" w:rsidRPr="007C705C" w:rsidRDefault="003E0F58" w:rsidP="0093556C">
      <w:pPr>
        <w:pStyle w:val="UZEIOdrky"/>
      </w:pPr>
      <w:r w:rsidRPr="007C705C">
        <w:t>z toho 13 751 tis. ks. brojleři, ostatní (kachny, husy, krůty)</w:t>
      </w:r>
    </w:p>
    <w:p w14:paraId="26D9BE98" w14:textId="4C963F4A" w:rsidR="003E0F58" w:rsidRPr="007C705C" w:rsidRDefault="003E0F58" w:rsidP="0093556C">
      <w:pPr>
        <w:pStyle w:val="UZEIOdrky"/>
      </w:pPr>
      <w:r w:rsidRPr="007C705C">
        <w:t>z toho 6 836 nosnice</w:t>
      </w:r>
    </w:p>
    <w:p w14:paraId="43A18D73" w14:textId="3B06E6E7" w:rsidR="003E0F58" w:rsidRPr="007C705C" w:rsidRDefault="003E0F58" w:rsidP="0093556C">
      <w:pPr>
        <w:pStyle w:val="UZEINormaln"/>
      </w:pPr>
      <w:r w:rsidRPr="007C705C">
        <w:t>V následující tabulce jsou znázorněny výsledky disponibilní půdy pro jiné než potravinářské využití. Hrubá volná plocha z.p. představuje zemědělskou půdu, která zbývá po odečtení ploch z.p. využitých k potravinové produkci z celkové výchozí plochy z.p. a to ve variantách „Aktuální současná úroveň potravinového zabezpečení“ a „100% úroveň potravinového zabezpečení“. V obou variantách jsou zohledněny jak „aktuální výnosy“ tak „výnosy snížené o 20 %“ jako případný důsledek klimatické změny. Čistá volná plocha z.p. pak charakterizuje totéž, ale zde jsou navíc odečteny plochy z.p., které jsou již využity k „jinému technickému užití“, což reprezentuje zejména bioenergetiku (tj. produkci biomasy pro BPS, výtopny a biopaliva 1. generace). Jedná se tak o skutečně volnou disponibilní z.p., kterou lze využít k plnění cílů dle NKEP.</w:t>
      </w:r>
    </w:p>
    <w:p w14:paraId="27BC5D4E" w14:textId="77777777" w:rsidR="003E0F58" w:rsidRPr="007C705C" w:rsidRDefault="003E0F58" w:rsidP="0093556C">
      <w:pPr>
        <w:pStyle w:val="UZEINormaln"/>
      </w:pPr>
    </w:p>
    <w:p w14:paraId="00543BBA" w14:textId="77777777" w:rsidR="003E0F58" w:rsidRPr="007C705C" w:rsidRDefault="003E0F58" w:rsidP="0093556C">
      <w:pPr>
        <w:pStyle w:val="UZEINormaln"/>
      </w:pPr>
      <w:r w:rsidRPr="007C705C">
        <w:br w:type="page"/>
      </w:r>
    </w:p>
    <w:p w14:paraId="3A83FF80" w14:textId="3916D11F" w:rsidR="003E0F58" w:rsidRPr="007C705C" w:rsidRDefault="003E0F58" w:rsidP="0093556C">
      <w:pPr>
        <w:pStyle w:val="UZEITaB"/>
      </w:pPr>
      <w:bookmarkStart w:id="663" w:name="_Toc77245889"/>
      <w:bookmarkStart w:id="664" w:name="_Toc94181659"/>
      <w:r w:rsidRPr="007C705C">
        <w:lastRenderedPageBreak/>
        <w:t>Volné plochy pro bioenergetiku (tis. ha)</w:t>
      </w:r>
      <w:bookmarkEnd w:id="663"/>
      <w:bookmarkEnd w:id="664"/>
    </w:p>
    <w:tbl>
      <w:tblPr>
        <w:tblW w:w="8956"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29"/>
        <w:gridCol w:w="1554"/>
        <w:gridCol w:w="1554"/>
        <w:gridCol w:w="1565"/>
        <w:gridCol w:w="1554"/>
      </w:tblGrid>
      <w:tr w:rsidR="003E0F58" w:rsidRPr="0093556C" w14:paraId="3DE27ED4" w14:textId="77777777" w:rsidTr="004D2249">
        <w:trPr>
          <w:trHeight w:val="422"/>
        </w:trPr>
        <w:tc>
          <w:tcPr>
            <w:tcW w:w="2729" w:type="dxa"/>
            <w:tcBorders>
              <w:top w:val="single" w:sz="12" w:space="0" w:color="auto"/>
              <w:left w:val="single" w:sz="12" w:space="0" w:color="auto"/>
              <w:bottom w:val="nil"/>
              <w:right w:val="single" w:sz="12" w:space="0" w:color="auto"/>
            </w:tcBorders>
            <w:shd w:val="clear" w:color="auto" w:fill="auto"/>
            <w:noWrap/>
            <w:vAlign w:val="bottom"/>
            <w:hideMark/>
          </w:tcPr>
          <w:p w14:paraId="74ED9C6D" w14:textId="77777777" w:rsidR="003E0F58" w:rsidRPr="0093556C" w:rsidRDefault="003E0F58" w:rsidP="004D2249">
            <w:pPr>
              <w:jc w:val="left"/>
              <w:rPr>
                <w:rFonts w:cs="Times New Roman"/>
                <w:sz w:val="20"/>
                <w:szCs w:val="20"/>
                <w:lang w:val="cs-CZ"/>
              </w:rPr>
            </w:pPr>
          </w:p>
        </w:tc>
        <w:tc>
          <w:tcPr>
            <w:tcW w:w="3108" w:type="dxa"/>
            <w:gridSpan w:val="2"/>
            <w:tcBorders>
              <w:top w:val="single" w:sz="12" w:space="0" w:color="auto"/>
              <w:left w:val="single" w:sz="12" w:space="0" w:color="auto"/>
              <w:bottom w:val="single" w:sz="12" w:space="0" w:color="auto"/>
              <w:right w:val="single" w:sz="12" w:space="0" w:color="auto"/>
            </w:tcBorders>
            <w:shd w:val="clear" w:color="auto" w:fill="auto"/>
            <w:vAlign w:val="center"/>
            <w:hideMark/>
          </w:tcPr>
          <w:p w14:paraId="5A970266" w14:textId="77777777" w:rsidR="003E0F58" w:rsidRPr="0093556C" w:rsidRDefault="003E0F58" w:rsidP="004D2249">
            <w:pPr>
              <w:jc w:val="center"/>
              <w:rPr>
                <w:rFonts w:cs="Times New Roman"/>
                <w:b/>
                <w:bCs/>
                <w:color w:val="000000"/>
                <w:sz w:val="20"/>
                <w:szCs w:val="20"/>
                <w:lang w:val="cs-CZ"/>
              </w:rPr>
            </w:pPr>
            <w:r w:rsidRPr="0093556C">
              <w:rPr>
                <w:rFonts w:cs="Times New Roman"/>
                <w:b/>
                <w:bCs/>
                <w:color w:val="000000"/>
                <w:sz w:val="20"/>
                <w:szCs w:val="20"/>
                <w:lang w:val="cs-CZ"/>
              </w:rPr>
              <w:t>Aktuální výnosy</w:t>
            </w:r>
          </w:p>
        </w:tc>
        <w:tc>
          <w:tcPr>
            <w:tcW w:w="3119" w:type="dxa"/>
            <w:gridSpan w:val="2"/>
            <w:tcBorders>
              <w:top w:val="single" w:sz="12" w:space="0" w:color="auto"/>
              <w:left w:val="single" w:sz="12" w:space="0" w:color="auto"/>
              <w:bottom w:val="single" w:sz="12" w:space="0" w:color="auto"/>
              <w:right w:val="single" w:sz="12" w:space="0" w:color="auto"/>
            </w:tcBorders>
            <w:shd w:val="clear" w:color="auto" w:fill="auto"/>
            <w:vAlign w:val="center"/>
            <w:hideMark/>
          </w:tcPr>
          <w:p w14:paraId="6E43E62F" w14:textId="77777777" w:rsidR="003E0F58" w:rsidRPr="0093556C" w:rsidRDefault="003E0F58" w:rsidP="004D2249">
            <w:pPr>
              <w:jc w:val="center"/>
              <w:rPr>
                <w:rFonts w:cs="Times New Roman"/>
                <w:b/>
                <w:bCs/>
                <w:color w:val="000000"/>
                <w:sz w:val="20"/>
                <w:szCs w:val="20"/>
                <w:lang w:val="cs-CZ"/>
              </w:rPr>
            </w:pPr>
            <w:r w:rsidRPr="0093556C">
              <w:rPr>
                <w:rFonts w:cs="Times New Roman"/>
                <w:b/>
                <w:bCs/>
                <w:color w:val="000000"/>
                <w:sz w:val="20"/>
                <w:szCs w:val="20"/>
                <w:lang w:val="cs-CZ"/>
              </w:rPr>
              <w:t>Výnosy snížené o 20 %</w:t>
            </w:r>
          </w:p>
        </w:tc>
      </w:tr>
      <w:tr w:rsidR="003E0F58" w:rsidRPr="0093556C" w14:paraId="62903F78" w14:textId="77777777" w:rsidTr="004D2249">
        <w:trPr>
          <w:trHeight w:val="1236"/>
        </w:trPr>
        <w:tc>
          <w:tcPr>
            <w:tcW w:w="2729" w:type="dxa"/>
            <w:tcBorders>
              <w:top w:val="nil"/>
              <w:left w:val="single" w:sz="12" w:space="0" w:color="auto"/>
              <w:bottom w:val="single" w:sz="12" w:space="0" w:color="auto"/>
              <w:right w:val="single" w:sz="12" w:space="0" w:color="auto"/>
            </w:tcBorders>
            <w:shd w:val="clear" w:color="auto" w:fill="auto"/>
            <w:noWrap/>
            <w:vAlign w:val="bottom"/>
            <w:hideMark/>
          </w:tcPr>
          <w:p w14:paraId="35285845" w14:textId="77777777" w:rsidR="003E0F58" w:rsidRPr="0093556C" w:rsidRDefault="003E0F58" w:rsidP="004D2249">
            <w:pPr>
              <w:jc w:val="center"/>
              <w:rPr>
                <w:rFonts w:cs="Times New Roman"/>
                <w:b/>
                <w:bCs/>
                <w:color w:val="000000"/>
                <w:sz w:val="20"/>
                <w:szCs w:val="20"/>
                <w:lang w:val="cs-CZ"/>
              </w:rPr>
            </w:pPr>
          </w:p>
        </w:tc>
        <w:tc>
          <w:tcPr>
            <w:tcW w:w="1554" w:type="dxa"/>
            <w:tcBorders>
              <w:top w:val="single" w:sz="12" w:space="0" w:color="auto"/>
              <w:left w:val="single" w:sz="12" w:space="0" w:color="auto"/>
              <w:bottom w:val="single" w:sz="12" w:space="0" w:color="auto"/>
            </w:tcBorders>
            <w:shd w:val="clear" w:color="auto" w:fill="auto"/>
            <w:vAlign w:val="center"/>
            <w:hideMark/>
          </w:tcPr>
          <w:p w14:paraId="67CF0CF4" w14:textId="77777777" w:rsidR="003E0F58" w:rsidRPr="0093556C" w:rsidRDefault="003E0F58" w:rsidP="004D2249">
            <w:pPr>
              <w:jc w:val="center"/>
              <w:rPr>
                <w:rFonts w:cs="Times New Roman"/>
                <w:b/>
                <w:bCs/>
                <w:i/>
                <w:iCs/>
                <w:color w:val="000000"/>
                <w:sz w:val="20"/>
                <w:szCs w:val="20"/>
                <w:lang w:val="cs-CZ"/>
              </w:rPr>
            </w:pPr>
            <w:r w:rsidRPr="0093556C">
              <w:rPr>
                <w:rFonts w:cs="Times New Roman"/>
                <w:b/>
                <w:bCs/>
                <w:i/>
                <w:iCs/>
                <w:color w:val="000000"/>
                <w:sz w:val="20"/>
                <w:szCs w:val="20"/>
                <w:lang w:val="cs-CZ"/>
              </w:rPr>
              <w:t>Aktuální současná úroveň potravinového zabezpečení</w:t>
            </w:r>
          </w:p>
        </w:tc>
        <w:tc>
          <w:tcPr>
            <w:tcW w:w="1554" w:type="dxa"/>
            <w:tcBorders>
              <w:top w:val="single" w:sz="12" w:space="0" w:color="auto"/>
              <w:bottom w:val="single" w:sz="12" w:space="0" w:color="auto"/>
              <w:right w:val="single" w:sz="12" w:space="0" w:color="auto"/>
            </w:tcBorders>
            <w:shd w:val="clear" w:color="auto" w:fill="auto"/>
            <w:vAlign w:val="center"/>
            <w:hideMark/>
          </w:tcPr>
          <w:p w14:paraId="0D30EE32" w14:textId="77777777" w:rsidR="003E0F58" w:rsidRPr="0093556C" w:rsidRDefault="003E0F58" w:rsidP="004D2249">
            <w:pPr>
              <w:jc w:val="center"/>
              <w:rPr>
                <w:rFonts w:cs="Times New Roman"/>
                <w:b/>
                <w:bCs/>
                <w:i/>
                <w:iCs/>
                <w:color w:val="000000"/>
                <w:sz w:val="20"/>
                <w:szCs w:val="20"/>
                <w:lang w:val="cs-CZ"/>
              </w:rPr>
            </w:pPr>
            <w:bookmarkStart w:id="665" w:name="_Hlk25821764"/>
            <w:r w:rsidRPr="0093556C">
              <w:rPr>
                <w:rFonts w:cs="Times New Roman"/>
                <w:b/>
                <w:bCs/>
                <w:i/>
                <w:iCs/>
                <w:color w:val="000000"/>
                <w:sz w:val="20"/>
                <w:szCs w:val="20"/>
                <w:lang w:val="cs-CZ"/>
              </w:rPr>
              <w:t>100% úroveň potravinového zabezpečení</w:t>
            </w:r>
            <w:bookmarkEnd w:id="665"/>
          </w:p>
        </w:tc>
        <w:tc>
          <w:tcPr>
            <w:tcW w:w="1565" w:type="dxa"/>
            <w:tcBorders>
              <w:top w:val="single" w:sz="12" w:space="0" w:color="auto"/>
              <w:left w:val="single" w:sz="12" w:space="0" w:color="auto"/>
              <w:bottom w:val="single" w:sz="12" w:space="0" w:color="auto"/>
            </w:tcBorders>
            <w:shd w:val="clear" w:color="auto" w:fill="auto"/>
            <w:vAlign w:val="center"/>
            <w:hideMark/>
          </w:tcPr>
          <w:p w14:paraId="292EA9D0" w14:textId="77777777" w:rsidR="003E0F58" w:rsidRPr="0093556C" w:rsidRDefault="003E0F58" w:rsidP="004D2249">
            <w:pPr>
              <w:jc w:val="center"/>
              <w:rPr>
                <w:rFonts w:cs="Times New Roman"/>
                <w:b/>
                <w:bCs/>
                <w:i/>
                <w:iCs/>
                <w:color w:val="000000"/>
                <w:sz w:val="20"/>
                <w:szCs w:val="20"/>
                <w:lang w:val="cs-CZ"/>
              </w:rPr>
            </w:pPr>
            <w:r w:rsidRPr="0093556C">
              <w:rPr>
                <w:rFonts w:cs="Times New Roman"/>
                <w:b/>
                <w:bCs/>
                <w:i/>
                <w:iCs/>
                <w:color w:val="000000"/>
                <w:sz w:val="20"/>
                <w:szCs w:val="20"/>
                <w:lang w:val="cs-CZ"/>
              </w:rPr>
              <w:t>Aktuální současná úroveň potravinového zabezpečení</w:t>
            </w:r>
          </w:p>
        </w:tc>
        <w:tc>
          <w:tcPr>
            <w:tcW w:w="1554" w:type="dxa"/>
            <w:tcBorders>
              <w:top w:val="single" w:sz="12" w:space="0" w:color="auto"/>
              <w:bottom w:val="single" w:sz="12" w:space="0" w:color="auto"/>
              <w:right w:val="single" w:sz="12" w:space="0" w:color="auto"/>
            </w:tcBorders>
            <w:shd w:val="clear" w:color="auto" w:fill="auto"/>
            <w:vAlign w:val="center"/>
            <w:hideMark/>
          </w:tcPr>
          <w:p w14:paraId="7E356C7F" w14:textId="77777777" w:rsidR="003E0F58" w:rsidRPr="0093556C" w:rsidRDefault="003E0F58" w:rsidP="004D2249">
            <w:pPr>
              <w:jc w:val="center"/>
              <w:rPr>
                <w:rFonts w:cs="Times New Roman"/>
                <w:b/>
                <w:bCs/>
                <w:i/>
                <w:iCs/>
                <w:color w:val="000000"/>
                <w:sz w:val="20"/>
                <w:szCs w:val="20"/>
                <w:lang w:val="cs-CZ"/>
              </w:rPr>
            </w:pPr>
            <w:r w:rsidRPr="0093556C">
              <w:rPr>
                <w:rFonts w:cs="Times New Roman"/>
                <w:b/>
                <w:bCs/>
                <w:i/>
                <w:iCs/>
                <w:color w:val="000000"/>
                <w:sz w:val="20"/>
                <w:szCs w:val="20"/>
                <w:lang w:val="cs-CZ"/>
              </w:rPr>
              <w:t>100% úroveň potravinového zabezpečení</w:t>
            </w:r>
          </w:p>
        </w:tc>
      </w:tr>
      <w:tr w:rsidR="003E0F58" w:rsidRPr="0093556C" w14:paraId="79D78A0D" w14:textId="77777777" w:rsidTr="004D2249">
        <w:trPr>
          <w:trHeight w:val="264"/>
        </w:trPr>
        <w:tc>
          <w:tcPr>
            <w:tcW w:w="2729" w:type="dxa"/>
            <w:tcBorders>
              <w:top w:val="single" w:sz="12" w:space="0" w:color="auto"/>
              <w:left w:val="single" w:sz="12" w:space="0" w:color="auto"/>
              <w:right w:val="single" w:sz="12" w:space="0" w:color="auto"/>
            </w:tcBorders>
            <w:shd w:val="clear" w:color="auto" w:fill="auto"/>
            <w:noWrap/>
            <w:vAlign w:val="bottom"/>
            <w:hideMark/>
          </w:tcPr>
          <w:p w14:paraId="52DFB7D5" w14:textId="77777777" w:rsidR="003E0F58" w:rsidRPr="0093556C" w:rsidRDefault="003E0F58" w:rsidP="004D2249">
            <w:pPr>
              <w:jc w:val="left"/>
              <w:rPr>
                <w:rFonts w:cs="Times New Roman"/>
                <w:b/>
                <w:color w:val="000000"/>
                <w:sz w:val="20"/>
                <w:szCs w:val="20"/>
                <w:lang w:val="cs-CZ"/>
              </w:rPr>
            </w:pPr>
            <w:r w:rsidRPr="0093556C">
              <w:rPr>
                <w:rFonts w:cs="Times New Roman"/>
                <w:b/>
                <w:color w:val="000000"/>
                <w:sz w:val="20"/>
                <w:szCs w:val="20"/>
                <w:lang w:val="cs-CZ"/>
              </w:rPr>
              <w:t xml:space="preserve">hrubá volná plocha z.p. </w:t>
            </w:r>
          </w:p>
          <w:p w14:paraId="6B9C4D07" w14:textId="77777777" w:rsidR="003E0F58" w:rsidRPr="0093556C" w:rsidRDefault="003E0F58" w:rsidP="004D2249">
            <w:pPr>
              <w:jc w:val="left"/>
              <w:rPr>
                <w:rFonts w:cs="Times New Roman"/>
                <w:color w:val="000000"/>
                <w:sz w:val="20"/>
                <w:szCs w:val="20"/>
                <w:lang w:val="cs-CZ"/>
              </w:rPr>
            </w:pPr>
            <w:r w:rsidRPr="0093556C">
              <w:rPr>
                <w:rFonts w:cs="Times New Roman"/>
                <w:color w:val="000000"/>
                <w:sz w:val="20"/>
                <w:szCs w:val="20"/>
                <w:lang w:val="cs-CZ"/>
              </w:rPr>
              <w:t>(vč. plochy již využité na bioenergetiku či jiné technické účely)</w:t>
            </w:r>
          </w:p>
        </w:tc>
        <w:tc>
          <w:tcPr>
            <w:tcW w:w="1554" w:type="dxa"/>
            <w:tcBorders>
              <w:top w:val="single" w:sz="12" w:space="0" w:color="auto"/>
              <w:left w:val="single" w:sz="12" w:space="0" w:color="auto"/>
            </w:tcBorders>
            <w:shd w:val="clear" w:color="auto" w:fill="auto"/>
            <w:noWrap/>
            <w:vAlign w:val="center"/>
            <w:hideMark/>
          </w:tcPr>
          <w:p w14:paraId="6643FFE6" w14:textId="77777777" w:rsidR="003E0F58" w:rsidRPr="0093556C" w:rsidRDefault="003E0F58" w:rsidP="004D2249">
            <w:pPr>
              <w:jc w:val="right"/>
              <w:rPr>
                <w:rFonts w:cs="Times New Roman"/>
                <w:b/>
                <w:color w:val="000000"/>
                <w:sz w:val="20"/>
                <w:szCs w:val="20"/>
                <w:lang w:val="cs-CZ"/>
              </w:rPr>
            </w:pPr>
            <w:r w:rsidRPr="0093556C">
              <w:rPr>
                <w:rFonts w:cs="Times New Roman"/>
                <w:b/>
                <w:color w:val="000000"/>
                <w:sz w:val="20"/>
                <w:szCs w:val="20"/>
                <w:lang w:val="cs-CZ"/>
              </w:rPr>
              <w:t>1911,33</w:t>
            </w:r>
          </w:p>
        </w:tc>
        <w:tc>
          <w:tcPr>
            <w:tcW w:w="1554" w:type="dxa"/>
            <w:tcBorders>
              <w:top w:val="single" w:sz="12" w:space="0" w:color="auto"/>
              <w:right w:val="single" w:sz="12" w:space="0" w:color="auto"/>
            </w:tcBorders>
            <w:shd w:val="clear" w:color="auto" w:fill="auto"/>
            <w:noWrap/>
            <w:vAlign w:val="center"/>
            <w:hideMark/>
          </w:tcPr>
          <w:p w14:paraId="59BD0C38" w14:textId="77777777" w:rsidR="003E0F58" w:rsidRPr="0093556C" w:rsidRDefault="003E0F58" w:rsidP="004D2249">
            <w:pPr>
              <w:jc w:val="right"/>
              <w:rPr>
                <w:rFonts w:cs="Times New Roman"/>
                <w:b/>
                <w:color w:val="000000"/>
                <w:sz w:val="20"/>
                <w:szCs w:val="20"/>
                <w:lang w:val="cs-CZ"/>
              </w:rPr>
            </w:pPr>
            <w:r w:rsidRPr="0093556C">
              <w:rPr>
                <w:rFonts w:cs="Times New Roman"/>
                <w:b/>
                <w:color w:val="000000"/>
                <w:sz w:val="20"/>
                <w:szCs w:val="20"/>
                <w:lang w:val="cs-CZ"/>
              </w:rPr>
              <w:t>1210,35</w:t>
            </w:r>
          </w:p>
        </w:tc>
        <w:tc>
          <w:tcPr>
            <w:tcW w:w="1565" w:type="dxa"/>
            <w:tcBorders>
              <w:top w:val="single" w:sz="12" w:space="0" w:color="auto"/>
              <w:left w:val="single" w:sz="12" w:space="0" w:color="auto"/>
            </w:tcBorders>
            <w:shd w:val="clear" w:color="auto" w:fill="auto"/>
            <w:noWrap/>
            <w:vAlign w:val="center"/>
            <w:hideMark/>
          </w:tcPr>
          <w:p w14:paraId="448AAF3D" w14:textId="77777777" w:rsidR="003E0F58" w:rsidRPr="0093556C" w:rsidRDefault="003E0F58" w:rsidP="004D2249">
            <w:pPr>
              <w:jc w:val="right"/>
              <w:rPr>
                <w:rFonts w:cs="Times New Roman"/>
                <w:b/>
                <w:color w:val="000000"/>
                <w:sz w:val="20"/>
                <w:szCs w:val="20"/>
                <w:lang w:val="cs-CZ"/>
              </w:rPr>
            </w:pPr>
            <w:r w:rsidRPr="0093556C">
              <w:rPr>
                <w:rFonts w:cs="Times New Roman"/>
                <w:b/>
                <w:color w:val="000000"/>
                <w:sz w:val="20"/>
                <w:szCs w:val="20"/>
                <w:lang w:val="cs-CZ"/>
              </w:rPr>
              <w:t>1504,59</w:t>
            </w:r>
          </w:p>
        </w:tc>
        <w:tc>
          <w:tcPr>
            <w:tcW w:w="1554" w:type="dxa"/>
            <w:tcBorders>
              <w:top w:val="single" w:sz="12" w:space="0" w:color="auto"/>
              <w:right w:val="single" w:sz="12" w:space="0" w:color="auto"/>
            </w:tcBorders>
            <w:shd w:val="clear" w:color="auto" w:fill="auto"/>
            <w:noWrap/>
            <w:vAlign w:val="center"/>
            <w:hideMark/>
          </w:tcPr>
          <w:p w14:paraId="17718A69" w14:textId="77777777" w:rsidR="003E0F58" w:rsidRPr="0093556C" w:rsidRDefault="003E0F58" w:rsidP="004D2249">
            <w:pPr>
              <w:jc w:val="right"/>
              <w:rPr>
                <w:rFonts w:cs="Times New Roman"/>
                <w:b/>
                <w:color w:val="000000"/>
                <w:sz w:val="20"/>
                <w:szCs w:val="20"/>
                <w:lang w:val="cs-CZ"/>
              </w:rPr>
            </w:pPr>
            <w:r w:rsidRPr="0093556C">
              <w:rPr>
                <w:rFonts w:cs="Times New Roman"/>
                <w:b/>
                <w:color w:val="000000"/>
                <w:sz w:val="20"/>
                <w:szCs w:val="20"/>
                <w:lang w:val="cs-CZ"/>
              </w:rPr>
              <w:t>628,37</w:t>
            </w:r>
          </w:p>
        </w:tc>
      </w:tr>
      <w:tr w:rsidR="003E0F58" w:rsidRPr="0093556C" w14:paraId="0B3D788C" w14:textId="77777777" w:rsidTr="004D2249">
        <w:trPr>
          <w:trHeight w:val="264"/>
        </w:trPr>
        <w:tc>
          <w:tcPr>
            <w:tcW w:w="2729" w:type="dxa"/>
            <w:tcBorders>
              <w:left w:val="single" w:sz="12" w:space="0" w:color="auto"/>
              <w:bottom w:val="dotted" w:sz="4" w:space="0" w:color="auto"/>
              <w:right w:val="single" w:sz="12" w:space="0" w:color="auto"/>
            </w:tcBorders>
            <w:shd w:val="clear" w:color="auto" w:fill="auto"/>
            <w:noWrap/>
            <w:vAlign w:val="bottom"/>
            <w:hideMark/>
          </w:tcPr>
          <w:p w14:paraId="5CD7FF7E" w14:textId="77777777" w:rsidR="003E0F58" w:rsidRPr="0093556C" w:rsidRDefault="003E0F58" w:rsidP="004D2249">
            <w:pPr>
              <w:jc w:val="left"/>
              <w:rPr>
                <w:rFonts w:cs="Times New Roman"/>
                <w:color w:val="000000"/>
                <w:sz w:val="20"/>
                <w:szCs w:val="20"/>
                <w:lang w:val="cs-CZ"/>
              </w:rPr>
            </w:pPr>
            <w:r w:rsidRPr="0093556C">
              <w:rPr>
                <w:rFonts w:cs="Times New Roman"/>
                <w:color w:val="000000"/>
                <w:sz w:val="20"/>
                <w:szCs w:val="20"/>
                <w:lang w:val="cs-CZ"/>
              </w:rPr>
              <w:t xml:space="preserve"> - z toho orná půda</w:t>
            </w:r>
          </w:p>
        </w:tc>
        <w:tc>
          <w:tcPr>
            <w:tcW w:w="1554" w:type="dxa"/>
            <w:tcBorders>
              <w:left w:val="single" w:sz="12" w:space="0" w:color="auto"/>
              <w:bottom w:val="dotted" w:sz="4" w:space="0" w:color="auto"/>
            </w:tcBorders>
            <w:shd w:val="clear" w:color="auto" w:fill="auto"/>
            <w:noWrap/>
            <w:hideMark/>
          </w:tcPr>
          <w:p w14:paraId="65717ED4" w14:textId="77777777" w:rsidR="003E0F58" w:rsidRPr="0093556C" w:rsidRDefault="003E0F58" w:rsidP="004D2249">
            <w:pPr>
              <w:jc w:val="right"/>
              <w:rPr>
                <w:rFonts w:cs="Times New Roman"/>
                <w:color w:val="000000"/>
                <w:sz w:val="20"/>
                <w:szCs w:val="20"/>
                <w:lang w:val="cs-CZ"/>
              </w:rPr>
            </w:pPr>
            <w:r w:rsidRPr="0093556C">
              <w:rPr>
                <w:rFonts w:cs="Times New Roman"/>
                <w:sz w:val="20"/>
                <w:szCs w:val="20"/>
                <w:lang w:val="cs-CZ"/>
              </w:rPr>
              <w:t>1493,42</w:t>
            </w:r>
          </w:p>
        </w:tc>
        <w:tc>
          <w:tcPr>
            <w:tcW w:w="1554" w:type="dxa"/>
            <w:tcBorders>
              <w:bottom w:val="dotted" w:sz="4" w:space="0" w:color="auto"/>
              <w:right w:val="single" w:sz="12" w:space="0" w:color="auto"/>
            </w:tcBorders>
            <w:shd w:val="clear" w:color="auto" w:fill="auto"/>
            <w:noWrap/>
            <w:hideMark/>
          </w:tcPr>
          <w:p w14:paraId="4E1B8719" w14:textId="77777777" w:rsidR="003E0F58" w:rsidRPr="0093556C" w:rsidRDefault="003E0F58" w:rsidP="004D2249">
            <w:pPr>
              <w:jc w:val="right"/>
              <w:rPr>
                <w:rFonts w:cs="Times New Roman"/>
                <w:sz w:val="20"/>
                <w:szCs w:val="20"/>
                <w:lang w:val="cs-CZ"/>
              </w:rPr>
            </w:pPr>
            <w:r w:rsidRPr="0093556C">
              <w:rPr>
                <w:rFonts w:cs="Times New Roman"/>
                <w:sz w:val="20"/>
                <w:szCs w:val="20"/>
                <w:lang w:val="cs-CZ"/>
              </w:rPr>
              <w:t>978,34</w:t>
            </w:r>
          </w:p>
        </w:tc>
        <w:tc>
          <w:tcPr>
            <w:tcW w:w="1565" w:type="dxa"/>
            <w:tcBorders>
              <w:left w:val="single" w:sz="12" w:space="0" w:color="auto"/>
              <w:bottom w:val="dotted" w:sz="4" w:space="0" w:color="auto"/>
            </w:tcBorders>
            <w:shd w:val="clear" w:color="auto" w:fill="auto"/>
            <w:noWrap/>
            <w:hideMark/>
          </w:tcPr>
          <w:p w14:paraId="111A9C22" w14:textId="77777777" w:rsidR="003E0F58" w:rsidRPr="0093556C" w:rsidRDefault="003E0F58" w:rsidP="004D2249">
            <w:pPr>
              <w:jc w:val="right"/>
              <w:rPr>
                <w:rFonts w:cs="Times New Roman"/>
                <w:sz w:val="20"/>
                <w:szCs w:val="20"/>
                <w:lang w:val="cs-CZ"/>
              </w:rPr>
            </w:pPr>
            <w:r w:rsidRPr="0093556C">
              <w:rPr>
                <w:rFonts w:cs="Times New Roman"/>
                <w:sz w:val="20"/>
                <w:szCs w:val="20"/>
                <w:lang w:val="cs-CZ"/>
              </w:rPr>
              <w:t>1235,33</w:t>
            </w:r>
          </w:p>
        </w:tc>
        <w:tc>
          <w:tcPr>
            <w:tcW w:w="1554" w:type="dxa"/>
            <w:tcBorders>
              <w:bottom w:val="dotted" w:sz="4" w:space="0" w:color="auto"/>
              <w:right w:val="single" w:sz="12" w:space="0" w:color="auto"/>
            </w:tcBorders>
            <w:shd w:val="clear" w:color="auto" w:fill="auto"/>
            <w:noWrap/>
            <w:hideMark/>
          </w:tcPr>
          <w:p w14:paraId="44E473DB" w14:textId="77777777" w:rsidR="003E0F58" w:rsidRPr="0093556C" w:rsidRDefault="003E0F58" w:rsidP="004D2249">
            <w:pPr>
              <w:jc w:val="right"/>
              <w:rPr>
                <w:rFonts w:cs="Times New Roman"/>
                <w:sz w:val="20"/>
                <w:szCs w:val="20"/>
                <w:lang w:val="cs-CZ"/>
              </w:rPr>
            </w:pPr>
            <w:r w:rsidRPr="0093556C">
              <w:rPr>
                <w:rFonts w:cs="Times New Roman"/>
                <w:sz w:val="20"/>
                <w:szCs w:val="20"/>
                <w:lang w:val="cs-CZ"/>
              </w:rPr>
              <w:t>591,48</w:t>
            </w:r>
          </w:p>
        </w:tc>
      </w:tr>
      <w:tr w:rsidR="003E0F58" w:rsidRPr="0093556C" w14:paraId="5569A0DF" w14:textId="77777777" w:rsidTr="004D2249">
        <w:trPr>
          <w:trHeight w:val="264"/>
        </w:trPr>
        <w:tc>
          <w:tcPr>
            <w:tcW w:w="2729" w:type="dxa"/>
            <w:tcBorders>
              <w:top w:val="dotted" w:sz="4" w:space="0" w:color="auto"/>
              <w:left w:val="single" w:sz="12" w:space="0" w:color="auto"/>
              <w:bottom w:val="dotted" w:sz="4" w:space="0" w:color="auto"/>
              <w:right w:val="single" w:sz="12" w:space="0" w:color="auto"/>
            </w:tcBorders>
            <w:shd w:val="clear" w:color="auto" w:fill="auto"/>
            <w:noWrap/>
            <w:vAlign w:val="bottom"/>
            <w:hideMark/>
          </w:tcPr>
          <w:p w14:paraId="50463A1F" w14:textId="77777777" w:rsidR="003E0F58" w:rsidRPr="0093556C" w:rsidRDefault="003E0F58" w:rsidP="004D2249">
            <w:pPr>
              <w:jc w:val="left"/>
              <w:rPr>
                <w:rFonts w:cs="Times New Roman"/>
                <w:color w:val="000000"/>
                <w:sz w:val="20"/>
                <w:szCs w:val="20"/>
                <w:lang w:val="cs-CZ"/>
              </w:rPr>
            </w:pPr>
            <w:r w:rsidRPr="0093556C">
              <w:rPr>
                <w:rFonts w:cs="Times New Roman"/>
                <w:color w:val="000000"/>
                <w:sz w:val="20"/>
                <w:szCs w:val="20"/>
                <w:lang w:val="cs-CZ"/>
              </w:rPr>
              <w:t xml:space="preserve"> - z toho TTP</w:t>
            </w:r>
          </w:p>
        </w:tc>
        <w:tc>
          <w:tcPr>
            <w:tcW w:w="1554" w:type="dxa"/>
            <w:tcBorders>
              <w:top w:val="dotted" w:sz="4" w:space="0" w:color="auto"/>
              <w:left w:val="single" w:sz="12" w:space="0" w:color="auto"/>
              <w:bottom w:val="dotted" w:sz="4" w:space="0" w:color="auto"/>
            </w:tcBorders>
            <w:shd w:val="clear" w:color="auto" w:fill="auto"/>
            <w:noWrap/>
            <w:hideMark/>
          </w:tcPr>
          <w:p w14:paraId="313097FF" w14:textId="77777777" w:rsidR="003E0F58" w:rsidRPr="0093556C" w:rsidRDefault="003E0F58" w:rsidP="004D2249">
            <w:pPr>
              <w:jc w:val="right"/>
              <w:rPr>
                <w:rFonts w:cs="Times New Roman"/>
                <w:color w:val="000000"/>
                <w:sz w:val="20"/>
                <w:szCs w:val="20"/>
                <w:lang w:val="cs-CZ"/>
              </w:rPr>
            </w:pPr>
            <w:r w:rsidRPr="0093556C">
              <w:rPr>
                <w:rFonts w:cs="Times New Roman"/>
                <w:sz w:val="20"/>
                <w:szCs w:val="20"/>
                <w:lang w:val="cs-CZ"/>
              </w:rPr>
              <w:t>385,65</w:t>
            </w:r>
          </w:p>
        </w:tc>
        <w:tc>
          <w:tcPr>
            <w:tcW w:w="1554" w:type="dxa"/>
            <w:tcBorders>
              <w:top w:val="dotted" w:sz="4" w:space="0" w:color="auto"/>
              <w:bottom w:val="dotted" w:sz="4" w:space="0" w:color="auto"/>
              <w:right w:val="single" w:sz="12" w:space="0" w:color="auto"/>
            </w:tcBorders>
            <w:shd w:val="clear" w:color="auto" w:fill="auto"/>
            <w:noWrap/>
            <w:hideMark/>
          </w:tcPr>
          <w:p w14:paraId="3043D838" w14:textId="77777777" w:rsidR="003E0F58" w:rsidRPr="0093556C" w:rsidRDefault="003E0F58" w:rsidP="004D2249">
            <w:pPr>
              <w:jc w:val="right"/>
              <w:rPr>
                <w:rFonts w:cs="Times New Roman"/>
                <w:sz w:val="20"/>
                <w:szCs w:val="20"/>
                <w:lang w:val="cs-CZ"/>
              </w:rPr>
            </w:pPr>
            <w:r w:rsidRPr="0093556C">
              <w:rPr>
                <w:rFonts w:cs="Times New Roman"/>
                <w:sz w:val="20"/>
                <w:szCs w:val="20"/>
                <w:lang w:val="cs-CZ"/>
              </w:rPr>
              <w:t>205,14</w:t>
            </w:r>
          </w:p>
        </w:tc>
        <w:tc>
          <w:tcPr>
            <w:tcW w:w="1565" w:type="dxa"/>
            <w:tcBorders>
              <w:top w:val="dotted" w:sz="4" w:space="0" w:color="auto"/>
              <w:left w:val="single" w:sz="12" w:space="0" w:color="auto"/>
              <w:bottom w:val="dotted" w:sz="4" w:space="0" w:color="auto"/>
            </w:tcBorders>
            <w:shd w:val="clear" w:color="auto" w:fill="auto"/>
            <w:noWrap/>
            <w:hideMark/>
          </w:tcPr>
          <w:p w14:paraId="35CABA3B" w14:textId="77777777" w:rsidR="003E0F58" w:rsidRPr="0093556C" w:rsidRDefault="003E0F58" w:rsidP="004D2249">
            <w:pPr>
              <w:jc w:val="right"/>
              <w:rPr>
                <w:rFonts w:cs="Times New Roman"/>
                <w:sz w:val="20"/>
                <w:szCs w:val="20"/>
                <w:lang w:val="cs-CZ"/>
              </w:rPr>
            </w:pPr>
            <w:r w:rsidRPr="0093556C">
              <w:rPr>
                <w:rFonts w:cs="Times New Roman"/>
                <w:sz w:val="20"/>
                <w:szCs w:val="20"/>
                <w:lang w:val="cs-CZ"/>
              </w:rPr>
              <w:t>241,94</w:t>
            </w:r>
          </w:p>
        </w:tc>
        <w:tc>
          <w:tcPr>
            <w:tcW w:w="1554" w:type="dxa"/>
            <w:tcBorders>
              <w:top w:val="dotted" w:sz="4" w:space="0" w:color="auto"/>
              <w:bottom w:val="dotted" w:sz="4" w:space="0" w:color="auto"/>
              <w:right w:val="single" w:sz="12" w:space="0" w:color="auto"/>
            </w:tcBorders>
            <w:shd w:val="clear" w:color="auto" w:fill="auto"/>
            <w:noWrap/>
            <w:hideMark/>
          </w:tcPr>
          <w:p w14:paraId="3D5733C3" w14:textId="77777777" w:rsidR="003E0F58" w:rsidRPr="0093556C" w:rsidRDefault="003E0F58" w:rsidP="004D2249">
            <w:pPr>
              <w:jc w:val="right"/>
              <w:rPr>
                <w:rFonts w:cs="Times New Roman"/>
                <w:sz w:val="20"/>
                <w:szCs w:val="20"/>
                <w:lang w:val="cs-CZ"/>
              </w:rPr>
            </w:pPr>
            <w:r w:rsidRPr="0093556C">
              <w:rPr>
                <w:rFonts w:cs="Times New Roman"/>
                <w:sz w:val="20"/>
                <w:szCs w:val="20"/>
                <w:lang w:val="cs-CZ"/>
              </w:rPr>
              <w:t>16,30</w:t>
            </w:r>
          </w:p>
        </w:tc>
      </w:tr>
      <w:tr w:rsidR="003E0F58" w:rsidRPr="0093556C" w14:paraId="772E7910" w14:textId="77777777" w:rsidTr="004D2249">
        <w:trPr>
          <w:trHeight w:val="264"/>
        </w:trPr>
        <w:tc>
          <w:tcPr>
            <w:tcW w:w="2729" w:type="dxa"/>
            <w:tcBorders>
              <w:top w:val="dotted" w:sz="4" w:space="0" w:color="auto"/>
              <w:left w:val="single" w:sz="12" w:space="0" w:color="auto"/>
              <w:bottom w:val="single" w:sz="12" w:space="0" w:color="auto"/>
              <w:right w:val="single" w:sz="12" w:space="0" w:color="auto"/>
            </w:tcBorders>
            <w:shd w:val="clear" w:color="auto" w:fill="auto"/>
            <w:noWrap/>
            <w:vAlign w:val="bottom"/>
          </w:tcPr>
          <w:p w14:paraId="504D6D78" w14:textId="77777777" w:rsidR="003E0F58" w:rsidRPr="0093556C" w:rsidRDefault="003E0F58" w:rsidP="004D2249">
            <w:pPr>
              <w:jc w:val="left"/>
              <w:rPr>
                <w:rFonts w:cs="Times New Roman"/>
                <w:color w:val="000000"/>
                <w:sz w:val="20"/>
                <w:szCs w:val="20"/>
                <w:lang w:val="cs-CZ"/>
              </w:rPr>
            </w:pPr>
            <w:r w:rsidRPr="0093556C">
              <w:rPr>
                <w:rFonts w:cs="Times New Roman"/>
                <w:color w:val="000000"/>
                <w:sz w:val="20"/>
                <w:szCs w:val="20"/>
                <w:lang w:val="cs-CZ"/>
              </w:rPr>
              <w:t xml:space="preserve"> - zbytek ostatní kultury</w:t>
            </w:r>
          </w:p>
        </w:tc>
        <w:tc>
          <w:tcPr>
            <w:tcW w:w="1554" w:type="dxa"/>
            <w:tcBorders>
              <w:top w:val="dotted" w:sz="4" w:space="0" w:color="auto"/>
              <w:left w:val="single" w:sz="12" w:space="0" w:color="auto"/>
              <w:bottom w:val="single" w:sz="12" w:space="0" w:color="auto"/>
            </w:tcBorders>
            <w:shd w:val="clear" w:color="auto" w:fill="auto"/>
            <w:noWrap/>
          </w:tcPr>
          <w:p w14:paraId="456D61FF" w14:textId="77777777" w:rsidR="003E0F58" w:rsidRPr="0093556C" w:rsidRDefault="003E0F58" w:rsidP="004D2249">
            <w:pPr>
              <w:jc w:val="right"/>
              <w:rPr>
                <w:rFonts w:cs="Times New Roman"/>
                <w:color w:val="000000"/>
                <w:sz w:val="20"/>
                <w:szCs w:val="20"/>
                <w:lang w:val="cs-CZ"/>
              </w:rPr>
            </w:pPr>
            <w:r w:rsidRPr="0093556C">
              <w:rPr>
                <w:rFonts w:cs="Times New Roman"/>
                <w:sz w:val="20"/>
                <w:szCs w:val="20"/>
                <w:lang w:val="cs-CZ"/>
              </w:rPr>
              <w:t>32,26</w:t>
            </w:r>
          </w:p>
        </w:tc>
        <w:tc>
          <w:tcPr>
            <w:tcW w:w="1554" w:type="dxa"/>
            <w:tcBorders>
              <w:top w:val="dotted" w:sz="4" w:space="0" w:color="auto"/>
              <w:bottom w:val="single" w:sz="12" w:space="0" w:color="auto"/>
              <w:right w:val="single" w:sz="12" w:space="0" w:color="auto"/>
            </w:tcBorders>
            <w:shd w:val="clear" w:color="auto" w:fill="auto"/>
            <w:noWrap/>
          </w:tcPr>
          <w:p w14:paraId="10553F78" w14:textId="77777777" w:rsidR="003E0F58" w:rsidRPr="0093556C" w:rsidRDefault="003E0F58" w:rsidP="004D2249">
            <w:pPr>
              <w:jc w:val="right"/>
              <w:rPr>
                <w:rFonts w:cs="Times New Roman"/>
                <w:sz w:val="20"/>
                <w:szCs w:val="20"/>
                <w:lang w:val="cs-CZ"/>
              </w:rPr>
            </w:pPr>
            <w:r w:rsidRPr="0093556C">
              <w:rPr>
                <w:rFonts w:cs="Times New Roman"/>
                <w:sz w:val="20"/>
                <w:szCs w:val="20"/>
                <w:lang w:val="cs-CZ"/>
              </w:rPr>
              <w:t>26,87</w:t>
            </w:r>
          </w:p>
        </w:tc>
        <w:tc>
          <w:tcPr>
            <w:tcW w:w="1565" w:type="dxa"/>
            <w:tcBorders>
              <w:top w:val="dotted" w:sz="4" w:space="0" w:color="auto"/>
              <w:left w:val="single" w:sz="12" w:space="0" w:color="auto"/>
              <w:bottom w:val="single" w:sz="12" w:space="0" w:color="auto"/>
            </w:tcBorders>
            <w:shd w:val="clear" w:color="auto" w:fill="auto"/>
            <w:noWrap/>
          </w:tcPr>
          <w:p w14:paraId="31708B2D" w14:textId="77777777" w:rsidR="003E0F58" w:rsidRPr="0093556C" w:rsidRDefault="003E0F58" w:rsidP="004D2249">
            <w:pPr>
              <w:jc w:val="right"/>
              <w:rPr>
                <w:rFonts w:cs="Times New Roman"/>
                <w:sz w:val="20"/>
                <w:szCs w:val="20"/>
                <w:lang w:val="cs-CZ"/>
              </w:rPr>
            </w:pPr>
            <w:r w:rsidRPr="0093556C">
              <w:rPr>
                <w:rFonts w:cs="Times New Roman"/>
                <w:sz w:val="20"/>
                <w:szCs w:val="20"/>
                <w:lang w:val="cs-CZ"/>
              </w:rPr>
              <w:t>27,32</w:t>
            </w:r>
          </w:p>
        </w:tc>
        <w:tc>
          <w:tcPr>
            <w:tcW w:w="1554" w:type="dxa"/>
            <w:tcBorders>
              <w:top w:val="dotted" w:sz="4" w:space="0" w:color="auto"/>
              <w:bottom w:val="single" w:sz="12" w:space="0" w:color="auto"/>
              <w:right w:val="single" w:sz="12" w:space="0" w:color="auto"/>
            </w:tcBorders>
            <w:shd w:val="clear" w:color="auto" w:fill="auto"/>
            <w:noWrap/>
          </w:tcPr>
          <w:p w14:paraId="45981A1C" w14:textId="77777777" w:rsidR="003E0F58" w:rsidRPr="0093556C" w:rsidRDefault="003E0F58" w:rsidP="004D2249">
            <w:pPr>
              <w:jc w:val="right"/>
              <w:rPr>
                <w:rFonts w:cs="Times New Roman"/>
                <w:sz w:val="20"/>
                <w:szCs w:val="20"/>
                <w:lang w:val="cs-CZ"/>
              </w:rPr>
            </w:pPr>
            <w:r w:rsidRPr="0093556C">
              <w:rPr>
                <w:rFonts w:cs="Times New Roman"/>
                <w:sz w:val="20"/>
                <w:szCs w:val="20"/>
                <w:lang w:val="cs-CZ"/>
              </w:rPr>
              <w:t>20,59</w:t>
            </w:r>
          </w:p>
        </w:tc>
      </w:tr>
      <w:tr w:rsidR="003E0F58" w:rsidRPr="0093556C" w14:paraId="1C18DBBB" w14:textId="77777777" w:rsidTr="004D2249">
        <w:trPr>
          <w:trHeight w:val="264"/>
        </w:trPr>
        <w:tc>
          <w:tcPr>
            <w:tcW w:w="2729" w:type="dxa"/>
            <w:tcBorders>
              <w:top w:val="single" w:sz="12" w:space="0" w:color="auto"/>
              <w:left w:val="single" w:sz="12" w:space="0" w:color="auto"/>
              <w:right w:val="single" w:sz="12" w:space="0" w:color="auto"/>
            </w:tcBorders>
            <w:shd w:val="clear" w:color="auto" w:fill="auto"/>
            <w:noWrap/>
            <w:vAlign w:val="bottom"/>
            <w:hideMark/>
          </w:tcPr>
          <w:p w14:paraId="4CE7534C" w14:textId="77777777" w:rsidR="003E0F58" w:rsidRPr="0093556C" w:rsidRDefault="003E0F58" w:rsidP="004D2249">
            <w:pPr>
              <w:jc w:val="left"/>
              <w:rPr>
                <w:rFonts w:cs="Times New Roman"/>
                <w:b/>
                <w:color w:val="000000"/>
                <w:sz w:val="20"/>
                <w:szCs w:val="20"/>
                <w:lang w:val="cs-CZ"/>
              </w:rPr>
            </w:pPr>
            <w:r w:rsidRPr="0093556C">
              <w:rPr>
                <w:rFonts w:cs="Times New Roman"/>
                <w:b/>
                <w:color w:val="000000"/>
                <w:sz w:val="20"/>
                <w:szCs w:val="20"/>
                <w:lang w:val="cs-CZ"/>
              </w:rPr>
              <w:t xml:space="preserve">čistá volná plocha z.p. </w:t>
            </w:r>
          </w:p>
          <w:p w14:paraId="61736772" w14:textId="77777777" w:rsidR="003E0F58" w:rsidRPr="0093556C" w:rsidRDefault="003E0F58" w:rsidP="004D2249">
            <w:pPr>
              <w:jc w:val="left"/>
              <w:rPr>
                <w:rFonts w:cs="Times New Roman"/>
                <w:color w:val="000000"/>
                <w:sz w:val="20"/>
                <w:szCs w:val="20"/>
                <w:lang w:val="cs-CZ"/>
              </w:rPr>
            </w:pPr>
            <w:r w:rsidRPr="0093556C">
              <w:rPr>
                <w:rFonts w:cs="Times New Roman"/>
                <w:color w:val="000000"/>
                <w:sz w:val="20"/>
                <w:szCs w:val="20"/>
                <w:lang w:val="cs-CZ"/>
              </w:rPr>
              <w:t>(po odečtení ploch již využitých na bioenergetiku či jiné technické účely)</w:t>
            </w:r>
          </w:p>
        </w:tc>
        <w:tc>
          <w:tcPr>
            <w:tcW w:w="1554" w:type="dxa"/>
            <w:tcBorders>
              <w:top w:val="single" w:sz="12" w:space="0" w:color="auto"/>
              <w:left w:val="single" w:sz="12" w:space="0" w:color="auto"/>
            </w:tcBorders>
            <w:shd w:val="clear" w:color="auto" w:fill="auto"/>
            <w:noWrap/>
            <w:vAlign w:val="center"/>
            <w:hideMark/>
          </w:tcPr>
          <w:p w14:paraId="23545C47" w14:textId="77777777" w:rsidR="003E0F58" w:rsidRPr="0093556C" w:rsidRDefault="003E0F58" w:rsidP="004D2249">
            <w:pPr>
              <w:jc w:val="right"/>
              <w:rPr>
                <w:rFonts w:cs="Times New Roman"/>
                <w:b/>
                <w:color w:val="000000"/>
                <w:sz w:val="20"/>
                <w:szCs w:val="20"/>
                <w:lang w:val="cs-CZ"/>
              </w:rPr>
            </w:pPr>
            <w:r w:rsidRPr="0093556C">
              <w:rPr>
                <w:rFonts w:cs="Times New Roman"/>
                <w:b/>
                <w:color w:val="000000"/>
                <w:sz w:val="20"/>
                <w:szCs w:val="20"/>
                <w:lang w:val="cs-CZ"/>
              </w:rPr>
              <w:t>1507,77</w:t>
            </w:r>
          </w:p>
        </w:tc>
        <w:tc>
          <w:tcPr>
            <w:tcW w:w="1554" w:type="dxa"/>
            <w:tcBorders>
              <w:top w:val="single" w:sz="12" w:space="0" w:color="auto"/>
              <w:right w:val="single" w:sz="12" w:space="0" w:color="auto"/>
            </w:tcBorders>
            <w:shd w:val="clear" w:color="auto" w:fill="auto"/>
            <w:noWrap/>
            <w:vAlign w:val="center"/>
            <w:hideMark/>
          </w:tcPr>
          <w:p w14:paraId="7664DDCA" w14:textId="77777777" w:rsidR="003E0F58" w:rsidRPr="0093556C" w:rsidRDefault="003E0F58" w:rsidP="004D2249">
            <w:pPr>
              <w:jc w:val="right"/>
              <w:rPr>
                <w:rFonts w:cs="Times New Roman"/>
                <w:b/>
                <w:color w:val="000000"/>
                <w:sz w:val="20"/>
                <w:szCs w:val="20"/>
                <w:lang w:val="cs-CZ"/>
              </w:rPr>
            </w:pPr>
            <w:r w:rsidRPr="0093556C">
              <w:rPr>
                <w:rFonts w:cs="Times New Roman"/>
                <w:b/>
                <w:color w:val="000000"/>
                <w:sz w:val="20"/>
                <w:szCs w:val="20"/>
                <w:lang w:val="cs-CZ"/>
              </w:rPr>
              <w:t>806,79</w:t>
            </w:r>
          </w:p>
        </w:tc>
        <w:tc>
          <w:tcPr>
            <w:tcW w:w="1565" w:type="dxa"/>
            <w:tcBorders>
              <w:top w:val="single" w:sz="12" w:space="0" w:color="auto"/>
              <w:left w:val="single" w:sz="12" w:space="0" w:color="auto"/>
            </w:tcBorders>
            <w:shd w:val="clear" w:color="auto" w:fill="auto"/>
            <w:noWrap/>
            <w:vAlign w:val="center"/>
            <w:hideMark/>
          </w:tcPr>
          <w:p w14:paraId="169D91F6" w14:textId="77777777" w:rsidR="003E0F58" w:rsidRPr="0093556C" w:rsidRDefault="003E0F58" w:rsidP="004D2249">
            <w:pPr>
              <w:jc w:val="right"/>
              <w:rPr>
                <w:rFonts w:cs="Times New Roman"/>
                <w:b/>
                <w:color w:val="000000"/>
                <w:sz w:val="20"/>
                <w:szCs w:val="20"/>
                <w:lang w:val="cs-CZ"/>
              </w:rPr>
            </w:pPr>
            <w:r w:rsidRPr="0093556C">
              <w:rPr>
                <w:rFonts w:cs="Times New Roman"/>
                <w:b/>
                <w:color w:val="000000"/>
                <w:sz w:val="20"/>
                <w:szCs w:val="20"/>
                <w:lang w:val="cs-CZ"/>
              </w:rPr>
              <w:t>1000,14</w:t>
            </w:r>
          </w:p>
        </w:tc>
        <w:tc>
          <w:tcPr>
            <w:tcW w:w="1554" w:type="dxa"/>
            <w:tcBorders>
              <w:top w:val="single" w:sz="12" w:space="0" w:color="auto"/>
              <w:right w:val="single" w:sz="12" w:space="0" w:color="auto"/>
            </w:tcBorders>
            <w:shd w:val="clear" w:color="auto" w:fill="auto"/>
            <w:noWrap/>
            <w:vAlign w:val="center"/>
            <w:hideMark/>
          </w:tcPr>
          <w:p w14:paraId="35F53C58" w14:textId="77777777" w:rsidR="003E0F58" w:rsidRPr="0093556C" w:rsidRDefault="003E0F58" w:rsidP="004D2249">
            <w:pPr>
              <w:jc w:val="right"/>
              <w:rPr>
                <w:rFonts w:cs="Times New Roman"/>
                <w:b/>
                <w:color w:val="000000"/>
                <w:sz w:val="20"/>
                <w:szCs w:val="20"/>
                <w:lang w:val="cs-CZ"/>
              </w:rPr>
            </w:pPr>
            <w:r w:rsidRPr="0093556C">
              <w:rPr>
                <w:rFonts w:cs="Times New Roman"/>
                <w:b/>
                <w:color w:val="000000"/>
                <w:sz w:val="20"/>
                <w:szCs w:val="20"/>
                <w:lang w:val="cs-CZ"/>
              </w:rPr>
              <w:t>123,92</w:t>
            </w:r>
          </w:p>
        </w:tc>
      </w:tr>
      <w:tr w:rsidR="003E0F58" w:rsidRPr="0093556C" w14:paraId="03FFAEF0" w14:textId="77777777" w:rsidTr="004D2249">
        <w:trPr>
          <w:trHeight w:val="264"/>
        </w:trPr>
        <w:tc>
          <w:tcPr>
            <w:tcW w:w="2729" w:type="dxa"/>
            <w:tcBorders>
              <w:left w:val="single" w:sz="12" w:space="0" w:color="auto"/>
              <w:bottom w:val="dotted" w:sz="4" w:space="0" w:color="auto"/>
              <w:right w:val="single" w:sz="12" w:space="0" w:color="auto"/>
            </w:tcBorders>
            <w:shd w:val="clear" w:color="auto" w:fill="auto"/>
            <w:noWrap/>
            <w:vAlign w:val="bottom"/>
            <w:hideMark/>
          </w:tcPr>
          <w:p w14:paraId="00B24DA9" w14:textId="77777777" w:rsidR="003E0F58" w:rsidRPr="0093556C" w:rsidRDefault="003E0F58" w:rsidP="004D2249">
            <w:pPr>
              <w:jc w:val="left"/>
              <w:rPr>
                <w:rFonts w:cs="Times New Roman"/>
                <w:color w:val="000000"/>
                <w:sz w:val="20"/>
                <w:szCs w:val="20"/>
                <w:lang w:val="cs-CZ"/>
              </w:rPr>
            </w:pPr>
            <w:r w:rsidRPr="0093556C">
              <w:rPr>
                <w:rFonts w:cs="Times New Roman"/>
                <w:color w:val="000000"/>
                <w:sz w:val="20"/>
                <w:szCs w:val="20"/>
                <w:lang w:val="cs-CZ"/>
              </w:rPr>
              <w:t xml:space="preserve"> - z toho orná půda</w:t>
            </w:r>
          </w:p>
        </w:tc>
        <w:tc>
          <w:tcPr>
            <w:tcW w:w="1554" w:type="dxa"/>
            <w:tcBorders>
              <w:left w:val="single" w:sz="12" w:space="0" w:color="auto"/>
              <w:bottom w:val="dotted" w:sz="4" w:space="0" w:color="auto"/>
            </w:tcBorders>
            <w:shd w:val="clear" w:color="auto" w:fill="auto"/>
            <w:noWrap/>
            <w:vAlign w:val="center"/>
            <w:hideMark/>
          </w:tcPr>
          <w:p w14:paraId="5359ECC3"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1089,86</w:t>
            </w:r>
          </w:p>
        </w:tc>
        <w:tc>
          <w:tcPr>
            <w:tcW w:w="1554" w:type="dxa"/>
            <w:tcBorders>
              <w:bottom w:val="dotted" w:sz="4" w:space="0" w:color="auto"/>
              <w:right w:val="single" w:sz="12" w:space="0" w:color="auto"/>
            </w:tcBorders>
            <w:shd w:val="clear" w:color="auto" w:fill="auto"/>
            <w:noWrap/>
            <w:vAlign w:val="center"/>
            <w:hideMark/>
          </w:tcPr>
          <w:p w14:paraId="3BDCE0AA"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574,78</w:t>
            </w:r>
          </w:p>
        </w:tc>
        <w:tc>
          <w:tcPr>
            <w:tcW w:w="1565" w:type="dxa"/>
            <w:tcBorders>
              <w:left w:val="single" w:sz="12" w:space="0" w:color="auto"/>
              <w:bottom w:val="dotted" w:sz="4" w:space="0" w:color="auto"/>
            </w:tcBorders>
            <w:shd w:val="clear" w:color="auto" w:fill="auto"/>
            <w:noWrap/>
            <w:vAlign w:val="center"/>
            <w:hideMark/>
          </w:tcPr>
          <w:p w14:paraId="23A3A750"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730,88</w:t>
            </w:r>
          </w:p>
        </w:tc>
        <w:tc>
          <w:tcPr>
            <w:tcW w:w="1554" w:type="dxa"/>
            <w:tcBorders>
              <w:bottom w:val="dotted" w:sz="4" w:space="0" w:color="auto"/>
              <w:right w:val="single" w:sz="12" w:space="0" w:color="auto"/>
            </w:tcBorders>
            <w:shd w:val="clear" w:color="auto" w:fill="auto"/>
            <w:noWrap/>
            <w:vAlign w:val="center"/>
            <w:hideMark/>
          </w:tcPr>
          <w:p w14:paraId="58565B76"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87,03</w:t>
            </w:r>
          </w:p>
        </w:tc>
      </w:tr>
      <w:tr w:rsidR="003E0F58" w:rsidRPr="0093556C" w14:paraId="7FECFF20" w14:textId="77777777" w:rsidTr="004D2249">
        <w:trPr>
          <w:trHeight w:val="264"/>
        </w:trPr>
        <w:tc>
          <w:tcPr>
            <w:tcW w:w="2729" w:type="dxa"/>
            <w:tcBorders>
              <w:top w:val="dotted" w:sz="4" w:space="0" w:color="auto"/>
              <w:left w:val="single" w:sz="12" w:space="0" w:color="auto"/>
              <w:bottom w:val="dotted" w:sz="4" w:space="0" w:color="auto"/>
              <w:right w:val="single" w:sz="12" w:space="0" w:color="auto"/>
            </w:tcBorders>
            <w:shd w:val="clear" w:color="auto" w:fill="auto"/>
            <w:noWrap/>
            <w:vAlign w:val="bottom"/>
            <w:hideMark/>
          </w:tcPr>
          <w:p w14:paraId="02E6E457" w14:textId="77777777" w:rsidR="003E0F58" w:rsidRPr="0093556C" w:rsidRDefault="003E0F58" w:rsidP="004D2249">
            <w:pPr>
              <w:jc w:val="left"/>
              <w:rPr>
                <w:rFonts w:cs="Times New Roman"/>
                <w:color w:val="000000"/>
                <w:sz w:val="20"/>
                <w:szCs w:val="20"/>
                <w:lang w:val="cs-CZ"/>
              </w:rPr>
            </w:pPr>
            <w:r w:rsidRPr="0093556C">
              <w:rPr>
                <w:rFonts w:cs="Times New Roman"/>
                <w:color w:val="000000"/>
                <w:sz w:val="20"/>
                <w:szCs w:val="20"/>
                <w:lang w:val="cs-CZ"/>
              </w:rPr>
              <w:t xml:space="preserve"> - z toho TTP</w:t>
            </w:r>
          </w:p>
        </w:tc>
        <w:tc>
          <w:tcPr>
            <w:tcW w:w="1554" w:type="dxa"/>
            <w:tcBorders>
              <w:top w:val="dotted" w:sz="4" w:space="0" w:color="auto"/>
              <w:left w:val="single" w:sz="12" w:space="0" w:color="auto"/>
              <w:bottom w:val="dotted" w:sz="4" w:space="0" w:color="auto"/>
            </w:tcBorders>
            <w:shd w:val="clear" w:color="auto" w:fill="auto"/>
            <w:noWrap/>
            <w:vAlign w:val="center"/>
            <w:hideMark/>
          </w:tcPr>
          <w:p w14:paraId="6ED28517"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385,65</w:t>
            </w:r>
          </w:p>
        </w:tc>
        <w:tc>
          <w:tcPr>
            <w:tcW w:w="1554" w:type="dxa"/>
            <w:tcBorders>
              <w:top w:val="dotted" w:sz="4" w:space="0" w:color="auto"/>
              <w:bottom w:val="dotted" w:sz="4" w:space="0" w:color="auto"/>
              <w:right w:val="single" w:sz="12" w:space="0" w:color="auto"/>
            </w:tcBorders>
            <w:shd w:val="clear" w:color="auto" w:fill="auto"/>
            <w:noWrap/>
            <w:vAlign w:val="center"/>
            <w:hideMark/>
          </w:tcPr>
          <w:p w14:paraId="1D48B8FF"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205,14</w:t>
            </w:r>
          </w:p>
        </w:tc>
        <w:tc>
          <w:tcPr>
            <w:tcW w:w="1565" w:type="dxa"/>
            <w:tcBorders>
              <w:top w:val="dotted" w:sz="4" w:space="0" w:color="auto"/>
              <w:left w:val="single" w:sz="12" w:space="0" w:color="auto"/>
              <w:bottom w:val="dotted" w:sz="4" w:space="0" w:color="auto"/>
            </w:tcBorders>
            <w:shd w:val="clear" w:color="auto" w:fill="auto"/>
            <w:noWrap/>
            <w:vAlign w:val="center"/>
            <w:hideMark/>
          </w:tcPr>
          <w:p w14:paraId="09EDDFF0"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241,94</w:t>
            </w:r>
          </w:p>
        </w:tc>
        <w:tc>
          <w:tcPr>
            <w:tcW w:w="1554" w:type="dxa"/>
            <w:tcBorders>
              <w:top w:val="dotted" w:sz="4" w:space="0" w:color="auto"/>
              <w:bottom w:val="dotted" w:sz="4" w:space="0" w:color="auto"/>
              <w:right w:val="single" w:sz="12" w:space="0" w:color="auto"/>
            </w:tcBorders>
            <w:shd w:val="clear" w:color="auto" w:fill="auto"/>
            <w:noWrap/>
            <w:vAlign w:val="center"/>
            <w:hideMark/>
          </w:tcPr>
          <w:p w14:paraId="05B4B0BD" w14:textId="77777777" w:rsidR="003E0F58" w:rsidRPr="0093556C" w:rsidRDefault="003E0F58" w:rsidP="004D2249">
            <w:pPr>
              <w:jc w:val="right"/>
              <w:rPr>
                <w:rFonts w:cs="Times New Roman"/>
                <w:color w:val="000000"/>
                <w:sz w:val="20"/>
                <w:szCs w:val="20"/>
                <w:lang w:val="cs-CZ"/>
              </w:rPr>
            </w:pPr>
            <w:r w:rsidRPr="0093556C">
              <w:rPr>
                <w:rFonts w:cs="Times New Roman"/>
                <w:color w:val="000000"/>
                <w:sz w:val="20"/>
                <w:szCs w:val="20"/>
                <w:lang w:val="cs-CZ"/>
              </w:rPr>
              <w:t>16,30</w:t>
            </w:r>
          </w:p>
        </w:tc>
      </w:tr>
      <w:tr w:rsidR="003E0F58" w:rsidRPr="0093556C" w14:paraId="351E42F0" w14:textId="77777777" w:rsidTr="004D2249">
        <w:trPr>
          <w:trHeight w:val="264"/>
        </w:trPr>
        <w:tc>
          <w:tcPr>
            <w:tcW w:w="2729" w:type="dxa"/>
            <w:tcBorders>
              <w:top w:val="dotted" w:sz="4" w:space="0" w:color="auto"/>
              <w:left w:val="single" w:sz="12" w:space="0" w:color="auto"/>
              <w:bottom w:val="single" w:sz="12" w:space="0" w:color="auto"/>
              <w:right w:val="single" w:sz="12" w:space="0" w:color="auto"/>
            </w:tcBorders>
            <w:shd w:val="clear" w:color="auto" w:fill="auto"/>
            <w:noWrap/>
            <w:vAlign w:val="bottom"/>
          </w:tcPr>
          <w:p w14:paraId="42045EDE" w14:textId="77777777" w:rsidR="003E0F58" w:rsidRPr="0093556C" w:rsidRDefault="003E0F58" w:rsidP="004D2249">
            <w:pPr>
              <w:jc w:val="left"/>
              <w:rPr>
                <w:rFonts w:cs="Times New Roman"/>
                <w:color w:val="000000"/>
                <w:sz w:val="20"/>
                <w:szCs w:val="20"/>
                <w:lang w:val="cs-CZ"/>
              </w:rPr>
            </w:pPr>
            <w:r w:rsidRPr="0093556C">
              <w:rPr>
                <w:rFonts w:cs="Times New Roman"/>
                <w:color w:val="000000"/>
                <w:sz w:val="20"/>
                <w:szCs w:val="20"/>
                <w:lang w:val="cs-CZ"/>
              </w:rPr>
              <w:t>- zbytek ostatní kultury</w:t>
            </w:r>
          </w:p>
        </w:tc>
        <w:tc>
          <w:tcPr>
            <w:tcW w:w="1554" w:type="dxa"/>
            <w:tcBorders>
              <w:top w:val="dotted" w:sz="4" w:space="0" w:color="auto"/>
              <w:left w:val="single" w:sz="12" w:space="0" w:color="auto"/>
              <w:bottom w:val="single" w:sz="12" w:space="0" w:color="auto"/>
            </w:tcBorders>
            <w:shd w:val="clear" w:color="auto" w:fill="auto"/>
            <w:noWrap/>
          </w:tcPr>
          <w:p w14:paraId="3CB84862" w14:textId="77777777" w:rsidR="003E0F58" w:rsidRPr="0093556C" w:rsidRDefault="003E0F58" w:rsidP="004D2249">
            <w:pPr>
              <w:jc w:val="right"/>
              <w:rPr>
                <w:rFonts w:cs="Times New Roman"/>
                <w:color w:val="000000"/>
                <w:sz w:val="20"/>
                <w:szCs w:val="20"/>
                <w:lang w:val="cs-CZ"/>
              </w:rPr>
            </w:pPr>
            <w:r w:rsidRPr="0093556C">
              <w:rPr>
                <w:rFonts w:cs="Times New Roman"/>
                <w:sz w:val="20"/>
                <w:szCs w:val="20"/>
                <w:lang w:val="cs-CZ"/>
              </w:rPr>
              <w:t>32,26</w:t>
            </w:r>
          </w:p>
        </w:tc>
        <w:tc>
          <w:tcPr>
            <w:tcW w:w="1554" w:type="dxa"/>
            <w:tcBorders>
              <w:top w:val="dotted" w:sz="4" w:space="0" w:color="auto"/>
              <w:bottom w:val="single" w:sz="12" w:space="0" w:color="auto"/>
              <w:right w:val="single" w:sz="12" w:space="0" w:color="auto"/>
            </w:tcBorders>
            <w:shd w:val="clear" w:color="auto" w:fill="auto"/>
            <w:noWrap/>
          </w:tcPr>
          <w:p w14:paraId="04BDBA5C" w14:textId="77777777" w:rsidR="003E0F58" w:rsidRPr="0093556C" w:rsidRDefault="003E0F58" w:rsidP="004D2249">
            <w:pPr>
              <w:jc w:val="right"/>
              <w:rPr>
                <w:rFonts w:cs="Times New Roman"/>
                <w:color w:val="000000"/>
                <w:sz w:val="20"/>
                <w:szCs w:val="20"/>
                <w:lang w:val="cs-CZ"/>
              </w:rPr>
            </w:pPr>
            <w:r w:rsidRPr="0093556C">
              <w:rPr>
                <w:rFonts w:cs="Times New Roman"/>
                <w:sz w:val="20"/>
                <w:szCs w:val="20"/>
                <w:lang w:val="cs-CZ"/>
              </w:rPr>
              <w:t>26,87</w:t>
            </w:r>
          </w:p>
        </w:tc>
        <w:tc>
          <w:tcPr>
            <w:tcW w:w="1565" w:type="dxa"/>
            <w:tcBorders>
              <w:top w:val="dotted" w:sz="4" w:space="0" w:color="auto"/>
              <w:left w:val="single" w:sz="12" w:space="0" w:color="auto"/>
              <w:bottom w:val="single" w:sz="12" w:space="0" w:color="auto"/>
            </w:tcBorders>
            <w:shd w:val="clear" w:color="auto" w:fill="auto"/>
            <w:noWrap/>
          </w:tcPr>
          <w:p w14:paraId="7DA31E54" w14:textId="77777777" w:rsidR="003E0F58" w:rsidRPr="0093556C" w:rsidRDefault="003E0F58" w:rsidP="004D2249">
            <w:pPr>
              <w:jc w:val="right"/>
              <w:rPr>
                <w:rFonts w:cs="Times New Roman"/>
                <w:color w:val="000000"/>
                <w:sz w:val="20"/>
                <w:szCs w:val="20"/>
                <w:lang w:val="cs-CZ"/>
              </w:rPr>
            </w:pPr>
            <w:r w:rsidRPr="0093556C">
              <w:rPr>
                <w:rFonts w:cs="Times New Roman"/>
                <w:sz w:val="20"/>
                <w:szCs w:val="20"/>
                <w:lang w:val="cs-CZ"/>
              </w:rPr>
              <w:t>27,32</w:t>
            </w:r>
          </w:p>
        </w:tc>
        <w:tc>
          <w:tcPr>
            <w:tcW w:w="1554" w:type="dxa"/>
            <w:tcBorders>
              <w:top w:val="dotted" w:sz="4" w:space="0" w:color="auto"/>
              <w:bottom w:val="single" w:sz="12" w:space="0" w:color="auto"/>
              <w:right w:val="single" w:sz="12" w:space="0" w:color="auto"/>
            </w:tcBorders>
            <w:shd w:val="clear" w:color="auto" w:fill="auto"/>
            <w:noWrap/>
          </w:tcPr>
          <w:p w14:paraId="75CF8495" w14:textId="77777777" w:rsidR="003E0F58" w:rsidRPr="0093556C" w:rsidRDefault="003E0F58" w:rsidP="004D2249">
            <w:pPr>
              <w:jc w:val="right"/>
              <w:rPr>
                <w:rFonts w:cs="Times New Roman"/>
                <w:color w:val="000000"/>
                <w:sz w:val="20"/>
                <w:szCs w:val="20"/>
                <w:lang w:val="cs-CZ"/>
              </w:rPr>
            </w:pPr>
            <w:r w:rsidRPr="0093556C">
              <w:rPr>
                <w:rFonts w:cs="Times New Roman"/>
                <w:sz w:val="20"/>
                <w:szCs w:val="20"/>
                <w:lang w:val="cs-CZ"/>
              </w:rPr>
              <w:t>20,59</w:t>
            </w:r>
          </w:p>
        </w:tc>
      </w:tr>
    </w:tbl>
    <w:p w14:paraId="02A2305C" w14:textId="03ADD4D3" w:rsidR="003E0F58" w:rsidRPr="007C705C" w:rsidRDefault="003E0F58" w:rsidP="0093556C">
      <w:pPr>
        <w:pStyle w:val="UZEIZdroj"/>
      </w:pPr>
      <w:r w:rsidRPr="007C705C">
        <w:t>Zdroj: TÚ ÚZEI 52/4227 Analýza potravinového zabezpečení ČR ve vztahu k potenciálu obnovitelných zdrojů energie a dopadům změny klimatu (2019).</w:t>
      </w:r>
    </w:p>
    <w:p w14:paraId="2325E88E" w14:textId="77777777" w:rsidR="003E0F58" w:rsidRPr="007C705C" w:rsidRDefault="003E0F58" w:rsidP="0093556C">
      <w:pPr>
        <w:pStyle w:val="UZEINormaln"/>
      </w:pPr>
      <w:r w:rsidRPr="007C705C">
        <w:t>Budeme – li předpokládat, že spotřeba potravin na obyvatele, počet obyvatel ani výměra z.p. v ČR se nebude ve sledovaném období (2020-2030) výrazně měnit, pak pokud vezmeme v úvahu výsledné hodnoty hrubé volné plochy z.p. a odečteme od nich odhadnuté plochy z.p. potřebné ke krytí cílů trajektorií NKEP do roku 2030, dostaneme zbývající volné plochy zem. půdy po splnění cílů NKEP.</w:t>
      </w:r>
    </w:p>
    <w:p w14:paraId="00574CBC" w14:textId="77777777" w:rsidR="003E0F58" w:rsidRPr="007C705C" w:rsidRDefault="003E0F58" w:rsidP="0093556C">
      <w:pPr>
        <w:pStyle w:val="UZEINormaln"/>
        <w:sectPr w:rsidR="003E0F58" w:rsidRPr="007C705C" w:rsidSect="004D2249">
          <w:pgSz w:w="11906" w:h="16838"/>
          <w:pgMar w:top="0" w:right="1417" w:bottom="1417" w:left="1417" w:header="708" w:footer="708" w:gutter="0"/>
          <w:cols w:space="708"/>
          <w:docGrid w:linePitch="360"/>
        </w:sectPr>
      </w:pPr>
      <w:r w:rsidRPr="007C705C">
        <w:t>V tabulce níže jsou uvedeny výsledné hodnoty zbývající volné z.p., která nadále zůstává volná pro další účely po splnění cílů v oblasti OZE do roku 2030 a to opět ve scénářích dle zadání. Z uvedených výsledků je zřejmé, že za současné výnosovosti plodin a užitkovosti zvířat v případě jak aktuální úrovně potravinové soběstačnosti, tak i v případě 100% potravinové soběstačnosti, bude dostatek disponibilních volných ploch z.p. pro splnění klimatických cílů ČR a to ve všech kulturách z.p. V případě snížené výnosovosti hlavních plodin o 20 % v důsledku změny klimatu bude po splnění klimatických cílů v případě aktuální potravinové soběstačnosti stále dostatek volné půdy ve všech kulturách, nicméně v případě 100% domácí potravinové produkce ČR již nebude v takovém případě schopna plně pokrýt své potravinové potřeby vlastní produkcí. Z červeně zbarvených hodnot v tabulce níže vyplývá, že i v nejkritičtějším scénáři bude stále dostatek orné půdy, zatímco plochy TTP již budou deficitní.  Pokud by v takovém případě byly veškeré zbývající volné plochy orné půdy a plochy ostatních kultur převedeny na TTP, pak by byl dostatek disponibilní půdy pro plnění klimatických cílů a současně i potravinové soběstačnosti pouze do roku 2022. Za tímto rokem by již ani převedení zbylých volných ploch orné půdy a ostatních kultur nepomohlo plně saturovat potravinové potřeby a klimatické cíle ČR současně.</w:t>
      </w:r>
    </w:p>
    <w:tbl>
      <w:tblPr>
        <w:tblpPr w:leftFromText="141" w:rightFromText="141" w:vertAnchor="text" w:horzAnchor="margin" w:tblpY="-1561"/>
        <w:tblW w:w="14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38"/>
        <w:gridCol w:w="2020"/>
        <w:gridCol w:w="864"/>
        <w:gridCol w:w="864"/>
        <w:gridCol w:w="864"/>
        <w:gridCol w:w="864"/>
        <w:gridCol w:w="864"/>
        <w:gridCol w:w="864"/>
        <w:gridCol w:w="1000"/>
        <w:gridCol w:w="1000"/>
        <w:gridCol w:w="1000"/>
        <w:gridCol w:w="1000"/>
        <w:gridCol w:w="1000"/>
        <w:gridCol w:w="16"/>
      </w:tblGrid>
      <w:tr w:rsidR="003E0F58" w:rsidRPr="007C705C" w14:paraId="74B8D8A1" w14:textId="77777777" w:rsidTr="004D2249">
        <w:trPr>
          <w:trHeight w:val="300"/>
        </w:trPr>
        <w:tc>
          <w:tcPr>
            <w:tcW w:w="14058" w:type="dxa"/>
            <w:gridSpan w:val="14"/>
            <w:tcBorders>
              <w:top w:val="nil"/>
              <w:left w:val="nil"/>
              <w:right w:val="nil"/>
            </w:tcBorders>
            <w:shd w:val="clear" w:color="auto" w:fill="auto"/>
            <w:noWrap/>
            <w:vAlign w:val="bottom"/>
            <w:hideMark/>
          </w:tcPr>
          <w:p w14:paraId="302774CE" w14:textId="77777777" w:rsidR="003E0F58" w:rsidRPr="007C705C" w:rsidRDefault="003E0F58" w:rsidP="004D2249">
            <w:pPr>
              <w:rPr>
                <w:rFonts w:cs="Times New Roman"/>
                <w:lang w:val="cs-CZ"/>
              </w:rPr>
            </w:pPr>
            <w:r w:rsidRPr="007C705C">
              <w:rPr>
                <w:rFonts w:cs="Times New Roman"/>
                <w:b/>
                <w:bCs/>
                <w:color w:val="000000"/>
                <w:sz w:val="22"/>
                <w:lang w:val="cs-CZ"/>
              </w:rPr>
              <w:lastRenderedPageBreak/>
              <w:t>Vyhodnocení zbývající volné zemědělské půdy po započtení půdy využité na bioenergetiku dle NKEP do roku 2030</w:t>
            </w:r>
          </w:p>
        </w:tc>
      </w:tr>
      <w:tr w:rsidR="003E0F58" w:rsidRPr="007C705C" w14:paraId="5F9D96B4" w14:textId="77777777" w:rsidTr="004D2249">
        <w:trPr>
          <w:gridAfter w:val="1"/>
          <w:wAfter w:w="16" w:type="dxa"/>
          <w:trHeight w:val="300"/>
        </w:trPr>
        <w:tc>
          <w:tcPr>
            <w:tcW w:w="3858" w:type="dxa"/>
            <w:gridSpan w:val="2"/>
            <w:tcBorders>
              <w:top w:val="single" w:sz="12" w:space="0" w:color="auto"/>
              <w:left w:val="single" w:sz="12" w:space="0" w:color="auto"/>
              <w:bottom w:val="single" w:sz="12" w:space="0" w:color="auto"/>
              <w:right w:val="single" w:sz="12" w:space="0" w:color="auto"/>
            </w:tcBorders>
            <w:shd w:val="clear" w:color="auto" w:fill="auto"/>
            <w:noWrap/>
            <w:vAlign w:val="bottom"/>
            <w:hideMark/>
          </w:tcPr>
          <w:p w14:paraId="725B7FE3" w14:textId="77777777" w:rsidR="003E0F58" w:rsidRPr="007C705C" w:rsidRDefault="003E0F58" w:rsidP="004D2249">
            <w:pPr>
              <w:jc w:val="left"/>
              <w:rPr>
                <w:rFonts w:cs="Times New Roman"/>
                <w:lang w:val="cs-CZ"/>
              </w:rPr>
            </w:pPr>
          </w:p>
        </w:tc>
        <w:tc>
          <w:tcPr>
            <w:tcW w:w="864" w:type="dxa"/>
            <w:tcBorders>
              <w:top w:val="single" w:sz="12" w:space="0" w:color="auto"/>
              <w:left w:val="single" w:sz="12" w:space="0" w:color="auto"/>
              <w:bottom w:val="single" w:sz="12" w:space="0" w:color="auto"/>
            </w:tcBorders>
            <w:shd w:val="clear" w:color="auto" w:fill="auto"/>
            <w:noWrap/>
            <w:vAlign w:val="bottom"/>
            <w:hideMark/>
          </w:tcPr>
          <w:p w14:paraId="3B461AC8" w14:textId="77777777" w:rsidR="003E0F58" w:rsidRPr="007C705C" w:rsidRDefault="003E0F58" w:rsidP="004D2249">
            <w:pPr>
              <w:jc w:val="right"/>
              <w:rPr>
                <w:rFonts w:cs="Times New Roman"/>
                <w:b/>
                <w:bCs/>
                <w:color w:val="000000"/>
                <w:sz w:val="22"/>
                <w:lang w:val="cs-CZ"/>
              </w:rPr>
            </w:pPr>
            <w:r w:rsidRPr="007C705C">
              <w:rPr>
                <w:rFonts w:cs="Times New Roman"/>
                <w:b/>
                <w:bCs/>
                <w:color w:val="000000"/>
                <w:sz w:val="22"/>
                <w:lang w:val="cs-CZ"/>
              </w:rPr>
              <w:t>2020</w:t>
            </w:r>
          </w:p>
        </w:tc>
        <w:tc>
          <w:tcPr>
            <w:tcW w:w="864" w:type="dxa"/>
            <w:tcBorders>
              <w:top w:val="single" w:sz="12" w:space="0" w:color="auto"/>
              <w:bottom w:val="single" w:sz="12" w:space="0" w:color="auto"/>
            </w:tcBorders>
            <w:shd w:val="clear" w:color="auto" w:fill="auto"/>
            <w:noWrap/>
            <w:vAlign w:val="bottom"/>
            <w:hideMark/>
          </w:tcPr>
          <w:p w14:paraId="0B7E331E" w14:textId="77777777" w:rsidR="003E0F58" w:rsidRPr="007C705C" w:rsidRDefault="003E0F58" w:rsidP="004D2249">
            <w:pPr>
              <w:jc w:val="right"/>
              <w:rPr>
                <w:rFonts w:cs="Times New Roman"/>
                <w:b/>
                <w:bCs/>
                <w:color w:val="000000"/>
                <w:sz w:val="22"/>
                <w:lang w:val="cs-CZ"/>
              </w:rPr>
            </w:pPr>
            <w:r w:rsidRPr="007C705C">
              <w:rPr>
                <w:rFonts w:cs="Times New Roman"/>
                <w:b/>
                <w:bCs/>
                <w:color w:val="000000"/>
                <w:sz w:val="22"/>
                <w:lang w:val="cs-CZ"/>
              </w:rPr>
              <w:t>2021</w:t>
            </w:r>
          </w:p>
        </w:tc>
        <w:tc>
          <w:tcPr>
            <w:tcW w:w="864" w:type="dxa"/>
            <w:tcBorders>
              <w:top w:val="single" w:sz="12" w:space="0" w:color="auto"/>
              <w:bottom w:val="single" w:sz="12" w:space="0" w:color="auto"/>
            </w:tcBorders>
            <w:shd w:val="clear" w:color="auto" w:fill="auto"/>
            <w:noWrap/>
            <w:vAlign w:val="bottom"/>
            <w:hideMark/>
          </w:tcPr>
          <w:p w14:paraId="037BABD1" w14:textId="77777777" w:rsidR="003E0F58" w:rsidRPr="007C705C" w:rsidRDefault="003E0F58" w:rsidP="004D2249">
            <w:pPr>
              <w:jc w:val="right"/>
              <w:rPr>
                <w:rFonts w:cs="Times New Roman"/>
                <w:b/>
                <w:bCs/>
                <w:color w:val="000000"/>
                <w:sz w:val="22"/>
                <w:lang w:val="cs-CZ"/>
              </w:rPr>
            </w:pPr>
            <w:r w:rsidRPr="007C705C">
              <w:rPr>
                <w:rFonts w:cs="Times New Roman"/>
                <w:b/>
                <w:bCs/>
                <w:color w:val="000000"/>
                <w:sz w:val="22"/>
                <w:lang w:val="cs-CZ"/>
              </w:rPr>
              <w:t>2022</w:t>
            </w:r>
          </w:p>
        </w:tc>
        <w:tc>
          <w:tcPr>
            <w:tcW w:w="864" w:type="dxa"/>
            <w:tcBorders>
              <w:top w:val="single" w:sz="12" w:space="0" w:color="auto"/>
              <w:bottom w:val="single" w:sz="12" w:space="0" w:color="auto"/>
            </w:tcBorders>
            <w:shd w:val="clear" w:color="auto" w:fill="auto"/>
            <w:noWrap/>
            <w:vAlign w:val="bottom"/>
            <w:hideMark/>
          </w:tcPr>
          <w:p w14:paraId="3A7B20F5" w14:textId="77777777" w:rsidR="003E0F58" w:rsidRPr="007C705C" w:rsidRDefault="003E0F58" w:rsidP="004D2249">
            <w:pPr>
              <w:jc w:val="right"/>
              <w:rPr>
                <w:rFonts w:cs="Times New Roman"/>
                <w:b/>
                <w:bCs/>
                <w:color w:val="000000"/>
                <w:sz w:val="22"/>
                <w:lang w:val="cs-CZ"/>
              </w:rPr>
            </w:pPr>
            <w:r w:rsidRPr="007C705C">
              <w:rPr>
                <w:rFonts w:cs="Times New Roman"/>
                <w:b/>
                <w:bCs/>
                <w:color w:val="000000"/>
                <w:sz w:val="22"/>
                <w:lang w:val="cs-CZ"/>
              </w:rPr>
              <w:t>2023</w:t>
            </w:r>
          </w:p>
        </w:tc>
        <w:tc>
          <w:tcPr>
            <w:tcW w:w="864" w:type="dxa"/>
            <w:tcBorders>
              <w:top w:val="single" w:sz="12" w:space="0" w:color="auto"/>
              <w:bottom w:val="single" w:sz="12" w:space="0" w:color="auto"/>
            </w:tcBorders>
            <w:shd w:val="clear" w:color="auto" w:fill="auto"/>
            <w:noWrap/>
            <w:vAlign w:val="bottom"/>
            <w:hideMark/>
          </w:tcPr>
          <w:p w14:paraId="20AC1B0B" w14:textId="77777777" w:rsidR="003E0F58" w:rsidRPr="007C705C" w:rsidRDefault="003E0F58" w:rsidP="004D2249">
            <w:pPr>
              <w:jc w:val="right"/>
              <w:rPr>
                <w:rFonts w:cs="Times New Roman"/>
                <w:b/>
                <w:bCs/>
                <w:color w:val="000000"/>
                <w:sz w:val="22"/>
                <w:lang w:val="cs-CZ"/>
              </w:rPr>
            </w:pPr>
            <w:r w:rsidRPr="007C705C">
              <w:rPr>
                <w:rFonts w:cs="Times New Roman"/>
                <w:b/>
                <w:bCs/>
                <w:color w:val="000000"/>
                <w:sz w:val="22"/>
                <w:lang w:val="cs-CZ"/>
              </w:rPr>
              <w:t>2024</w:t>
            </w:r>
          </w:p>
        </w:tc>
        <w:tc>
          <w:tcPr>
            <w:tcW w:w="864" w:type="dxa"/>
            <w:tcBorders>
              <w:top w:val="single" w:sz="12" w:space="0" w:color="auto"/>
              <w:bottom w:val="single" w:sz="12" w:space="0" w:color="auto"/>
            </w:tcBorders>
            <w:shd w:val="clear" w:color="auto" w:fill="auto"/>
            <w:noWrap/>
            <w:vAlign w:val="bottom"/>
            <w:hideMark/>
          </w:tcPr>
          <w:p w14:paraId="059625C7" w14:textId="77777777" w:rsidR="003E0F58" w:rsidRPr="007C705C" w:rsidRDefault="003E0F58" w:rsidP="004D2249">
            <w:pPr>
              <w:jc w:val="right"/>
              <w:rPr>
                <w:rFonts w:cs="Times New Roman"/>
                <w:b/>
                <w:bCs/>
                <w:color w:val="000000"/>
                <w:sz w:val="22"/>
                <w:lang w:val="cs-CZ"/>
              </w:rPr>
            </w:pPr>
            <w:r w:rsidRPr="007C705C">
              <w:rPr>
                <w:rFonts w:cs="Times New Roman"/>
                <w:b/>
                <w:bCs/>
                <w:color w:val="000000"/>
                <w:sz w:val="22"/>
                <w:lang w:val="cs-CZ"/>
              </w:rPr>
              <w:t>2025</w:t>
            </w:r>
          </w:p>
        </w:tc>
        <w:tc>
          <w:tcPr>
            <w:tcW w:w="1000" w:type="dxa"/>
            <w:tcBorders>
              <w:top w:val="single" w:sz="12" w:space="0" w:color="auto"/>
              <w:bottom w:val="single" w:sz="12" w:space="0" w:color="auto"/>
            </w:tcBorders>
            <w:shd w:val="clear" w:color="auto" w:fill="auto"/>
            <w:noWrap/>
            <w:vAlign w:val="bottom"/>
            <w:hideMark/>
          </w:tcPr>
          <w:p w14:paraId="6C340048" w14:textId="77777777" w:rsidR="003E0F58" w:rsidRPr="007C705C" w:rsidRDefault="003E0F58" w:rsidP="004D2249">
            <w:pPr>
              <w:jc w:val="right"/>
              <w:rPr>
                <w:rFonts w:cs="Times New Roman"/>
                <w:b/>
                <w:bCs/>
                <w:color w:val="000000"/>
                <w:sz w:val="22"/>
                <w:lang w:val="cs-CZ"/>
              </w:rPr>
            </w:pPr>
            <w:r w:rsidRPr="007C705C">
              <w:rPr>
                <w:rFonts w:cs="Times New Roman"/>
                <w:b/>
                <w:bCs/>
                <w:color w:val="000000"/>
                <w:sz w:val="22"/>
                <w:lang w:val="cs-CZ"/>
              </w:rPr>
              <w:t>2026</w:t>
            </w:r>
          </w:p>
        </w:tc>
        <w:tc>
          <w:tcPr>
            <w:tcW w:w="1000" w:type="dxa"/>
            <w:tcBorders>
              <w:top w:val="single" w:sz="12" w:space="0" w:color="auto"/>
              <w:bottom w:val="single" w:sz="12" w:space="0" w:color="auto"/>
            </w:tcBorders>
            <w:shd w:val="clear" w:color="auto" w:fill="auto"/>
            <w:noWrap/>
            <w:vAlign w:val="bottom"/>
            <w:hideMark/>
          </w:tcPr>
          <w:p w14:paraId="21FBC4D1" w14:textId="77777777" w:rsidR="003E0F58" w:rsidRPr="007C705C" w:rsidRDefault="003E0F58" w:rsidP="004D2249">
            <w:pPr>
              <w:jc w:val="right"/>
              <w:rPr>
                <w:rFonts w:cs="Times New Roman"/>
                <w:b/>
                <w:bCs/>
                <w:color w:val="000000"/>
                <w:sz w:val="22"/>
                <w:lang w:val="cs-CZ"/>
              </w:rPr>
            </w:pPr>
            <w:r w:rsidRPr="007C705C">
              <w:rPr>
                <w:rFonts w:cs="Times New Roman"/>
                <w:b/>
                <w:bCs/>
                <w:color w:val="000000"/>
                <w:sz w:val="22"/>
                <w:lang w:val="cs-CZ"/>
              </w:rPr>
              <w:t>2027</w:t>
            </w:r>
          </w:p>
        </w:tc>
        <w:tc>
          <w:tcPr>
            <w:tcW w:w="1000" w:type="dxa"/>
            <w:tcBorders>
              <w:top w:val="single" w:sz="12" w:space="0" w:color="auto"/>
              <w:bottom w:val="single" w:sz="12" w:space="0" w:color="auto"/>
            </w:tcBorders>
            <w:shd w:val="clear" w:color="auto" w:fill="auto"/>
            <w:noWrap/>
            <w:vAlign w:val="bottom"/>
            <w:hideMark/>
          </w:tcPr>
          <w:p w14:paraId="52BA46BD" w14:textId="77777777" w:rsidR="003E0F58" w:rsidRPr="007C705C" w:rsidRDefault="003E0F58" w:rsidP="004D2249">
            <w:pPr>
              <w:jc w:val="right"/>
              <w:rPr>
                <w:rFonts w:cs="Times New Roman"/>
                <w:b/>
                <w:bCs/>
                <w:color w:val="000000"/>
                <w:sz w:val="22"/>
                <w:lang w:val="cs-CZ"/>
              </w:rPr>
            </w:pPr>
            <w:r w:rsidRPr="007C705C">
              <w:rPr>
                <w:rFonts w:cs="Times New Roman"/>
                <w:b/>
                <w:bCs/>
                <w:color w:val="000000"/>
                <w:sz w:val="22"/>
                <w:lang w:val="cs-CZ"/>
              </w:rPr>
              <w:t>2028</w:t>
            </w:r>
          </w:p>
        </w:tc>
        <w:tc>
          <w:tcPr>
            <w:tcW w:w="1000" w:type="dxa"/>
            <w:tcBorders>
              <w:top w:val="single" w:sz="12" w:space="0" w:color="auto"/>
              <w:bottom w:val="single" w:sz="12" w:space="0" w:color="auto"/>
            </w:tcBorders>
            <w:shd w:val="clear" w:color="auto" w:fill="auto"/>
            <w:noWrap/>
            <w:vAlign w:val="bottom"/>
            <w:hideMark/>
          </w:tcPr>
          <w:p w14:paraId="4F389F12" w14:textId="77777777" w:rsidR="003E0F58" w:rsidRPr="007C705C" w:rsidRDefault="003E0F58" w:rsidP="004D2249">
            <w:pPr>
              <w:jc w:val="right"/>
              <w:rPr>
                <w:rFonts w:cs="Times New Roman"/>
                <w:b/>
                <w:bCs/>
                <w:color w:val="000000"/>
                <w:sz w:val="22"/>
                <w:lang w:val="cs-CZ"/>
              </w:rPr>
            </w:pPr>
            <w:r w:rsidRPr="007C705C">
              <w:rPr>
                <w:rFonts w:cs="Times New Roman"/>
                <w:b/>
                <w:bCs/>
                <w:color w:val="000000"/>
                <w:sz w:val="22"/>
                <w:lang w:val="cs-CZ"/>
              </w:rPr>
              <w:t>2029</w:t>
            </w:r>
          </w:p>
        </w:tc>
        <w:tc>
          <w:tcPr>
            <w:tcW w:w="1000" w:type="dxa"/>
            <w:tcBorders>
              <w:top w:val="single" w:sz="12" w:space="0" w:color="auto"/>
              <w:right w:val="single" w:sz="12" w:space="0" w:color="auto"/>
            </w:tcBorders>
            <w:shd w:val="clear" w:color="auto" w:fill="auto"/>
            <w:noWrap/>
            <w:vAlign w:val="bottom"/>
            <w:hideMark/>
          </w:tcPr>
          <w:p w14:paraId="4A3B4A48" w14:textId="77777777" w:rsidR="003E0F58" w:rsidRPr="007C705C" w:rsidRDefault="003E0F58" w:rsidP="004D2249">
            <w:pPr>
              <w:jc w:val="right"/>
              <w:rPr>
                <w:rFonts w:cs="Times New Roman"/>
                <w:b/>
                <w:bCs/>
                <w:color w:val="000000"/>
                <w:sz w:val="22"/>
                <w:lang w:val="cs-CZ"/>
              </w:rPr>
            </w:pPr>
            <w:r w:rsidRPr="007C705C">
              <w:rPr>
                <w:rFonts w:cs="Times New Roman"/>
                <w:b/>
                <w:bCs/>
                <w:color w:val="000000"/>
                <w:sz w:val="22"/>
                <w:lang w:val="cs-CZ"/>
              </w:rPr>
              <w:t>2030</w:t>
            </w:r>
          </w:p>
        </w:tc>
      </w:tr>
      <w:tr w:rsidR="003E0F58" w:rsidRPr="007C705C" w14:paraId="380742B5" w14:textId="77777777" w:rsidTr="004D2249">
        <w:trPr>
          <w:gridAfter w:val="1"/>
          <w:wAfter w:w="16" w:type="dxa"/>
          <w:trHeight w:val="300"/>
        </w:trPr>
        <w:tc>
          <w:tcPr>
            <w:tcW w:w="14042" w:type="dxa"/>
            <w:gridSpan w:val="13"/>
            <w:tcBorders>
              <w:top w:val="single" w:sz="12" w:space="0" w:color="auto"/>
              <w:left w:val="single" w:sz="12" w:space="0" w:color="auto"/>
              <w:right w:val="single" w:sz="12" w:space="0" w:color="auto"/>
            </w:tcBorders>
            <w:shd w:val="clear" w:color="auto" w:fill="auto"/>
            <w:noWrap/>
            <w:vAlign w:val="bottom"/>
            <w:hideMark/>
          </w:tcPr>
          <w:p w14:paraId="3BAB5C78" w14:textId="77777777" w:rsidR="003E0F58" w:rsidRPr="007C705C" w:rsidRDefault="003E0F58" w:rsidP="004D2249">
            <w:pPr>
              <w:jc w:val="left"/>
              <w:rPr>
                <w:rFonts w:cs="Times New Roman"/>
                <w:lang w:val="cs-CZ"/>
              </w:rPr>
            </w:pPr>
            <w:r w:rsidRPr="007C705C">
              <w:rPr>
                <w:rFonts w:cs="Times New Roman"/>
                <w:b/>
                <w:bCs/>
                <w:i/>
                <w:iCs/>
                <w:color w:val="000000"/>
                <w:sz w:val="22"/>
                <w:lang w:val="cs-CZ"/>
              </w:rPr>
              <w:t>Aktuální výnosy</w:t>
            </w:r>
          </w:p>
        </w:tc>
      </w:tr>
      <w:tr w:rsidR="003E0F58" w:rsidRPr="007C705C" w14:paraId="3185EEAE" w14:textId="77777777" w:rsidTr="004D2249">
        <w:trPr>
          <w:gridAfter w:val="1"/>
          <w:wAfter w:w="16" w:type="dxa"/>
          <w:trHeight w:val="1275"/>
        </w:trPr>
        <w:tc>
          <w:tcPr>
            <w:tcW w:w="1838" w:type="dxa"/>
            <w:vMerge w:val="restart"/>
            <w:tcBorders>
              <w:top w:val="single" w:sz="12" w:space="0" w:color="auto"/>
              <w:left w:val="single" w:sz="12" w:space="0" w:color="auto"/>
              <w:right w:val="single" w:sz="12" w:space="0" w:color="auto"/>
            </w:tcBorders>
            <w:shd w:val="clear" w:color="auto" w:fill="auto"/>
            <w:vAlign w:val="center"/>
            <w:hideMark/>
          </w:tcPr>
          <w:p w14:paraId="0996EECD" w14:textId="77777777" w:rsidR="003E0F58" w:rsidRPr="007C705C" w:rsidRDefault="003E0F58" w:rsidP="004D2249">
            <w:pPr>
              <w:jc w:val="center"/>
              <w:rPr>
                <w:rFonts w:cs="Times New Roman"/>
                <w:color w:val="000000"/>
                <w:sz w:val="22"/>
                <w:lang w:val="cs-CZ"/>
              </w:rPr>
            </w:pPr>
            <w:r w:rsidRPr="007C705C">
              <w:rPr>
                <w:rFonts w:cs="Times New Roman"/>
                <w:color w:val="000000"/>
                <w:sz w:val="22"/>
                <w:lang w:val="cs-CZ"/>
              </w:rPr>
              <w:t>Aktuální současná úroveň potravinového zabezpečení</w:t>
            </w:r>
          </w:p>
        </w:tc>
        <w:tc>
          <w:tcPr>
            <w:tcW w:w="2020" w:type="dxa"/>
            <w:tcBorders>
              <w:top w:val="single" w:sz="12" w:space="0" w:color="auto"/>
              <w:left w:val="single" w:sz="12" w:space="0" w:color="auto"/>
              <w:right w:val="single" w:sz="12" w:space="0" w:color="auto"/>
            </w:tcBorders>
            <w:shd w:val="clear" w:color="auto" w:fill="auto"/>
            <w:vAlign w:val="center"/>
            <w:hideMark/>
          </w:tcPr>
          <w:p w14:paraId="7E53E82A" w14:textId="77777777" w:rsidR="003E0F58" w:rsidRPr="007C705C" w:rsidRDefault="003E0F58" w:rsidP="004D2249">
            <w:pPr>
              <w:jc w:val="center"/>
              <w:rPr>
                <w:rFonts w:cs="Times New Roman"/>
                <w:color w:val="000000"/>
                <w:lang w:val="cs-CZ"/>
              </w:rPr>
            </w:pPr>
            <w:r w:rsidRPr="007C705C">
              <w:rPr>
                <w:rFonts w:cs="Times New Roman"/>
                <w:color w:val="000000"/>
                <w:lang w:val="cs-CZ"/>
              </w:rPr>
              <w:t>zbývající volná plocha z.p. ( po využití na bioenergetiku či jiné techické účely)</w:t>
            </w:r>
          </w:p>
        </w:tc>
        <w:tc>
          <w:tcPr>
            <w:tcW w:w="864" w:type="dxa"/>
            <w:tcBorders>
              <w:top w:val="single" w:sz="12" w:space="0" w:color="auto"/>
              <w:left w:val="single" w:sz="12" w:space="0" w:color="auto"/>
            </w:tcBorders>
            <w:shd w:val="clear" w:color="auto" w:fill="auto"/>
            <w:noWrap/>
            <w:vAlign w:val="bottom"/>
            <w:hideMark/>
          </w:tcPr>
          <w:p w14:paraId="73FE8E36"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1423,48</w:t>
            </w:r>
          </w:p>
        </w:tc>
        <w:tc>
          <w:tcPr>
            <w:tcW w:w="864" w:type="dxa"/>
            <w:tcBorders>
              <w:top w:val="single" w:sz="12" w:space="0" w:color="auto"/>
            </w:tcBorders>
            <w:shd w:val="clear" w:color="auto" w:fill="auto"/>
            <w:noWrap/>
            <w:vAlign w:val="bottom"/>
            <w:hideMark/>
          </w:tcPr>
          <w:p w14:paraId="07A2B0AC"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1415,89</w:t>
            </w:r>
          </w:p>
        </w:tc>
        <w:tc>
          <w:tcPr>
            <w:tcW w:w="864" w:type="dxa"/>
            <w:tcBorders>
              <w:top w:val="single" w:sz="12" w:space="0" w:color="auto"/>
            </w:tcBorders>
            <w:shd w:val="clear" w:color="auto" w:fill="auto"/>
            <w:noWrap/>
            <w:vAlign w:val="bottom"/>
            <w:hideMark/>
          </w:tcPr>
          <w:p w14:paraId="07605E20"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1411,47</w:t>
            </w:r>
          </w:p>
        </w:tc>
        <w:tc>
          <w:tcPr>
            <w:tcW w:w="864" w:type="dxa"/>
            <w:tcBorders>
              <w:top w:val="single" w:sz="12" w:space="0" w:color="auto"/>
            </w:tcBorders>
            <w:shd w:val="clear" w:color="auto" w:fill="auto"/>
            <w:noWrap/>
            <w:vAlign w:val="bottom"/>
            <w:hideMark/>
          </w:tcPr>
          <w:p w14:paraId="1707A87A"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1408,10</w:t>
            </w:r>
          </w:p>
        </w:tc>
        <w:tc>
          <w:tcPr>
            <w:tcW w:w="864" w:type="dxa"/>
            <w:tcBorders>
              <w:top w:val="single" w:sz="12" w:space="0" w:color="auto"/>
            </w:tcBorders>
            <w:shd w:val="clear" w:color="auto" w:fill="auto"/>
            <w:noWrap/>
            <w:vAlign w:val="bottom"/>
            <w:hideMark/>
          </w:tcPr>
          <w:p w14:paraId="1BD7024D"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1404,15</w:t>
            </w:r>
          </w:p>
        </w:tc>
        <w:tc>
          <w:tcPr>
            <w:tcW w:w="864" w:type="dxa"/>
            <w:tcBorders>
              <w:top w:val="single" w:sz="12" w:space="0" w:color="auto"/>
            </w:tcBorders>
            <w:shd w:val="clear" w:color="auto" w:fill="auto"/>
            <w:noWrap/>
            <w:vAlign w:val="bottom"/>
            <w:hideMark/>
          </w:tcPr>
          <w:p w14:paraId="227FFD5F"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1395,25</w:t>
            </w:r>
          </w:p>
        </w:tc>
        <w:tc>
          <w:tcPr>
            <w:tcW w:w="1000" w:type="dxa"/>
            <w:tcBorders>
              <w:top w:val="single" w:sz="12" w:space="0" w:color="auto"/>
            </w:tcBorders>
            <w:shd w:val="clear" w:color="auto" w:fill="auto"/>
            <w:noWrap/>
            <w:vAlign w:val="bottom"/>
            <w:hideMark/>
          </w:tcPr>
          <w:p w14:paraId="2327DE3C"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1390,18</w:t>
            </w:r>
          </w:p>
        </w:tc>
        <w:tc>
          <w:tcPr>
            <w:tcW w:w="1000" w:type="dxa"/>
            <w:tcBorders>
              <w:top w:val="single" w:sz="12" w:space="0" w:color="auto"/>
            </w:tcBorders>
            <w:shd w:val="clear" w:color="auto" w:fill="auto"/>
            <w:noWrap/>
            <w:vAlign w:val="bottom"/>
            <w:hideMark/>
          </w:tcPr>
          <w:p w14:paraId="4B856A87"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1382,82</w:t>
            </w:r>
          </w:p>
        </w:tc>
        <w:tc>
          <w:tcPr>
            <w:tcW w:w="1000" w:type="dxa"/>
            <w:tcBorders>
              <w:top w:val="single" w:sz="12" w:space="0" w:color="auto"/>
            </w:tcBorders>
            <w:shd w:val="clear" w:color="auto" w:fill="auto"/>
            <w:noWrap/>
            <w:vAlign w:val="bottom"/>
            <w:hideMark/>
          </w:tcPr>
          <w:p w14:paraId="5854A8DD"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1377,25</w:t>
            </w:r>
          </w:p>
        </w:tc>
        <w:tc>
          <w:tcPr>
            <w:tcW w:w="1000" w:type="dxa"/>
            <w:tcBorders>
              <w:top w:val="single" w:sz="12" w:space="0" w:color="auto"/>
            </w:tcBorders>
            <w:shd w:val="clear" w:color="auto" w:fill="auto"/>
            <w:noWrap/>
            <w:vAlign w:val="bottom"/>
            <w:hideMark/>
          </w:tcPr>
          <w:p w14:paraId="42DF0EBC"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1372,15</w:t>
            </w:r>
          </w:p>
        </w:tc>
        <w:tc>
          <w:tcPr>
            <w:tcW w:w="1000" w:type="dxa"/>
            <w:tcBorders>
              <w:top w:val="single" w:sz="12" w:space="0" w:color="auto"/>
              <w:right w:val="single" w:sz="12" w:space="0" w:color="auto"/>
            </w:tcBorders>
            <w:shd w:val="clear" w:color="auto" w:fill="auto"/>
            <w:noWrap/>
            <w:vAlign w:val="bottom"/>
            <w:hideMark/>
          </w:tcPr>
          <w:p w14:paraId="02452415"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1367,44</w:t>
            </w:r>
          </w:p>
        </w:tc>
      </w:tr>
      <w:tr w:rsidR="003E0F58" w:rsidRPr="007C705C" w14:paraId="41E6CE92" w14:textId="77777777" w:rsidTr="004D2249">
        <w:trPr>
          <w:gridAfter w:val="1"/>
          <w:wAfter w:w="16" w:type="dxa"/>
          <w:trHeight w:val="300"/>
        </w:trPr>
        <w:tc>
          <w:tcPr>
            <w:tcW w:w="1838" w:type="dxa"/>
            <w:vMerge/>
            <w:tcBorders>
              <w:left w:val="single" w:sz="12" w:space="0" w:color="auto"/>
              <w:right w:val="single" w:sz="12" w:space="0" w:color="auto"/>
            </w:tcBorders>
            <w:vAlign w:val="center"/>
            <w:hideMark/>
          </w:tcPr>
          <w:p w14:paraId="7A2253C4" w14:textId="77777777" w:rsidR="003E0F58" w:rsidRPr="007C705C" w:rsidRDefault="003E0F58" w:rsidP="004D2249">
            <w:pPr>
              <w:jc w:val="left"/>
              <w:rPr>
                <w:rFonts w:cs="Times New Roman"/>
                <w:color w:val="000000"/>
                <w:sz w:val="22"/>
                <w:lang w:val="cs-CZ"/>
              </w:rPr>
            </w:pPr>
          </w:p>
        </w:tc>
        <w:tc>
          <w:tcPr>
            <w:tcW w:w="2020" w:type="dxa"/>
            <w:tcBorders>
              <w:left w:val="single" w:sz="12" w:space="0" w:color="auto"/>
              <w:right w:val="single" w:sz="12" w:space="0" w:color="auto"/>
            </w:tcBorders>
            <w:shd w:val="clear" w:color="auto" w:fill="auto"/>
            <w:vAlign w:val="center"/>
            <w:hideMark/>
          </w:tcPr>
          <w:p w14:paraId="11F46CC8" w14:textId="77777777" w:rsidR="003E0F58" w:rsidRPr="007C705C" w:rsidRDefault="003E0F58" w:rsidP="004D2249">
            <w:pPr>
              <w:jc w:val="center"/>
              <w:rPr>
                <w:rFonts w:cs="Times New Roman"/>
                <w:color w:val="000000"/>
                <w:lang w:val="cs-CZ"/>
              </w:rPr>
            </w:pPr>
            <w:r w:rsidRPr="007C705C">
              <w:rPr>
                <w:rFonts w:cs="Times New Roman"/>
                <w:color w:val="000000"/>
                <w:lang w:val="cs-CZ"/>
              </w:rPr>
              <w:t xml:space="preserve"> - z toho orná půda</w:t>
            </w:r>
          </w:p>
        </w:tc>
        <w:tc>
          <w:tcPr>
            <w:tcW w:w="864" w:type="dxa"/>
            <w:tcBorders>
              <w:left w:val="single" w:sz="12" w:space="0" w:color="auto"/>
            </w:tcBorders>
            <w:shd w:val="clear" w:color="auto" w:fill="auto"/>
            <w:noWrap/>
            <w:vAlign w:val="bottom"/>
            <w:hideMark/>
          </w:tcPr>
          <w:p w14:paraId="68FE01C1"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1129,36</w:t>
            </w:r>
          </w:p>
        </w:tc>
        <w:tc>
          <w:tcPr>
            <w:tcW w:w="864" w:type="dxa"/>
            <w:shd w:val="clear" w:color="auto" w:fill="auto"/>
            <w:noWrap/>
            <w:vAlign w:val="bottom"/>
            <w:hideMark/>
          </w:tcPr>
          <w:p w14:paraId="739645CB"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1120,72</w:t>
            </w:r>
          </w:p>
        </w:tc>
        <w:tc>
          <w:tcPr>
            <w:tcW w:w="864" w:type="dxa"/>
            <w:shd w:val="clear" w:color="auto" w:fill="auto"/>
            <w:noWrap/>
            <w:vAlign w:val="bottom"/>
            <w:hideMark/>
          </w:tcPr>
          <w:p w14:paraId="6700602D"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1117,81</w:t>
            </w:r>
          </w:p>
        </w:tc>
        <w:tc>
          <w:tcPr>
            <w:tcW w:w="864" w:type="dxa"/>
            <w:shd w:val="clear" w:color="auto" w:fill="auto"/>
            <w:noWrap/>
            <w:vAlign w:val="bottom"/>
            <w:hideMark/>
          </w:tcPr>
          <w:p w14:paraId="147679B0"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1115,37</w:t>
            </w:r>
          </w:p>
        </w:tc>
        <w:tc>
          <w:tcPr>
            <w:tcW w:w="864" w:type="dxa"/>
            <w:shd w:val="clear" w:color="auto" w:fill="auto"/>
            <w:noWrap/>
            <w:vAlign w:val="bottom"/>
            <w:hideMark/>
          </w:tcPr>
          <w:p w14:paraId="20271886"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1112,51</w:t>
            </w:r>
          </w:p>
        </w:tc>
        <w:tc>
          <w:tcPr>
            <w:tcW w:w="864" w:type="dxa"/>
            <w:shd w:val="clear" w:color="auto" w:fill="auto"/>
            <w:noWrap/>
            <w:vAlign w:val="bottom"/>
            <w:hideMark/>
          </w:tcPr>
          <w:p w14:paraId="16E4A061"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1107,15</w:t>
            </w:r>
          </w:p>
        </w:tc>
        <w:tc>
          <w:tcPr>
            <w:tcW w:w="1000" w:type="dxa"/>
            <w:shd w:val="clear" w:color="auto" w:fill="auto"/>
            <w:noWrap/>
            <w:vAlign w:val="bottom"/>
            <w:hideMark/>
          </w:tcPr>
          <w:p w14:paraId="5BE95897"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1104,05</w:t>
            </w:r>
          </w:p>
        </w:tc>
        <w:tc>
          <w:tcPr>
            <w:tcW w:w="1000" w:type="dxa"/>
            <w:shd w:val="clear" w:color="auto" w:fill="auto"/>
            <w:noWrap/>
            <w:vAlign w:val="bottom"/>
            <w:hideMark/>
          </w:tcPr>
          <w:p w14:paraId="21F89144"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1099,56</w:t>
            </w:r>
          </w:p>
        </w:tc>
        <w:tc>
          <w:tcPr>
            <w:tcW w:w="1000" w:type="dxa"/>
            <w:shd w:val="clear" w:color="auto" w:fill="auto"/>
            <w:noWrap/>
            <w:vAlign w:val="bottom"/>
            <w:hideMark/>
          </w:tcPr>
          <w:p w14:paraId="57E9B392"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1095,90</w:t>
            </w:r>
          </w:p>
        </w:tc>
        <w:tc>
          <w:tcPr>
            <w:tcW w:w="1000" w:type="dxa"/>
            <w:shd w:val="clear" w:color="auto" w:fill="auto"/>
            <w:noWrap/>
            <w:vAlign w:val="bottom"/>
            <w:hideMark/>
          </w:tcPr>
          <w:p w14:paraId="3B9AC806"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1092,39</w:t>
            </w:r>
          </w:p>
        </w:tc>
        <w:tc>
          <w:tcPr>
            <w:tcW w:w="1000" w:type="dxa"/>
            <w:tcBorders>
              <w:right w:val="single" w:sz="12" w:space="0" w:color="auto"/>
            </w:tcBorders>
            <w:shd w:val="clear" w:color="auto" w:fill="auto"/>
            <w:noWrap/>
            <w:vAlign w:val="bottom"/>
            <w:hideMark/>
          </w:tcPr>
          <w:p w14:paraId="3BF85BCE"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1089,28</w:t>
            </w:r>
          </w:p>
        </w:tc>
      </w:tr>
      <w:tr w:rsidR="003E0F58" w:rsidRPr="007C705C" w14:paraId="02B765EF" w14:textId="77777777" w:rsidTr="004D2249">
        <w:trPr>
          <w:gridAfter w:val="1"/>
          <w:wAfter w:w="16" w:type="dxa"/>
          <w:trHeight w:val="300"/>
        </w:trPr>
        <w:tc>
          <w:tcPr>
            <w:tcW w:w="1838" w:type="dxa"/>
            <w:vMerge/>
            <w:tcBorders>
              <w:left w:val="single" w:sz="12" w:space="0" w:color="auto"/>
              <w:right w:val="single" w:sz="12" w:space="0" w:color="auto"/>
            </w:tcBorders>
            <w:vAlign w:val="center"/>
            <w:hideMark/>
          </w:tcPr>
          <w:p w14:paraId="4E8F7D9F" w14:textId="77777777" w:rsidR="003E0F58" w:rsidRPr="007C705C" w:rsidRDefault="003E0F58" w:rsidP="004D2249">
            <w:pPr>
              <w:jc w:val="left"/>
              <w:rPr>
                <w:rFonts w:cs="Times New Roman"/>
                <w:color w:val="000000"/>
                <w:sz w:val="22"/>
                <w:lang w:val="cs-CZ"/>
              </w:rPr>
            </w:pPr>
          </w:p>
        </w:tc>
        <w:tc>
          <w:tcPr>
            <w:tcW w:w="2020" w:type="dxa"/>
            <w:tcBorders>
              <w:left w:val="single" w:sz="12" w:space="0" w:color="auto"/>
              <w:right w:val="single" w:sz="12" w:space="0" w:color="auto"/>
            </w:tcBorders>
            <w:shd w:val="clear" w:color="auto" w:fill="auto"/>
            <w:vAlign w:val="center"/>
            <w:hideMark/>
          </w:tcPr>
          <w:p w14:paraId="71D31AA5" w14:textId="77777777" w:rsidR="003E0F58" w:rsidRPr="007C705C" w:rsidRDefault="003E0F58" w:rsidP="004D2249">
            <w:pPr>
              <w:jc w:val="center"/>
              <w:rPr>
                <w:rFonts w:cs="Times New Roman"/>
                <w:color w:val="000000"/>
                <w:lang w:val="cs-CZ"/>
              </w:rPr>
            </w:pPr>
            <w:r w:rsidRPr="007C705C">
              <w:rPr>
                <w:rFonts w:cs="Times New Roman"/>
                <w:color w:val="000000"/>
                <w:lang w:val="cs-CZ"/>
              </w:rPr>
              <w:t xml:space="preserve"> - z toho TTP</w:t>
            </w:r>
          </w:p>
        </w:tc>
        <w:tc>
          <w:tcPr>
            <w:tcW w:w="864" w:type="dxa"/>
            <w:tcBorders>
              <w:left w:val="single" w:sz="12" w:space="0" w:color="auto"/>
            </w:tcBorders>
            <w:shd w:val="clear" w:color="auto" w:fill="auto"/>
            <w:noWrap/>
            <w:vAlign w:val="bottom"/>
            <w:hideMark/>
          </w:tcPr>
          <w:p w14:paraId="4AB21CA2"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261,87</w:t>
            </w:r>
          </w:p>
        </w:tc>
        <w:tc>
          <w:tcPr>
            <w:tcW w:w="864" w:type="dxa"/>
            <w:shd w:val="clear" w:color="auto" w:fill="auto"/>
            <w:noWrap/>
            <w:vAlign w:val="bottom"/>
            <w:hideMark/>
          </w:tcPr>
          <w:p w14:paraId="2E0153E3"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262,91</w:t>
            </w:r>
          </w:p>
        </w:tc>
        <w:tc>
          <w:tcPr>
            <w:tcW w:w="864" w:type="dxa"/>
            <w:shd w:val="clear" w:color="auto" w:fill="auto"/>
            <w:noWrap/>
            <w:vAlign w:val="bottom"/>
            <w:hideMark/>
          </w:tcPr>
          <w:p w14:paraId="03FBE790"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261,40</w:t>
            </w:r>
          </w:p>
        </w:tc>
        <w:tc>
          <w:tcPr>
            <w:tcW w:w="864" w:type="dxa"/>
            <w:shd w:val="clear" w:color="auto" w:fill="auto"/>
            <w:noWrap/>
            <w:vAlign w:val="bottom"/>
            <w:hideMark/>
          </w:tcPr>
          <w:p w14:paraId="71EF2659"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260,47</w:t>
            </w:r>
          </w:p>
        </w:tc>
        <w:tc>
          <w:tcPr>
            <w:tcW w:w="864" w:type="dxa"/>
            <w:shd w:val="clear" w:color="auto" w:fill="auto"/>
            <w:noWrap/>
            <w:vAlign w:val="bottom"/>
            <w:hideMark/>
          </w:tcPr>
          <w:p w14:paraId="7E9F1685"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259,38</w:t>
            </w:r>
          </w:p>
        </w:tc>
        <w:tc>
          <w:tcPr>
            <w:tcW w:w="864" w:type="dxa"/>
            <w:shd w:val="clear" w:color="auto" w:fill="auto"/>
            <w:noWrap/>
            <w:vAlign w:val="bottom"/>
            <w:hideMark/>
          </w:tcPr>
          <w:p w14:paraId="382FE5A0"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255,83</w:t>
            </w:r>
          </w:p>
        </w:tc>
        <w:tc>
          <w:tcPr>
            <w:tcW w:w="1000" w:type="dxa"/>
            <w:shd w:val="clear" w:color="auto" w:fill="auto"/>
            <w:noWrap/>
            <w:vAlign w:val="bottom"/>
            <w:hideMark/>
          </w:tcPr>
          <w:p w14:paraId="208907F7"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253,87</w:t>
            </w:r>
          </w:p>
        </w:tc>
        <w:tc>
          <w:tcPr>
            <w:tcW w:w="1000" w:type="dxa"/>
            <w:shd w:val="clear" w:color="auto" w:fill="auto"/>
            <w:noWrap/>
            <w:vAlign w:val="bottom"/>
            <w:hideMark/>
          </w:tcPr>
          <w:p w14:paraId="4403443B"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251,00</w:t>
            </w:r>
          </w:p>
        </w:tc>
        <w:tc>
          <w:tcPr>
            <w:tcW w:w="1000" w:type="dxa"/>
            <w:shd w:val="clear" w:color="auto" w:fill="auto"/>
            <w:noWrap/>
            <w:vAlign w:val="bottom"/>
            <w:hideMark/>
          </w:tcPr>
          <w:p w14:paraId="4C5D596F"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249,09</w:t>
            </w:r>
          </w:p>
        </w:tc>
        <w:tc>
          <w:tcPr>
            <w:tcW w:w="1000" w:type="dxa"/>
            <w:shd w:val="clear" w:color="auto" w:fill="auto"/>
            <w:noWrap/>
            <w:vAlign w:val="bottom"/>
            <w:hideMark/>
          </w:tcPr>
          <w:p w14:paraId="343CD489"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247,50</w:t>
            </w:r>
          </w:p>
        </w:tc>
        <w:tc>
          <w:tcPr>
            <w:tcW w:w="1000" w:type="dxa"/>
            <w:tcBorders>
              <w:right w:val="single" w:sz="12" w:space="0" w:color="auto"/>
            </w:tcBorders>
            <w:shd w:val="clear" w:color="auto" w:fill="auto"/>
            <w:noWrap/>
            <w:vAlign w:val="bottom"/>
            <w:hideMark/>
          </w:tcPr>
          <w:p w14:paraId="1CB2641D"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245,90</w:t>
            </w:r>
          </w:p>
        </w:tc>
      </w:tr>
      <w:tr w:rsidR="003E0F58" w:rsidRPr="007C705C" w14:paraId="5380FAE6" w14:textId="77777777" w:rsidTr="004D2249">
        <w:trPr>
          <w:gridAfter w:val="1"/>
          <w:wAfter w:w="16" w:type="dxa"/>
          <w:trHeight w:val="300"/>
        </w:trPr>
        <w:tc>
          <w:tcPr>
            <w:tcW w:w="1838" w:type="dxa"/>
            <w:vMerge/>
            <w:tcBorders>
              <w:left w:val="single" w:sz="12" w:space="0" w:color="auto"/>
              <w:bottom w:val="single" w:sz="12" w:space="0" w:color="auto"/>
              <w:right w:val="single" w:sz="12" w:space="0" w:color="auto"/>
            </w:tcBorders>
            <w:vAlign w:val="center"/>
            <w:hideMark/>
          </w:tcPr>
          <w:p w14:paraId="50CE3A8B" w14:textId="77777777" w:rsidR="003E0F58" w:rsidRPr="007C705C" w:rsidRDefault="003E0F58" w:rsidP="004D2249">
            <w:pPr>
              <w:jc w:val="left"/>
              <w:rPr>
                <w:rFonts w:cs="Times New Roman"/>
                <w:color w:val="000000"/>
                <w:sz w:val="22"/>
                <w:lang w:val="cs-CZ"/>
              </w:rPr>
            </w:pPr>
          </w:p>
        </w:tc>
        <w:tc>
          <w:tcPr>
            <w:tcW w:w="2020" w:type="dxa"/>
            <w:tcBorders>
              <w:left w:val="single" w:sz="12" w:space="0" w:color="auto"/>
              <w:bottom w:val="single" w:sz="12" w:space="0" w:color="auto"/>
              <w:right w:val="single" w:sz="12" w:space="0" w:color="auto"/>
            </w:tcBorders>
            <w:shd w:val="clear" w:color="auto" w:fill="auto"/>
            <w:noWrap/>
            <w:vAlign w:val="bottom"/>
            <w:hideMark/>
          </w:tcPr>
          <w:p w14:paraId="12A8D399" w14:textId="77777777" w:rsidR="003E0F58" w:rsidRPr="007C705C" w:rsidRDefault="003E0F58" w:rsidP="004D2249">
            <w:pPr>
              <w:jc w:val="center"/>
              <w:rPr>
                <w:rFonts w:cs="Times New Roman"/>
                <w:color w:val="000000"/>
                <w:lang w:val="cs-CZ"/>
              </w:rPr>
            </w:pPr>
            <w:r w:rsidRPr="007C705C">
              <w:rPr>
                <w:rFonts w:cs="Times New Roman"/>
                <w:color w:val="000000"/>
                <w:lang w:val="cs-CZ"/>
              </w:rPr>
              <w:t>- zbytek ostatní kultury</w:t>
            </w:r>
          </w:p>
        </w:tc>
        <w:tc>
          <w:tcPr>
            <w:tcW w:w="864" w:type="dxa"/>
            <w:tcBorders>
              <w:left w:val="single" w:sz="12" w:space="0" w:color="auto"/>
              <w:bottom w:val="single" w:sz="12" w:space="0" w:color="auto"/>
            </w:tcBorders>
            <w:shd w:val="clear" w:color="auto" w:fill="auto"/>
            <w:noWrap/>
            <w:vAlign w:val="bottom"/>
            <w:hideMark/>
          </w:tcPr>
          <w:p w14:paraId="71CA4AAD"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32,26</w:t>
            </w:r>
          </w:p>
        </w:tc>
        <w:tc>
          <w:tcPr>
            <w:tcW w:w="864" w:type="dxa"/>
            <w:tcBorders>
              <w:bottom w:val="single" w:sz="12" w:space="0" w:color="auto"/>
            </w:tcBorders>
            <w:shd w:val="clear" w:color="auto" w:fill="auto"/>
            <w:noWrap/>
            <w:vAlign w:val="bottom"/>
            <w:hideMark/>
          </w:tcPr>
          <w:p w14:paraId="789FD497"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32,26</w:t>
            </w:r>
          </w:p>
        </w:tc>
        <w:tc>
          <w:tcPr>
            <w:tcW w:w="864" w:type="dxa"/>
            <w:tcBorders>
              <w:bottom w:val="single" w:sz="12" w:space="0" w:color="auto"/>
            </w:tcBorders>
            <w:shd w:val="clear" w:color="auto" w:fill="auto"/>
            <w:noWrap/>
            <w:vAlign w:val="bottom"/>
            <w:hideMark/>
          </w:tcPr>
          <w:p w14:paraId="26ABADE7"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32,26</w:t>
            </w:r>
          </w:p>
        </w:tc>
        <w:tc>
          <w:tcPr>
            <w:tcW w:w="864" w:type="dxa"/>
            <w:tcBorders>
              <w:bottom w:val="single" w:sz="12" w:space="0" w:color="auto"/>
            </w:tcBorders>
            <w:shd w:val="clear" w:color="auto" w:fill="auto"/>
            <w:noWrap/>
            <w:vAlign w:val="bottom"/>
            <w:hideMark/>
          </w:tcPr>
          <w:p w14:paraId="233B32F0"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32,26</w:t>
            </w:r>
          </w:p>
        </w:tc>
        <w:tc>
          <w:tcPr>
            <w:tcW w:w="864" w:type="dxa"/>
            <w:tcBorders>
              <w:bottom w:val="single" w:sz="12" w:space="0" w:color="auto"/>
            </w:tcBorders>
            <w:shd w:val="clear" w:color="auto" w:fill="auto"/>
            <w:noWrap/>
            <w:vAlign w:val="bottom"/>
            <w:hideMark/>
          </w:tcPr>
          <w:p w14:paraId="311DE79F"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32,26</w:t>
            </w:r>
          </w:p>
        </w:tc>
        <w:tc>
          <w:tcPr>
            <w:tcW w:w="864" w:type="dxa"/>
            <w:tcBorders>
              <w:bottom w:val="single" w:sz="12" w:space="0" w:color="auto"/>
            </w:tcBorders>
            <w:shd w:val="clear" w:color="auto" w:fill="auto"/>
            <w:noWrap/>
            <w:vAlign w:val="bottom"/>
            <w:hideMark/>
          </w:tcPr>
          <w:p w14:paraId="634B8EB5"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32,26</w:t>
            </w:r>
          </w:p>
        </w:tc>
        <w:tc>
          <w:tcPr>
            <w:tcW w:w="1000" w:type="dxa"/>
            <w:tcBorders>
              <w:bottom w:val="single" w:sz="12" w:space="0" w:color="auto"/>
            </w:tcBorders>
            <w:shd w:val="clear" w:color="auto" w:fill="auto"/>
            <w:noWrap/>
            <w:vAlign w:val="bottom"/>
            <w:hideMark/>
          </w:tcPr>
          <w:p w14:paraId="64AEAEB0"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32,26</w:t>
            </w:r>
          </w:p>
        </w:tc>
        <w:tc>
          <w:tcPr>
            <w:tcW w:w="1000" w:type="dxa"/>
            <w:tcBorders>
              <w:bottom w:val="single" w:sz="12" w:space="0" w:color="auto"/>
            </w:tcBorders>
            <w:shd w:val="clear" w:color="auto" w:fill="auto"/>
            <w:noWrap/>
            <w:vAlign w:val="bottom"/>
            <w:hideMark/>
          </w:tcPr>
          <w:p w14:paraId="1C707639"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32,26</w:t>
            </w:r>
          </w:p>
        </w:tc>
        <w:tc>
          <w:tcPr>
            <w:tcW w:w="1000" w:type="dxa"/>
            <w:tcBorders>
              <w:bottom w:val="single" w:sz="12" w:space="0" w:color="auto"/>
            </w:tcBorders>
            <w:shd w:val="clear" w:color="auto" w:fill="auto"/>
            <w:noWrap/>
            <w:vAlign w:val="bottom"/>
            <w:hideMark/>
          </w:tcPr>
          <w:p w14:paraId="21742BD8"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32,26</w:t>
            </w:r>
          </w:p>
        </w:tc>
        <w:tc>
          <w:tcPr>
            <w:tcW w:w="1000" w:type="dxa"/>
            <w:tcBorders>
              <w:bottom w:val="single" w:sz="12" w:space="0" w:color="auto"/>
            </w:tcBorders>
            <w:shd w:val="clear" w:color="auto" w:fill="auto"/>
            <w:noWrap/>
            <w:vAlign w:val="bottom"/>
            <w:hideMark/>
          </w:tcPr>
          <w:p w14:paraId="00C2CDB9"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32,26</w:t>
            </w:r>
          </w:p>
        </w:tc>
        <w:tc>
          <w:tcPr>
            <w:tcW w:w="1000" w:type="dxa"/>
            <w:tcBorders>
              <w:bottom w:val="single" w:sz="12" w:space="0" w:color="auto"/>
              <w:right w:val="single" w:sz="12" w:space="0" w:color="auto"/>
            </w:tcBorders>
            <w:shd w:val="clear" w:color="auto" w:fill="auto"/>
            <w:noWrap/>
            <w:vAlign w:val="bottom"/>
            <w:hideMark/>
          </w:tcPr>
          <w:p w14:paraId="4C5AD3ED"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32,26</w:t>
            </w:r>
          </w:p>
        </w:tc>
      </w:tr>
      <w:tr w:rsidR="003E0F58" w:rsidRPr="007C705C" w14:paraId="4775486F" w14:textId="77777777" w:rsidTr="004D2249">
        <w:trPr>
          <w:gridAfter w:val="1"/>
          <w:wAfter w:w="16" w:type="dxa"/>
          <w:trHeight w:val="1275"/>
        </w:trPr>
        <w:tc>
          <w:tcPr>
            <w:tcW w:w="1838" w:type="dxa"/>
            <w:vMerge w:val="restart"/>
            <w:tcBorders>
              <w:top w:val="single" w:sz="12" w:space="0" w:color="auto"/>
              <w:left w:val="single" w:sz="12" w:space="0" w:color="auto"/>
              <w:right w:val="single" w:sz="12" w:space="0" w:color="auto"/>
            </w:tcBorders>
            <w:shd w:val="clear" w:color="auto" w:fill="auto"/>
            <w:vAlign w:val="center"/>
            <w:hideMark/>
          </w:tcPr>
          <w:p w14:paraId="162619A8" w14:textId="77777777" w:rsidR="003E0F58" w:rsidRPr="007C705C" w:rsidRDefault="003E0F58" w:rsidP="004D2249">
            <w:pPr>
              <w:jc w:val="center"/>
              <w:rPr>
                <w:rFonts w:cs="Times New Roman"/>
                <w:color w:val="000000"/>
                <w:sz w:val="22"/>
                <w:lang w:val="cs-CZ"/>
              </w:rPr>
            </w:pPr>
            <w:r w:rsidRPr="007C705C">
              <w:rPr>
                <w:rFonts w:cs="Times New Roman"/>
                <w:color w:val="000000"/>
                <w:sz w:val="22"/>
                <w:lang w:val="cs-CZ"/>
              </w:rPr>
              <w:t>100% úroveň potravinového zabezpečení</w:t>
            </w:r>
          </w:p>
        </w:tc>
        <w:tc>
          <w:tcPr>
            <w:tcW w:w="2020" w:type="dxa"/>
            <w:tcBorders>
              <w:top w:val="single" w:sz="12" w:space="0" w:color="auto"/>
              <w:left w:val="single" w:sz="12" w:space="0" w:color="auto"/>
              <w:right w:val="single" w:sz="12" w:space="0" w:color="auto"/>
            </w:tcBorders>
            <w:shd w:val="clear" w:color="auto" w:fill="auto"/>
            <w:vAlign w:val="center"/>
            <w:hideMark/>
          </w:tcPr>
          <w:p w14:paraId="4EB2FC2D" w14:textId="77777777" w:rsidR="003E0F58" w:rsidRPr="007C705C" w:rsidRDefault="003E0F58" w:rsidP="004D2249">
            <w:pPr>
              <w:jc w:val="center"/>
              <w:rPr>
                <w:rFonts w:cs="Times New Roman"/>
                <w:color w:val="000000"/>
                <w:lang w:val="cs-CZ"/>
              </w:rPr>
            </w:pPr>
            <w:r w:rsidRPr="007C705C">
              <w:rPr>
                <w:rFonts w:cs="Times New Roman"/>
                <w:color w:val="000000"/>
                <w:lang w:val="cs-CZ"/>
              </w:rPr>
              <w:t>zbývající volná plocha z.p. ( po využití na bioenergetiku či jiné techické účely)</w:t>
            </w:r>
          </w:p>
        </w:tc>
        <w:tc>
          <w:tcPr>
            <w:tcW w:w="864" w:type="dxa"/>
            <w:tcBorders>
              <w:top w:val="single" w:sz="12" w:space="0" w:color="auto"/>
              <w:left w:val="single" w:sz="12" w:space="0" w:color="auto"/>
            </w:tcBorders>
            <w:shd w:val="clear" w:color="auto" w:fill="auto"/>
            <w:noWrap/>
            <w:vAlign w:val="bottom"/>
            <w:hideMark/>
          </w:tcPr>
          <w:p w14:paraId="43812263"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722,50</w:t>
            </w:r>
          </w:p>
        </w:tc>
        <w:tc>
          <w:tcPr>
            <w:tcW w:w="864" w:type="dxa"/>
            <w:tcBorders>
              <w:top w:val="single" w:sz="12" w:space="0" w:color="auto"/>
            </w:tcBorders>
            <w:shd w:val="clear" w:color="auto" w:fill="auto"/>
            <w:noWrap/>
            <w:vAlign w:val="bottom"/>
            <w:hideMark/>
          </w:tcPr>
          <w:p w14:paraId="4C111A36"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714,91</w:t>
            </w:r>
          </w:p>
        </w:tc>
        <w:tc>
          <w:tcPr>
            <w:tcW w:w="864" w:type="dxa"/>
            <w:tcBorders>
              <w:top w:val="single" w:sz="12" w:space="0" w:color="auto"/>
            </w:tcBorders>
            <w:shd w:val="clear" w:color="auto" w:fill="auto"/>
            <w:noWrap/>
            <w:vAlign w:val="bottom"/>
            <w:hideMark/>
          </w:tcPr>
          <w:p w14:paraId="4727792F"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710,49</w:t>
            </w:r>
          </w:p>
        </w:tc>
        <w:tc>
          <w:tcPr>
            <w:tcW w:w="864" w:type="dxa"/>
            <w:tcBorders>
              <w:top w:val="single" w:sz="12" w:space="0" w:color="auto"/>
            </w:tcBorders>
            <w:shd w:val="clear" w:color="auto" w:fill="auto"/>
            <w:noWrap/>
            <w:vAlign w:val="bottom"/>
            <w:hideMark/>
          </w:tcPr>
          <w:p w14:paraId="5060EBAC"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707,12</w:t>
            </w:r>
          </w:p>
        </w:tc>
        <w:tc>
          <w:tcPr>
            <w:tcW w:w="864" w:type="dxa"/>
            <w:tcBorders>
              <w:top w:val="single" w:sz="12" w:space="0" w:color="auto"/>
            </w:tcBorders>
            <w:shd w:val="clear" w:color="auto" w:fill="auto"/>
            <w:noWrap/>
            <w:vAlign w:val="bottom"/>
            <w:hideMark/>
          </w:tcPr>
          <w:p w14:paraId="313DF908"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703,17</w:t>
            </w:r>
          </w:p>
        </w:tc>
        <w:tc>
          <w:tcPr>
            <w:tcW w:w="864" w:type="dxa"/>
            <w:tcBorders>
              <w:top w:val="single" w:sz="12" w:space="0" w:color="auto"/>
            </w:tcBorders>
            <w:shd w:val="clear" w:color="auto" w:fill="auto"/>
            <w:noWrap/>
            <w:vAlign w:val="bottom"/>
            <w:hideMark/>
          </w:tcPr>
          <w:p w14:paraId="31876FB0"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694,27</w:t>
            </w:r>
          </w:p>
        </w:tc>
        <w:tc>
          <w:tcPr>
            <w:tcW w:w="1000" w:type="dxa"/>
            <w:tcBorders>
              <w:top w:val="single" w:sz="12" w:space="0" w:color="auto"/>
            </w:tcBorders>
            <w:shd w:val="clear" w:color="auto" w:fill="auto"/>
            <w:noWrap/>
            <w:vAlign w:val="bottom"/>
            <w:hideMark/>
          </w:tcPr>
          <w:p w14:paraId="33D48D3A"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689,20</w:t>
            </w:r>
          </w:p>
        </w:tc>
        <w:tc>
          <w:tcPr>
            <w:tcW w:w="1000" w:type="dxa"/>
            <w:tcBorders>
              <w:top w:val="single" w:sz="12" w:space="0" w:color="auto"/>
            </w:tcBorders>
            <w:shd w:val="clear" w:color="auto" w:fill="auto"/>
            <w:noWrap/>
            <w:vAlign w:val="bottom"/>
            <w:hideMark/>
          </w:tcPr>
          <w:p w14:paraId="7C3ABF2F"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681,84</w:t>
            </w:r>
          </w:p>
        </w:tc>
        <w:tc>
          <w:tcPr>
            <w:tcW w:w="1000" w:type="dxa"/>
            <w:tcBorders>
              <w:top w:val="single" w:sz="12" w:space="0" w:color="auto"/>
            </w:tcBorders>
            <w:shd w:val="clear" w:color="auto" w:fill="auto"/>
            <w:noWrap/>
            <w:vAlign w:val="bottom"/>
            <w:hideMark/>
          </w:tcPr>
          <w:p w14:paraId="74C57B76"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676,27</w:t>
            </w:r>
          </w:p>
        </w:tc>
        <w:tc>
          <w:tcPr>
            <w:tcW w:w="1000" w:type="dxa"/>
            <w:tcBorders>
              <w:top w:val="single" w:sz="12" w:space="0" w:color="auto"/>
            </w:tcBorders>
            <w:shd w:val="clear" w:color="auto" w:fill="auto"/>
            <w:noWrap/>
            <w:vAlign w:val="bottom"/>
            <w:hideMark/>
          </w:tcPr>
          <w:p w14:paraId="571E54C7"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671,17</w:t>
            </w:r>
          </w:p>
        </w:tc>
        <w:tc>
          <w:tcPr>
            <w:tcW w:w="1000" w:type="dxa"/>
            <w:tcBorders>
              <w:top w:val="single" w:sz="12" w:space="0" w:color="auto"/>
              <w:right w:val="single" w:sz="12" w:space="0" w:color="auto"/>
            </w:tcBorders>
            <w:shd w:val="clear" w:color="auto" w:fill="auto"/>
            <w:noWrap/>
            <w:vAlign w:val="bottom"/>
            <w:hideMark/>
          </w:tcPr>
          <w:p w14:paraId="41A73A53"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666,46</w:t>
            </w:r>
          </w:p>
        </w:tc>
      </w:tr>
      <w:tr w:rsidR="003E0F58" w:rsidRPr="007C705C" w14:paraId="6E4FCC70" w14:textId="77777777" w:rsidTr="004D2249">
        <w:trPr>
          <w:gridAfter w:val="1"/>
          <w:wAfter w:w="16" w:type="dxa"/>
          <w:trHeight w:val="300"/>
        </w:trPr>
        <w:tc>
          <w:tcPr>
            <w:tcW w:w="1838" w:type="dxa"/>
            <w:vMerge/>
            <w:tcBorders>
              <w:left w:val="single" w:sz="12" w:space="0" w:color="auto"/>
              <w:right w:val="single" w:sz="12" w:space="0" w:color="auto"/>
            </w:tcBorders>
            <w:vAlign w:val="center"/>
            <w:hideMark/>
          </w:tcPr>
          <w:p w14:paraId="7968B2B2" w14:textId="77777777" w:rsidR="003E0F58" w:rsidRPr="007C705C" w:rsidRDefault="003E0F58" w:rsidP="004D2249">
            <w:pPr>
              <w:jc w:val="left"/>
              <w:rPr>
                <w:rFonts w:cs="Times New Roman"/>
                <w:color w:val="000000"/>
                <w:sz w:val="22"/>
                <w:lang w:val="cs-CZ"/>
              </w:rPr>
            </w:pPr>
          </w:p>
        </w:tc>
        <w:tc>
          <w:tcPr>
            <w:tcW w:w="2020" w:type="dxa"/>
            <w:tcBorders>
              <w:left w:val="single" w:sz="12" w:space="0" w:color="auto"/>
              <w:right w:val="single" w:sz="12" w:space="0" w:color="auto"/>
            </w:tcBorders>
            <w:shd w:val="clear" w:color="auto" w:fill="auto"/>
            <w:vAlign w:val="center"/>
            <w:hideMark/>
          </w:tcPr>
          <w:p w14:paraId="409C57D7" w14:textId="77777777" w:rsidR="003E0F58" w:rsidRPr="007C705C" w:rsidRDefault="003E0F58" w:rsidP="004D2249">
            <w:pPr>
              <w:jc w:val="center"/>
              <w:rPr>
                <w:rFonts w:cs="Times New Roman"/>
                <w:color w:val="000000"/>
                <w:lang w:val="cs-CZ"/>
              </w:rPr>
            </w:pPr>
            <w:r w:rsidRPr="007C705C">
              <w:rPr>
                <w:rFonts w:cs="Times New Roman"/>
                <w:color w:val="000000"/>
                <w:lang w:val="cs-CZ"/>
              </w:rPr>
              <w:t xml:space="preserve"> - z toho orná půda</w:t>
            </w:r>
          </w:p>
        </w:tc>
        <w:tc>
          <w:tcPr>
            <w:tcW w:w="864" w:type="dxa"/>
            <w:tcBorders>
              <w:left w:val="single" w:sz="12" w:space="0" w:color="auto"/>
            </w:tcBorders>
            <w:shd w:val="clear" w:color="auto" w:fill="auto"/>
            <w:noWrap/>
            <w:vAlign w:val="bottom"/>
            <w:hideMark/>
          </w:tcPr>
          <w:p w14:paraId="48E2B2A4"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614,28</w:t>
            </w:r>
          </w:p>
        </w:tc>
        <w:tc>
          <w:tcPr>
            <w:tcW w:w="864" w:type="dxa"/>
            <w:shd w:val="clear" w:color="auto" w:fill="auto"/>
            <w:noWrap/>
            <w:vAlign w:val="bottom"/>
            <w:hideMark/>
          </w:tcPr>
          <w:p w14:paraId="3BEC07C2"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605,64</w:t>
            </w:r>
          </w:p>
        </w:tc>
        <w:tc>
          <w:tcPr>
            <w:tcW w:w="864" w:type="dxa"/>
            <w:shd w:val="clear" w:color="auto" w:fill="auto"/>
            <w:noWrap/>
            <w:vAlign w:val="bottom"/>
            <w:hideMark/>
          </w:tcPr>
          <w:p w14:paraId="68F27092"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602,73</w:t>
            </w:r>
          </w:p>
        </w:tc>
        <w:tc>
          <w:tcPr>
            <w:tcW w:w="864" w:type="dxa"/>
            <w:shd w:val="clear" w:color="auto" w:fill="auto"/>
            <w:noWrap/>
            <w:vAlign w:val="bottom"/>
            <w:hideMark/>
          </w:tcPr>
          <w:p w14:paraId="37D57BBD"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600,29</w:t>
            </w:r>
          </w:p>
        </w:tc>
        <w:tc>
          <w:tcPr>
            <w:tcW w:w="864" w:type="dxa"/>
            <w:shd w:val="clear" w:color="auto" w:fill="auto"/>
            <w:noWrap/>
            <w:vAlign w:val="bottom"/>
            <w:hideMark/>
          </w:tcPr>
          <w:p w14:paraId="13F8CE51"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597,43</w:t>
            </w:r>
          </w:p>
        </w:tc>
        <w:tc>
          <w:tcPr>
            <w:tcW w:w="864" w:type="dxa"/>
            <w:shd w:val="clear" w:color="auto" w:fill="auto"/>
            <w:noWrap/>
            <w:vAlign w:val="bottom"/>
            <w:hideMark/>
          </w:tcPr>
          <w:p w14:paraId="4B0FA5EF"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592,07</w:t>
            </w:r>
          </w:p>
        </w:tc>
        <w:tc>
          <w:tcPr>
            <w:tcW w:w="1000" w:type="dxa"/>
            <w:shd w:val="clear" w:color="auto" w:fill="auto"/>
            <w:noWrap/>
            <w:vAlign w:val="bottom"/>
            <w:hideMark/>
          </w:tcPr>
          <w:p w14:paraId="325D979E"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588,97</w:t>
            </w:r>
          </w:p>
        </w:tc>
        <w:tc>
          <w:tcPr>
            <w:tcW w:w="1000" w:type="dxa"/>
            <w:shd w:val="clear" w:color="auto" w:fill="auto"/>
            <w:noWrap/>
            <w:vAlign w:val="bottom"/>
            <w:hideMark/>
          </w:tcPr>
          <w:p w14:paraId="4B8E616A"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584,48</w:t>
            </w:r>
          </w:p>
        </w:tc>
        <w:tc>
          <w:tcPr>
            <w:tcW w:w="1000" w:type="dxa"/>
            <w:shd w:val="clear" w:color="auto" w:fill="auto"/>
            <w:noWrap/>
            <w:vAlign w:val="bottom"/>
            <w:hideMark/>
          </w:tcPr>
          <w:p w14:paraId="303BF142"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580,82</w:t>
            </w:r>
          </w:p>
        </w:tc>
        <w:tc>
          <w:tcPr>
            <w:tcW w:w="1000" w:type="dxa"/>
            <w:shd w:val="clear" w:color="auto" w:fill="auto"/>
            <w:noWrap/>
            <w:vAlign w:val="bottom"/>
            <w:hideMark/>
          </w:tcPr>
          <w:p w14:paraId="06A32AFA"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577,31</w:t>
            </w:r>
          </w:p>
        </w:tc>
        <w:tc>
          <w:tcPr>
            <w:tcW w:w="1000" w:type="dxa"/>
            <w:tcBorders>
              <w:right w:val="single" w:sz="12" w:space="0" w:color="auto"/>
            </w:tcBorders>
            <w:shd w:val="clear" w:color="auto" w:fill="auto"/>
            <w:noWrap/>
            <w:vAlign w:val="bottom"/>
            <w:hideMark/>
          </w:tcPr>
          <w:p w14:paraId="3CB45C90"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574,20</w:t>
            </w:r>
          </w:p>
        </w:tc>
      </w:tr>
      <w:tr w:rsidR="003E0F58" w:rsidRPr="007C705C" w14:paraId="12BED90F" w14:textId="77777777" w:rsidTr="004D2249">
        <w:trPr>
          <w:gridAfter w:val="1"/>
          <w:wAfter w:w="16" w:type="dxa"/>
          <w:trHeight w:val="300"/>
        </w:trPr>
        <w:tc>
          <w:tcPr>
            <w:tcW w:w="1838" w:type="dxa"/>
            <w:vMerge/>
            <w:tcBorders>
              <w:left w:val="single" w:sz="12" w:space="0" w:color="auto"/>
              <w:right w:val="single" w:sz="12" w:space="0" w:color="auto"/>
            </w:tcBorders>
            <w:vAlign w:val="center"/>
            <w:hideMark/>
          </w:tcPr>
          <w:p w14:paraId="0662D383" w14:textId="77777777" w:rsidR="003E0F58" w:rsidRPr="007C705C" w:rsidRDefault="003E0F58" w:rsidP="004D2249">
            <w:pPr>
              <w:jc w:val="left"/>
              <w:rPr>
                <w:rFonts w:cs="Times New Roman"/>
                <w:color w:val="000000"/>
                <w:sz w:val="22"/>
                <w:lang w:val="cs-CZ"/>
              </w:rPr>
            </w:pPr>
          </w:p>
        </w:tc>
        <w:tc>
          <w:tcPr>
            <w:tcW w:w="2020" w:type="dxa"/>
            <w:tcBorders>
              <w:left w:val="single" w:sz="12" w:space="0" w:color="auto"/>
              <w:right w:val="single" w:sz="12" w:space="0" w:color="auto"/>
            </w:tcBorders>
            <w:shd w:val="clear" w:color="auto" w:fill="auto"/>
            <w:vAlign w:val="center"/>
            <w:hideMark/>
          </w:tcPr>
          <w:p w14:paraId="1858EE95" w14:textId="77777777" w:rsidR="003E0F58" w:rsidRPr="007C705C" w:rsidRDefault="003E0F58" w:rsidP="004D2249">
            <w:pPr>
              <w:jc w:val="center"/>
              <w:rPr>
                <w:rFonts w:cs="Times New Roman"/>
                <w:color w:val="000000"/>
                <w:lang w:val="cs-CZ"/>
              </w:rPr>
            </w:pPr>
            <w:r w:rsidRPr="007C705C">
              <w:rPr>
                <w:rFonts w:cs="Times New Roman"/>
                <w:color w:val="000000"/>
                <w:lang w:val="cs-CZ"/>
              </w:rPr>
              <w:t xml:space="preserve"> - z toho TTP</w:t>
            </w:r>
          </w:p>
        </w:tc>
        <w:tc>
          <w:tcPr>
            <w:tcW w:w="864" w:type="dxa"/>
            <w:tcBorders>
              <w:left w:val="single" w:sz="12" w:space="0" w:color="auto"/>
            </w:tcBorders>
            <w:shd w:val="clear" w:color="auto" w:fill="auto"/>
            <w:noWrap/>
            <w:vAlign w:val="bottom"/>
            <w:hideMark/>
          </w:tcPr>
          <w:p w14:paraId="26C58121"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81,36</w:t>
            </w:r>
          </w:p>
        </w:tc>
        <w:tc>
          <w:tcPr>
            <w:tcW w:w="864" w:type="dxa"/>
            <w:shd w:val="clear" w:color="auto" w:fill="auto"/>
            <w:noWrap/>
            <w:vAlign w:val="bottom"/>
            <w:hideMark/>
          </w:tcPr>
          <w:p w14:paraId="01F78EE8"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82,40</w:t>
            </w:r>
          </w:p>
        </w:tc>
        <w:tc>
          <w:tcPr>
            <w:tcW w:w="864" w:type="dxa"/>
            <w:shd w:val="clear" w:color="auto" w:fill="auto"/>
            <w:noWrap/>
            <w:vAlign w:val="bottom"/>
            <w:hideMark/>
          </w:tcPr>
          <w:p w14:paraId="11320B70"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80,89</w:t>
            </w:r>
          </w:p>
        </w:tc>
        <w:tc>
          <w:tcPr>
            <w:tcW w:w="864" w:type="dxa"/>
            <w:shd w:val="clear" w:color="auto" w:fill="auto"/>
            <w:noWrap/>
            <w:vAlign w:val="bottom"/>
            <w:hideMark/>
          </w:tcPr>
          <w:p w14:paraId="47ED8129"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79,96</w:t>
            </w:r>
          </w:p>
        </w:tc>
        <w:tc>
          <w:tcPr>
            <w:tcW w:w="864" w:type="dxa"/>
            <w:shd w:val="clear" w:color="auto" w:fill="auto"/>
            <w:noWrap/>
            <w:vAlign w:val="bottom"/>
            <w:hideMark/>
          </w:tcPr>
          <w:p w14:paraId="7D80D895"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78,87</w:t>
            </w:r>
          </w:p>
        </w:tc>
        <w:tc>
          <w:tcPr>
            <w:tcW w:w="864" w:type="dxa"/>
            <w:shd w:val="clear" w:color="auto" w:fill="auto"/>
            <w:noWrap/>
            <w:vAlign w:val="bottom"/>
            <w:hideMark/>
          </w:tcPr>
          <w:p w14:paraId="5301D266"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75,32</w:t>
            </w:r>
          </w:p>
        </w:tc>
        <w:tc>
          <w:tcPr>
            <w:tcW w:w="1000" w:type="dxa"/>
            <w:shd w:val="clear" w:color="auto" w:fill="auto"/>
            <w:noWrap/>
            <w:vAlign w:val="bottom"/>
            <w:hideMark/>
          </w:tcPr>
          <w:p w14:paraId="07F18014"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73,36</w:t>
            </w:r>
          </w:p>
        </w:tc>
        <w:tc>
          <w:tcPr>
            <w:tcW w:w="1000" w:type="dxa"/>
            <w:shd w:val="clear" w:color="auto" w:fill="auto"/>
            <w:noWrap/>
            <w:vAlign w:val="bottom"/>
            <w:hideMark/>
          </w:tcPr>
          <w:p w14:paraId="56CB3DC1"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70,49</w:t>
            </w:r>
          </w:p>
        </w:tc>
        <w:tc>
          <w:tcPr>
            <w:tcW w:w="1000" w:type="dxa"/>
            <w:shd w:val="clear" w:color="auto" w:fill="auto"/>
            <w:noWrap/>
            <w:vAlign w:val="bottom"/>
            <w:hideMark/>
          </w:tcPr>
          <w:p w14:paraId="4E0D01AF"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68,58</w:t>
            </w:r>
          </w:p>
        </w:tc>
        <w:tc>
          <w:tcPr>
            <w:tcW w:w="1000" w:type="dxa"/>
            <w:shd w:val="clear" w:color="auto" w:fill="auto"/>
            <w:noWrap/>
            <w:vAlign w:val="bottom"/>
            <w:hideMark/>
          </w:tcPr>
          <w:p w14:paraId="640677FB"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66,99</w:t>
            </w:r>
          </w:p>
        </w:tc>
        <w:tc>
          <w:tcPr>
            <w:tcW w:w="1000" w:type="dxa"/>
            <w:tcBorders>
              <w:right w:val="single" w:sz="12" w:space="0" w:color="auto"/>
            </w:tcBorders>
            <w:shd w:val="clear" w:color="auto" w:fill="auto"/>
            <w:noWrap/>
            <w:vAlign w:val="bottom"/>
            <w:hideMark/>
          </w:tcPr>
          <w:p w14:paraId="6735B71E"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65,39</w:t>
            </w:r>
          </w:p>
        </w:tc>
      </w:tr>
      <w:tr w:rsidR="003E0F58" w:rsidRPr="007C705C" w14:paraId="5CDA1130" w14:textId="77777777" w:rsidTr="004D2249">
        <w:trPr>
          <w:gridAfter w:val="1"/>
          <w:wAfter w:w="16" w:type="dxa"/>
          <w:trHeight w:val="300"/>
        </w:trPr>
        <w:tc>
          <w:tcPr>
            <w:tcW w:w="1838" w:type="dxa"/>
            <w:vMerge/>
            <w:tcBorders>
              <w:left w:val="single" w:sz="12" w:space="0" w:color="auto"/>
              <w:right w:val="single" w:sz="12" w:space="0" w:color="auto"/>
            </w:tcBorders>
            <w:vAlign w:val="center"/>
            <w:hideMark/>
          </w:tcPr>
          <w:p w14:paraId="3E99E226" w14:textId="77777777" w:rsidR="003E0F58" w:rsidRPr="007C705C" w:rsidRDefault="003E0F58" w:rsidP="004D2249">
            <w:pPr>
              <w:jc w:val="left"/>
              <w:rPr>
                <w:rFonts w:cs="Times New Roman"/>
                <w:color w:val="000000"/>
                <w:sz w:val="22"/>
                <w:lang w:val="cs-CZ"/>
              </w:rPr>
            </w:pPr>
          </w:p>
        </w:tc>
        <w:tc>
          <w:tcPr>
            <w:tcW w:w="2020" w:type="dxa"/>
            <w:tcBorders>
              <w:left w:val="single" w:sz="12" w:space="0" w:color="auto"/>
              <w:right w:val="single" w:sz="12" w:space="0" w:color="auto"/>
            </w:tcBorders>
            <w:shd w:val="clear" w:color="auto" w:fill="auto"/>
            <w:noWrap/>
            <w:vAlign w:val="bottom"/>
            <w:hideMark/>
          </w:tcPr>
          <w:p w14:paraId="3085B382" w14:textId="77777777" w:rsidR="003E0F58" w:rsidRPr="007C705C" w:rsidRDefault="003E0F58" w:rsidP="004D2249">
            <w:pPr>
              <w:jc w:val="center"/>
              <w:rPr>
                <w:rFonts w:cs="Times New Roman"/>
                <w:color w:val="000000"/>
                <w:lang w:val="cs-CZ"/>
              </w:rPr>
            </w:pPr>
            <w:r w:rsidRPr="007C705C">
              <w:rPr>
                <w:rFonts w:cs="Times New Roman"/>
                <w:color w:val="000000"/>
                <w:lang w:val="cs-CZ"/>
              </w:rPr>
              <w:t>- zbytek ostatní kultury</w:t>
            </w:r>
          </w:p>
        </w:tc>
        <w:tc>
          <w:tcPr>
            <w:tcW w:w="864" w:type="dxa"/>
            <w:tcBorders>
              <w:left w:val="single" w:sz="12" w:space="0" w:color="auto"/>
            </w:tcBorders>
            <w:shd w:val="clear" w:color="auto" w:fill="auto"/>
            <w:noWrap/>
            <w:vAlign w:val="bottom"/>
            <w:hideMark/>
          </w:tcPr>
          <w:p w14:paraId="144444B1"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26,87</w:t>
            </w:r>
          </w:p>
        </w:tc>
        <w:tc>
          <w:tcPr>
            <w:tcW w:w="864" w:type="dxa"/>
            <w:shd w:val="clear" w:color="auto" w:fill="auto"/>
            <w:noWrap/>
            <w:vAlign w:val="bottom"/>
            <w:hideMark/>
          </w:tcPr>
          <w:p w14:paraId="1A0BF233"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26,87</w:t>
            </w:r>
          </w:p>
        </w:tc>
        <w:tc>
          <w:tcPr>
            <w:tcW w:w="864" w:type="dxa"/>
            <w:shd w:val="clear" w:color="auto" w:fill="auto"/>
            <w:noWrap/>
            <w:vAlign w:val="bottom"/>
            <w:hideMark/>
          </w:tcPr>
          <w:p w14:paraId="57575555"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26,87</w:t>
            </w:r>
          </w:p>
        </w:tc>
        <w:tc>
          <w:tcPr>
            <w:tcW w:w="864" w:type="dxa"/>
            <w:shd w:val="clear" w:color="auto" w:fill="auto"/>
            <w:noWrap/>
            <w:vAlign w:val="bottom"/>
            <w:hideMark/>
          </w:tcPr>
          <w:p w14:paraId="4C7190AB"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26,87</w:t>
            </w:r>
          </w:p>
        </w:tc>
        <w:tc>
          <w:tcPr>
            <w:tcW w:w="864" w:type="dxa"/>
            <w:shd w:val="clear" w:color="auto" w:fill="auto"/>
            <w:noWrap/>
            <w:vAlign w:val="bottom"/>
            <w:hideMark/>
          </w:tcPr>
          <w:p w14:paraId="3BC7D473"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26,87</w:t>
            </w:r>
          </w:p>
        </w:tc>
        <w:tc>
          <w:tcPr>
            <w:tcW w:w="864" w:type="dxa"/>
            <w:shd w:val="clear" w:color="auto" w:fill="auto"/>
            <w:noWrap/>
            <w:vAlign w:val="bottom"/>
            <w:hideMark/>
          </w:tcPr>
          <w:p w14:paraId="7C2E21EE"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26,87</w:t>
            </w:r>
          </w:p>
        </w:tc>
        <w:tc>
          <w:tcPr>
            <w:tcW w:w="1000" w:type="dxa"/>
            <w:shd w:val="clear" w:color="auto" w:fill="auto"/>
            <w:noWrap/>
            <w:vAlign w:val="bottom"/>
            <w:hideMark/>
          </w:tcPr>
          <w:p w14:paraId="10D8A5B8"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26,87</w:t>
            </w:r>
          </w:p>
        </w:tc>
        <w:tc>
          <w:tcPr>
            <w:tcW w:w="1000" w:type="dxa"/>
            <w:shd w:val="clear" w:color="auto" w:fill="auto"/>
            <w:noWrap/>
            <w:vAlign w:val="bottom"/>
            <w:hideMark/>
          </w:tcPr>
          <w:p w14:paraId="625A39DE"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26,87</w:t>
            </w:r>
          </w:p>
        </w:tc>
        <w:tc>
          <w:tcPr>
            <w:tcW w:w="1000" w:type="dxa"/>
            <w:shd w:val="clear" w:color="auto" w:fill="auto"/>
            <w:noWrap/>
            <w:vAlign w:val="bottom"/>
            <w:hideMark/>
          </w:tcPr>
          <w:p w14:paraId="3A6AD211"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26,87</w:t>
            </w:r>
          </w:p>
        </w:tc>
        <w:tc>
          <w:tcPr>
            <w:tcW w:w="1000" w:type="dxa"/>
            <w:shd w:val="clear" w:color="auto" w:fill="auto"/>
            <w:noWrap/>
            <w:vAlign w:val="bottom"/>
            <w:hideMark/>
          </w:tcPr>
          <w:p w14:paraId="2F09968A"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26,87</w:t>
            </w:r>
          </w:p>
        </w:tc>
        <w:tc>
          <w:tcPr>
            <w:tcW w:w="1000" w:type="dxa"/>
            <w:tcBorders>
              <w:right w:val="single" w:sz="12" w:space="0" w:color="auto"/>
            </w:tcBorders>
            <w:shd w:val="clear" w:color="auto" w:fill="auto"/>
            <w:noWrap/>
            <w:vAlign w:val="bottom"/>
            <w:hideMark/>
          </w:tcPr>
          <w:p w14:paraId="1DE10719"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26,87</w:t>
            </w:r>
          </w:p>
        </w:tc>
      </w:tr>
      <w:tr w:rsidR="003E0F58" w:rsidRPr="007C705C" w14:paraId="01F09482" w14:textId="77777777" w:rsidTr="004D2249">
        <w:trPr>
          <w:gridAfter w:val="1"/>
          <w:wAfter w:w="16" w:type="dxa"/>
          <w:trHeight w:val="300"/>
        </w:trPr>
        <w:tc>
          <w:tcPr>
            <w:tcW w:w="14042" w:type="dxa"/>
            <w:gridSpan w:val="13"/>
            <w:tcBorders>
              <w:top w:val="single" w:sz="12" w:space="0" w:color="auto"/>
              <w:left w:val="single" w:sz="12" w:space="0" w:color="auto"/>
              <w:right w:val="single" w:sz="12" w:space="0" w:color="auto"/>
            </w:tcBorders>
            <w:shd w:val="clear" w:color="auto" w:fill="auto"/>
            <w:vAlign w:val="bottom"/>
            <w:hideMark/>
          </w:tcPr>
          <w:p w14:paraId="34D246BD" w14:textId="77777777" w:rsidR="003E0F58" w:rsidRPr="007C705C" w:rsidRDefault="003E0F58" w:rsidP="004D2249">
            <w:pPr>
              <w:jc w:val="left"/>
              <w:rPr>
                <w:rFonts w:cs="Times New Roman"/>
                <w:lang w:val="cs-CZ"/>
              </w:rPr>
            </w:pPr>
            <w:r w:rsidRPr="007C705C">
              <w:rPr>
                <w:rFonts w:cs="Times New Roman"/>
                <w:b/>
                <w:bCs/>
                <w:i/>
                <w:iCs/>
                <w:color w:val="000000"/>
                <w:sz w:val="22"/>
                <w:lang w:val="cs-CZ"/>
              </w:rPr>
              <w:t>výnosy snížené o 20 %</w:t>
            </w:r>
          </w:p>
        </w:tc>
      </w:tr>
      <w:tr w:rsidR="003E0F58" w:rsidRPr="007C705C" w14:paraId="1FE56C54" w14:textId="77777777" w:rsidTr="004D2249">
        <w:trPr>
          <w:gridAfter w:val="1"/>
          <w:wAfter w:w="16" w:type="dxa"/>
          <w:trHeight w:val="1275"/>
        </w:trPr>
        <w:tc>
          <w:tcPr>
            <w:tcW w:w="1838" w:type="dxa"/>
            <w:vMerge w:val="restart"/>
            <w:tcBorders>
              <w:top w:val="single" w:sz="12" w:space="0" w:color="auto"/>
              <w:left w:val="single" w:sz="12" w:space="0" w:color="auto"/>
              <w:right w:val="single" w:sz="12" w:space="0" w:color="auto"/>
            </w:tcBorders>
            <w:shd w:val="clear" w:color="auto" w:fill="auto"/>
            <w:vAlign w:val="center"/>
            <w:hideMark/>
          </w:tcPr>
          <w:p w14:paraId="057DFC86" w14:textId="77777777" w:rsidR="003E0F58" w:rsidRPr="007C705C" w:rsidRDefault="003E0F58" w:rsidP="004D2249">
            <w:pPr>
              <w:jc w:val="center"/>
              <w:rPr>
                <w:rFonts w:cs="Times New Roman"/>
                <w:color w:val="000000"/>
                <w:sz w:val="22"/>
                <w:lang w:val="cs-CZ"/>
              </w:rPr>
            </w:pPr>
            <w:r w:rsidRPr="007C705C">
              <w:rPr>
                <w:rFonts w:cs="Times New Roman"/>
                <w:color w:val="000000"/>
                <w:sz w:val="22"/>
                <w:lang w:val="cs-CZ"/>
              </w:rPr>
              <w:t>Aktuální současná úroveň potravinového zabezpečení</w:t>
            </w:r>
          </w:p>
        </w:tc>
        <w:tc>
          <w:tcPr>
            <w:tcW w:w="2020" w:type="dxa"/>
            <w:tcBorders>
              <w:top w:val="single" w:sz="12" w:space="0" w:color="auto"/>
              <w:left w:val="single" w:sz="12" w:space="0" w:color="auto"/>
              <w:right w:val="single" w:sz="12" w:space="0" w:color="auto"/>
            </w:tcBorders>
            <w:shd w:val="clear" w:color="auto" w:fill="auto"/>
            <w:vAlign w:val="center"/>
            <w:hideMark/>
          </w:tcPr>
          <w:p w14:paraId="4D4D441F" w14:textId="77777777" w:rsidR="003E0F58" w:rsidRPr="007C705C" w:rsidRDefault="003E0F58" w:rsidP="004D2249">
            <w:pPr>
              <w:jc w:val="center"/>
              <w:rPr>
                <w:rFonts w:cs="Times New Roman"/>
                <w:color w:val="000000"/>
                <w:lang w:val="cs-CZ"/>
              </w:rPr>
            </w:pPr>
            <w:r w:rsidRPr="007C705C">
              <w:rPr>
                <w:rFonts w:cs="Times New Roman"/>
                <w:color w:val="000000"/>
                <w:lang w:val="cs-CZ"/>
              </w:rPr>
              <w:t>zbývající volná plocha z.p. ( po využití na bioenergetiku či jiné techické účely)</w:t>
            </w:r>
          </w:p>
        </w:tc>
        <w:tc>
          <w:tcPr>
            <w:tcW w:w="864" w:type="dxa"/>
            <w:tcBorders>
              <w:top w:val="single" w:sz="12" w:space="0" w:color="auto"/>
              <w:left w:val="single" w:sz="12" w:space="0" w:color="auto"/>
            </w:tcBorders>
            <w:shd w:val="clear" w:color="auto" w:fill="auto"/>
            <w:noWrap/>
            <w:vAlign w:val="bottom"/>
            <w:hideMark/>
          </w:tcPr>
          <w:p w14:paraId="283B46E0"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894,78</w:t>
            </w:r>
          </w:p>
        </w:tc>
        <w:tc>
          <w:tcPr>
            <w:tcW w:w="864" w:type="dxa"/>
            <w:tcBorders>
              <w:top w:val="single" w:sz="12" w:space="0" w:color="auto"/>
            </w:tcBorders>
            <w:shd w:val="clear" w:color="auto" w:fill="auto"/>
            <w:noWrap/>
            <w:vAlign w:val="bottom"/>
            <w:hideMark/>
          </w:tcPr>
          <w:p w14:paraId="051ABFF8"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885,29</w:t>
            </w:r>
          </w:p>
        </w:tc>
        <w:tc>
          <w:tcPr>
            <w:tcW w:w="864" w:type="dxa"/>
            <w:tcBorders>
              <w:top w:val="single" w:sz="12" w:space="0" w:color="auto"/>
            </w:tcBorders>
            <w:shd w:val="clear" w:color="auto" w:fill="auto"/>
            <w:noWrap/>
            <w:vAlign w:val="bottom"/>
            <w:hideMark/>
          </w:tcPr>
          <w:p w14:paraId="6E43303C"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879,76</w:t>
            </w:r>
          </w:p>
        </w:tc>
        <w:tc>
          <w:tcPr>
            <w:tcW w:w="864" w:type="dxa"/>
            <w:tcBorders>
              <w:top w:val="single" w:sz="12" w:space="0" w:color="auto"/>
            </w:tcBorders>
            <w:shd w:val="clear" w:color="auto" w:fill="auto"/>
            <w:noWrap/>
            <w:vAlign w:val="bottom"/>
            <w:hideMark/>
          </w:tcPr>
          <w:p w14:paraId="229E4EE8"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875,55</w:t>
            </w:r>
          </w:p>
        </w:tc>
        <w:tc>
          <w:tcPr>
            <w:tcW w:w="864" w:type="dxa"/>
            <w:tcBorders>
              <w:top w:val="single" w:sz="12" w:space="0" w:color="auto"/>
            </w:tcBorders>
            <w:shd w:val="clear" w:color="auto" w:fill="auto"/>
            <w:noWrap/>
            <w:vAlign w:val="bottom"/>
            <w:hideMark/>
          </w:tcPr>
          <w:p w14:paraId="2E45DD58"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870,61</w:t>
            </w:r>
          </w:p>
        </w:tc>
        <w:tc>
          <w:tcPr>
            <w:tcW w:w="864" w:type="dxa"/>
            <w:tcBorders>
              <w:top w:val="single" w:sz="12" w:space="0" w:color="auto"/>
            </w:tcBorders>
            <w:shd w:val="clear" w:color="auto" w:fill="auto"/>
            <w:noWrap/>
            <w:vAlign w:val="bottom"/>
            <w:hideMark/>
          </w:tcPr>
          <w:p w14:paraId="49494240"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859,48</w:t>
            </w:r>
          </w:p>
        </w:tc>
        <w:tc>
          <w:tcPr>
            <w:tcW w:w="1000" w:type="dxa"/>
            <w:tcBorders>
              <w:top w:val="single" w:sz="12" w:space="0" w:color="auto"/>
            </w:tcBorders>
            <w:shd w:val="clear" w:color="auto" w:fill="auto"/>
            <w:noWrap/>
            <w:vAlign w:val="bottom"/>
            <w:hideMark/>
          </w:tcPr>
          <w:p w14:paraId="1A7F5D74"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853,16</w:t>
            </w:r>
          </w:p>
        </w:tc>
        <w:tc>
          <w:tcPr>
            <w:tcW w:w="1000" w:type="dxa"/>
            <w:tcBorders>
              <w:top w:val="single" w:sz="12" w:space="0" w:color="auto"/>
            </w:tcBorders>
            <w:shd w:val="clear" w:color="auto" w:fill="auto"/>
            <w:noWrap/>
            <w:vAlign w:val="bottom"/>
            <w:hideMark/>
          </w:tcPr>
          <w:p w14:paraId="2330FA91"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843,95</w:t>
            </w:r>
          </w:p>
        </w:tc>
        <w:tc>
          <w:tcPr>
            <w:tcW w:w="1000" w:type="dxa"/>
            <w:tcBorders>
              <w:top w:val="single" w:sz="12" w:space="0" w:color="auto"/>
            </w:tcBorders>
            <w:shd w:val="clear" w:color="auto" w:fill="auto"/>
            <w:noWrap/>
            <w:vAlign w:val="bottom"/>
            <w:hideMark/>
          </w:tcPr>
          <w:p w14:paraId="290954D5"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836,99</w:t>
            </w:r>
          </w:p>
        </w:tc>
        <w:tc>
          <w:tcPr>
            <w:tcW w:w="1000" w:type="dxa"/>
            <w:tcBorders>
              <w:top w:val="single" w:sz="12" w:space="0" w:color="auto"/>
            </w:tcBorders>
            <w:shd w:val="clear" w:color="auto" w:fill="auto"/>
            <w:noWrap/>
            <w:vAlign w:val="bottom"/>
            <w:hideMark/>
          </w:tcPr>
          <w:p w14:paraId="66084625"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830,62</w:t>
            </w:r>
          </w:p>
        </w:tc>
        <w:tc>
          <w:tcPr>
            <w:tcW w:w="1000" w:type="dxa"/>
            <w:tcBorders>
              <w:top w:val="single" w:sz="12" w:space="0" w:color="auto"/>
              <w:right w:val="single" w:sz="12" w:space="0" w:color="auto"/>
            </w:tcBorders>
            <w:shd w:val="clear" w:color="auto" w:fill="auto"/>
            <w:noWrap/>
            <w:vAlign w:val="bottom"/>
            <w:hideMark/>
          </w:tcPr>
          <w:p w14:paraId="6677E051"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824,72</w:t>
            </w:r>
          </w:p>
        </w:tc>
      </w:tr>
      <w:tr w:rsidR="003E0F58" w:rsidRPr="007C705C" w14:paraId="0B27730B" w14:textId="77777777" w:rsidTr="004D2249">
        <w:trPr>
          <w:gridAfter w:val="1"/>
          <w:wAfter w:w="16" w:type="dxa"/>
          <w:trHeight w:val="300"/>
        </w:trPr>
        <w:tc>
          <w:tcPr>
            <w:tcW w:w="1838" w:type="dxa"/>
            <w:vMerge/>
            <w:tcBorders>
              <w:left w:val="single" w:sz="12" w:space="0" w:color="auto"/>
              <w:right w:val="single" w:sz="12" w:space="0" w:color="auto"/>
            </w:tcBorders>
            <w:vAlign w:val="center"/>
            <w:hideMark/>
          </w:tcPr>
          <w:p w14:paraId="3F799161" w14:textId="77777777" w:rsidR="003E0F58" w:rsidRPr="007C705C" w:rsidRDefault="003E0F58" w:rsidP="004D2249">
            <w:pPr>
              <w:jc w:val="left"/>
              <w:rPr>
                <w:rFonts w:cs="Times New Roman"/>
                <w:color w:val="000000"/>
                <w:sz w:val="22"/>
                <w:lang w:val="cs-CZ"/>
              </w:rPr>
            </w:pPr>
          </w:p>
        </w:tc>
        <w:tc>
          <w:tcPr>
            <w:tcW w:w="2020" w:type="dxa"/>
            <w:tcBorders>
              <w:left w:val="single" w:sz="12" w:space="0" w:color="auto"/>
              <w:right w:val="single" w:sz="12" w:space="0" w:color="auto"/>
            </w:tcBorders>
            <w:shd w:val="clear" w:color="auto" w:fill="auto"/>
            <w:vAlign w:val="center"/>
            <w:hideMark/>
          </w:tcPr>
          <w:p w14:paraId="35CB1F4A" w14:textId="77777777" w:rsidR="003E0F58" w:rsidRPr="007C705C" w:rsidRDefault="003E0F58" w:rsidP="004D2249">
            <w:pPr>
              <w:jc w:val="center"/>
              <w:rPr>
                <w:rFonts w:cs="Times New Roman"/>
                <w:color w:val="000000"/>
                <w:lang w:val="cs-CZ"/>
              </w:rPr>
            </w:pPr>
            <w:r w:rsidRPr="007C705C">
              <w:rPr>
                <w:rFonts w:cs="Times New Roman"/>
                <w:color w:val="000000"/>
                <w:lang w:val="cs-CZ"/>
              </w:rPr>
              <w:t xml:space="preserve"> - z toho orná půda</w:t>
            </w:r>
          </w:p>
        </w:tc>
        <w:tc>
          <w:tcPr>
            <w:tcW w:w="864" w:type="dxa"/>
            <w:tcBorders>
              <w:left w:val="single" w:sz="12" w:space="0" w:color="auto"/>
            </w:tcBorders>
            <w:shd w:val="clear" w:color="auto" w:fill="auto"/>
            <w:noWrap/>
            <w:vAlign w:val="bottom"/>
            <w:hideMark/>
          </w:tcPr>
          <w:p w14:paraId="4C7C26AF"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780,25</w:t>
            </w:r>
          </w:p>
        </w:tc>
        <w:tc>
          <w:tcPr>
            <w:tcW w:w="864" w:type="dxa"/>
            <w:shd w:val="clear" w:color="auto" w:fill="auto"/>
            <w:noWrap/>
            <w:vAlign w:val="bottom"/>
            <w:hideMark/>
          </w:tcPr>
          <w:p w14:paraId="51E4E861"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769,46</w:t>
            </w:r>
          </w:p>
        </w:tc>
        <w:tc>
          <w:tcPr>
            <w:tcW w:w="864" w:type="dxa"/>
            <w:shd w:val="clear" w:color="auto" w:fill="auto"/>
            <w:noWrap/>
            <w:vAlign w:val="bottom"/>
            <w:hideMark/>
          </w:tcPr>
          <w:p w14:paraId="55B3C527"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765,82</w:t>
            </w:r>
          </w:p>
        </w:tc>
        <w:tc>
          <w:tcPr>
            <w:tcW w:w="864" w:type="dxa"/>
            <w:shd w:val="clear" w:color="auto" w:fill="auto"/>
            <w:noWrap/>
            <w:vAlign w:val="bottom"/>
            <w:hideMark/>
          </w:tcPr>
          <w:p w14:paraId="6C9F42EE"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762,76</w:t>
            </w:r>
          </w:p>
        </w:tc>
        <w:tc>
          <w:tcPr>
            <w:tcW w:w="864" w:type="dxa"/>
            <w:shd w:val="clear" w:color="auto" w:fill="auto"/>
            <w:noWrap/>
            <w:vAlign w:val="bottom"/>
            <w:hideMark/>
          </w:tcPr>
          <w:p w14:paraId="34D79587"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759,19</w:t>
            </w:r>
          </w:p>
        </w:tc>
        <w:tc>
          <w:tcPr>
            <w:tcW w:w="864" w:type="dxa"/>
            <w:shd w:val="clear" w:color="auto" w:fill="auto"/>
            <w:noWrap/>
            <w:vAlign w:val="bottom"/>
            <w:hideMark/>
          </w:tcPr>
          <w:p w14:paraId="4D9039A1"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752,50</w:t>
            </w:r>
          </w:p>
        </w:tc>
        <w:tc>
          <w:tcPr>
            <w:tcW w:w="1000" w:type="dxa"/>
            <w:shd w:val="clear" w:color="auto" w:fill="auto"/>
            <w:noWrap/>
            <w:vAlign w:val="bottom"/>
            <w:hideMark/>
          </w:tcPr>
          <w:p w14:paraId="30FFAA4F"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748,62</w:t>
            </w:r>
          </w:p>
        </w:tc>
        <w:tc>
          <w:tcPr>
            <w:tcW w:w="1000" w:type="dxa"/>
            <w:shd w:val="clear" w:color="auto" w:fill="auto"/>
            <w:noWrap/>
            <w:vAlign w:val="bottom"/>
            <w:hideMark/>
          </w:tcPr>
          <w:p w14:paraId="5B3563DA"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743,00</w:t>
            </w:r>
          </w:p>
        </w:tc>
        <w:tc>
          <w:tcPr>
            <w:tcW w:w="1000" w:type="dxa"/>
            <w:shd w:val="clear" w:color="auto" w:fill="auto"/>
            <w:noWrap/>
            <w:vAlign w:val="bottom"/>
            <w:hideMark/>
          </w:tcPr>
          <w:p w14:paraId="2A448327"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738,43</w:t>
            </w:r>
          </w:p>
        </w:tc>
        <w:tc>
          <w:tcPr>
            <w:tcW w:w="1000" w:type="dxa"/>
            <w:shd w:val="clear" w:color="auto" w:fill="auto"/>
            <w:noWrap/>
            <w:vAlign w:val="bottom"/>
            <w:hideMark/>
          </w:tcPr>
          <w:p w14:paraId="21684AA8"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734,05</w:t>
            </w:r>
          </w:p>
        </w:tc>
        <w:tc>
          <w:tcPr>
            <w:tcW w:w="1000" w:type="dxa"/>
            <w:tcBorders>
              <w:right w:val="single" w:sz="12" w:space="0" w:color="auto"/>
            </w:tcBorders>
            <w:shd w:val="clear" w:color="auto" w:fill="auto"/>
            <w:noWrap/>
            <w:vAlign w:val="bottom"/>
            <w:hideMark/>
          </w:tcPr>
          <w:p w14:paraId="3904E08E"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730,15</w:t>
            </w:r>
          </w:p>
        </w:tc>
      </w:tr>
      <w:tr w:rsidR="003E0F58" w:rsidRPr="007C705C" w14:paraId="4DA34E51" w14:textId="77777777" w:rsidTr="004D2249">
        <w:trPr>
          <w:gridAfter w:val="1"/>
          <w:wAfter w:w="16" w:type="dxa"/>
          <w:trHeight w:val="300"/>
        </w:trPr>
        <w:tc>
          <w:tcPr>
            <w:tcW w:w="1838" w:type="dxa"/>
            <w:vMerge/>
            <w:tcBorders>
              <w:left w:val="single" w:sz="12" w:space="0" w:color="auto"/>
              <w:right w:val="single" w:sz="12" w:space="0" w:color="auto"/>
            </w:tcBorders>
            <w:vAlign w:val="center"/>
            <w:hideMark/>
          </w:tcPr>
          <w:p w14:paraId="03751D1B" w14:textId="77777777" w:rsidR="003E0F58" w:rsidRPr="007C705C" w:rsidRDefault="003E0F58" w:rsidP="004D2249">
            <w:pPr>
              <w:jc w:val="left"/>
              <w:rPr>
                <w:rFonts w:cs="Times New Roman"/>
                <w:color w:val="000000"/>
                <w:sz w:val="22"/>
                <w:lang w:val="cs-CZ"/>
              </w:rPr>
            </w:pPr>
          </w:p>
        </w:tc>
        <w:tc>
          <w:tcPr>
            <w:tcW w:w="2020" w:type="dxa"/>
            <w:tcBorders>
              <w:left w:val="single" w:sz="12" w:space="0" w:color="auto"/>
              <w:right w:val="single" w:sz="12" w:space="0" w:color="auto"/>
            </w:tcBorders>
            <w:shd w:val="clear" w:color="auto" w:fill="auto"/>
            <w:vAlign w:val="center"/>
            <w:hideMark/>
          </w:tcPr>
          <w:p w14:paraId="3EEA3973" w14:textId="77777777" w:rsidR="003E0F58" w:rsidRPr="007C705C" w:rsidRDefault="003E0F58" w:rsidP="004D2249">
            <w:pPr>
              <w:jc w:val="center"/>
              <w:rPr>
                <w:rFonts w:cs="Times New Roman"/>
                <w:color w:val="000000"/>
                <w:lang w:val="cs-CZ"/>
              </w:rPr>
            </w:pPr>
            <w:r w:rsidRPr="007C705C">
              <w:rPr>
                <w:rFonts w:cs="Times New Roman"/>
                <w:color w:val="000000"/>
                <w:lang w:val="cs-CZ"/>
              </w:rPr>
              <w:t xml:space="preserve"> - z toho TTP</w:t>
            </w:r>
          </w:p>
        </w:tc>
        <w:tc>
          <w:tcPr>
            <w:tcW w:w="864" w:type="dxa"/>
            <w:tcBorders>
              <w:left w:val="single" w:sz="12" w:space="0" w:color="auto"/>
            </w:tcBorders>
            <w:shd w:val="clear" w:color="auto" w:fill="auto"/>
            <w:noWrap/>
            <w:vAlign w:val="bottom"/>
            <w:hideMark/>
          </w:tcPr>
          <w:p w14:paraId="3AAAC3CC"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87,21</w:t>
            </w:r>
          </w:p>
        </w:tc>
        <w:tc>
          <w:tcPr>
            <w:tcW w:w="864" w:type="dxa"/>
            <w:shd w:val="clear" w:color="auto" w:fill="auto"/>
            <w:noWrap/>
            <w:vAlign w:val="bottom"/>
            <w:hideMark/>
          </w:tcPr>
          <w:p w14:paraId="44264CD7"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88,51</w:t>
            </w:r>
          </w:p>
        </w:tc>
        <w:tc>
          <w:tcPr>
            <w:tcW w:w="864" w:type="dxa"/>
            <w:shd w:val="clear" w:color="auto" w:fill="auto"/>
            <w:noWrap/>
            <w:vAlign w:val="bottom"/>
            <w:hideMark/>
          </w:tcPr>
          <w:p w14:paraId="0C5EA4E2"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86,62</w:t>
            </w:r>
          </w:p>
        </w:tc>
        <w:tc>
          <w:tcPr>
            <w:tcW w:w="864" w:type="dxa"/>
            <w:shd w:val="clear" w:color="auto" w:fill="auto"/>
            <w:noWrap/>
            <w:vAlign w:val="bottom"/>
            <w:hideMark/>
          </w:tcPr>
          <w:p w14:paraId="25E81E3C"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85,47</w:t>
            </w:r>
          </w:p>
        </w:tc>
        <w:tc>
          <w:tcPr>
            <w:tcW w:w="864" w:type="dxa"/>
            <w:shd w:val="clear" w:color="auto" w:fill="auto"/>
            <w:noWrap/>
            <w:vAlign w:val="bottom"/>
            <w:hideMark/>
          </w:tcPr>
          <w:p w14:paraId="54DCBD1C"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84,10</w:t>
            </w:r>
          </w:p>
        </w:tc>
        <w:tc>
          <w:tcPr>
            <w:tcW w:w="864" w:type="dxa"/>
            <w:shd w:val="clear" w:color="auto" w:fill="auto"/>
            <w:noWrap/>
            <w:vAlign w:val="bottom"/>
            <w:hideMark/>
          </w:tcPr>
          <w:p w14:paraId="334FC8CB"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79,67</w:t>
            </w:r>
          </w:p>
        </w:tc>
        <w:tc>
          <w:tcPr>
            <w:tcW w:w="1000" w:type="dxa"/>
            <w:shd w:val="clear" w:color="auto" w:fill="auto"/>
            <w:noWrap/>
            <w:vAlign w:val="bottom"/>
            <w:hideMark/>
          </w:tcPr>
          <w:p w14:paraId="16D6E39F"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77,22</w:t>
            </w:r>
          </w:p>
        </w:tc>
        <w:tc>
          <w:tcPr>
            <w:tcW w:w="1000" w:type="dxa"/>
            <w:shd w:val="clear" w:color="auto" w:fill="auto"/>
            <w:noWrap/>
            <w:vAlign w:val="bottom"/>
            <w:hideMark/>
          </w:tcPr>
          <w:p w14:paraId="4CE7165D"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73,63</w:t>
            </w:r>
          </w:p>
        </w:tc>
        <w:tc>
          <w:tcPr>
            <w:tcW w:w="1000" w:type="dxa"/>
            <w:shd w:val="clear" w:color="auto" w:fill="auto"/>
            <w:noWrap/>
            <w:vAlign w:val="bottom"/>
            <w:hideMark/>
          </w:tcPr>
          <w:p w14:paraId="5851D230"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71,24</w:t>
            </w:r>
          </w:p>
        </w:tc>
        <w:tc>
          <w:tcPr>
            <w:tcW w:w="1000" w:type="dxa"/>
            <w:shd w:val="clear" w:color="auto" w:fill="auto"/>
            <w:noWrap/>
            <w:vAlign w:val="bottom"/>
            <w:hideMark/>
          </w:tcPr>
          <w:p w14:paraId="55F96490"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69,25</w:t>
            </w:r>
          </w:p>
        </w:tc>
        <w:tc>
          <w:tcPr>
            <w:tcW w:w="1000" w:type="dxa"/>
            <w:tcBorders>
              <w:right w:val="single" w:sz="12" w:space="0" w:color="auto"/>
            </w:tcBorders>
            <w:shd w:val="clear" w:color="auto" w:fill="auto"/>
            <w:noWrap/>
            <w:vAlign w:val="bottom"/>
            <w:hideMark/>
          </w:tcPr>
          <w:p w14:paraId="5B93BC15"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67,25</w:t>
            </w:r>
          </w:p>
        </w:tc>
      </w:tr>
      <w:tr w:rsidR="003E0F58" w:rsidRPr="007C705C" w14:paraId="50B619AB" w14:textId="77777777" w:rsidTr="004D2249">
        <w:trPr>
          <w:gridAfter w:val="1"/>
          <w:wAfter w:w="16" w:type="dxa"/>
          <w:trHeight w:val="300"/>
        </w:trPr>
        <w:tc>
          <w:tcPr>
            <w:tcW w:w="1838" w:type="dxa"/>
            <w:vMerge/>
            <w:tcBorders>
              <w:left w:val="single" w:sz="12" w:space="0" w:color="auto"/>
              <w:right w:val="single" w:sz="12" w:space="0" w:color="auto"/>
            </w:tcBorders>
            <w:vAlign w:val="center"/>
            <w:hideMark/>
          </w:tcPr>
          <w:p w14:paraId="0D00475B" w14:textId="77777777" w:rsidR="003E0F58" w:rsidRPr="007C705C" w:rsidRDefault="003E0F58" w:rsidP="004D2249">
            <w:pPr>
              <w:jc w:val="left"/>
              <w:rPr>
                <w:rFonts w:cs="Times New Roman"/>
                <w:color w:val="000000"/>
                <w:sz w:val="22"/>
                <w:lang w:val="cs-CZ"/>
              </w:rPr>
            </w:pPr>
          </w:p>
        </w:tc>
        <w:tc>
          <w:tcPr>
            <w:tcW w:w="2020" w:type="dxa"/>
            <w:tcBorders>
              <w:left w:val="single" w:sz="12" w:space="0" w:color="auto"/>
              <w:right w:val="single" w:sz="12" w:space="0" w:color="auto"/>
            </w:tcBorders>
            <w:shd w:val="clear" w:color="auto" w:fill="auto"/>
            <w:noWrap/>
            <w:vAlign w:val="bottom"/>
            <w:hideMark/>
          </w:tcPr>
          <w:p w14:paraId="5EBE1DF0" w14:textId="77777777" w:rsidR="003E0F58" w:rsidRPr="007C705C" w:rsidRDefault="003E0F58" w:rsidP="004D2249">
            <w:pPr>
              <w:jc w:val="center"/>
              <w:rPr>
                <w:rFonts w:cs="Times New Roman"/>
                <w:color w:val="000000"/>
                <w:lang w:val="cs-CZ"/>
              </w:rPr>
            </w:pPr>
            <w:r w:rsidRPr="007C705C">
              <w:rPr>
                <w:rFonts w:cs="Times New Roman"/>
                <w:color w:val="000000"/>
                <w:lang w:val="cs-CZ"/>
              </w:rPr>
              <w:t>- zbytek ostatní kultury</w:t>
            </w:r>
          </w:p>
        </w:tc>
        <w:tc>
          <w:tcPr>
            <w:tcW w:w="864" w:type="dxa"/>
            <w:tcBorders>
              <w:left w:val="single" w:sz="12" w:space="0" w:color="auto"/>
            </w:tcBorders>
            <w:shd w:val="clear" w:color="auto" w:fill="auto"/>
            <w:noWrap/>
            <w:vAlign w:val="bottom"/>
            <w:hideMark/>
          </w:tcPr>
          <w:p w14:paraId="3E8F5CA6"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27,32</w:t>
            </w:r>
          </w:p>
        </w:tc>
        <w:tc>
          <w:tcPr>
            <w:tcW w:w="864" w:type="dxa"/>
            <w:shd w:val="clear" w:color="auto" w:fill="auto"/>
            <w:noWrap/>
            <w:vAlign w:val="bottom"/>
            <w:hideMark/>
          </w:tcPr>
          <w:p w14:paraId="1CE22BB1"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27,32</w:t>
            </w:r>
          </w:p>
        </w:tc>
        <w:tc>
          <w:tcPr>
            <w:tcW w:w="864" w:type="dxa"/>
            <w:shd w:val="clear" w:color="auto" w:fill="auto"/>
            <w:noWrap/>
            <w:vAlign w:val="bottom"/>
            <w:hideMark/>
          </w:tcPr>
          <w:p w14:paraId="2BB2E18B"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27,32</w:t>
            </w:r>
          </w:p>
        </w:tc>
        <w:tc>
          <w:tcPr>
            <w:tcW w:w="864" w:type="dxa"/>
            <w:shd w:val="clear" w:color="auto" w:fill="auto"/>
            <w:noWrap/>
            <w:vAlign w:val="bottom"/>
            <w:hideMark/>
          </w:tcPr>
          <w:p w14:paraId="08836CD6"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27,32</w:t>
            </w:r>
          </w:p>
        </w:tc>
        <w:tc>
          <w:tcPr>
            <w:tcW w:w="864" w:type="dxa"/>
            <w:shd w:val="clear" w:color="auto" w:fill="auto"/>
            <w:noWrap/>
            <w:vAlign w:val="bottom"/>
            <w:hideMark/>
          </w:tcPr>
          <w:p w14:paraId="34F31154"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27,32</w:t>
            </w:r>
          </w:p>
        </w:tc>
        <w:tc>
          <w:tcPr>
            <w:tcW w:w="864" w:type="dxa"/>
            <w:shd w:val="clear" w:color="auto" w:fill="auto"/>
            <w:noWrap/>
            <w:vAlign w:val="bottom"/>
            <w:hideMark/>
          </w:tcPr>
          <w:p w14:paraId="6BEC9735"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27,32</w:t>
            </w:r>
          </w:p>
        </w:tc>
        <w:tc>
          <w:tcPr>
            <w:tcW w:w="1000" w:type="dxa"/>
            <w:shd w:val="clear" w:color="auto" w:fill="auto"/>
            <w:noWrap/>
            <w:vAlign w:val="bottom"/>
            <w:hideMark/>
          </w:tcPr>
          <w:p w14:paraId="6E71C855"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27,32</w:t>
            </w:r>
          </w:p>
        </w:tc>
        <w:tc>
          <w:tcPr>
            <w:tcW w:w="1000" w:type="dxa"/>
            <w:shd w:val="clear" w:color="auto" w:fill="auto"/>
            <w:noWrap/>
            <w:vAlign w:val="bottom"/>
            <w:hideMark/>
          </w:tcPr>
          <w:p w14:paraId="1E1F5D4B"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27,32</w:t>
            </w:r>
          </w:p>
        </w:tc>
        <w:tc>
          <w:tcPr>
            <w:tcW w:w="1000" w:type="dxa"/>
            <w:shd w:val="clear" w:color="auto" w:fill="auto"/>
            <w:noWrap/>
            <w:vAlign w:val="bottom"/>
            <w:hideMark/>
          </w:tcPr>
          <w:p w14:paraId="344AB5D4"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27,32</w:t>
            </w:r>
          </w:p>
        </w:tc>
        <w:tc>
          <w:tcPr>
            <w:tcW w:w="1000" w:type="dxa"/>
            <w:shd w:val="clear" w:color="auto" w:fill="auto"/>
            <w:noWrap/>
            <w:vAlign w:val="bottom"/>
            <w:hideMark/>
          </w:tcPr>
          <w:p w14:paraId="312E469B"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27,32</w:t>
            </w:r>
          </w:p>
        </w:tc>
        <w:tc>
          <w:tcPr>
            <w:tcW w:w="1000" w:type="dxa"/>
            <w:tcBorders>
              <w:right w:val="single" w:sz="12" w:space="0" w:color="auto"/>
            </w:tcBorders>
            <w:shd w:val="clear" w:color="auto" w:fill="auto"/>
            <w:noWrap/>
            <w:vAlign w:val="bottom"/>
            <w:hideMark/>
          </w:tcPr>
          <w:p w14:paraId="575771D0"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27,32</w:t>
            </w:r>
          </w:p>
        </w:tc>
      </w:tr>
      <w:tr w:rsidR="003E0F58" w:rsidRPr="007C705C" w14:paraId="33FFEF02" w14:textId="77777777" w:rsidTr="004D2249">
        <w:trPr>
          <w:gridAfter w:val="1"/>
          <w:wAfter w:w="16" w:type="dxa"/>
          <w:trHeight w:val="1275"/>
        </w:trPr>
        <w:tc>
          <w:tcPr>
            <w:tcW w:w="1838" w:type="dxa"/>
            <w:vMerge w:val="restart"/>
            <w:tcBorders>
              <w:top w:val="single" w:sz="12" w:space="0" w:color="auto"/>
              <w:left w:val="single" w:sz="12" w:space="0" w:color="auto"/>
              <w:right w:val="single" w:sz="12" w:space="0" w:color="auto"/>
            </w:tcBorders>
            <w:shd w:val="clear" w:color="auto" w:fill="auto"/>
            <w:vAlign w:val="center"/>
            <w:hideMark/>
          </w:tcPr>
          <w:p w14:paraId="75039E8B" w14:textId="77777777" w:rsidR="003E0F58" w:rsidRPr="007C705C" w:rsidRDefault="003E0F58" w:rsidP="004D2249">
            <w:pPr>
              <w:jc w:val="center"/>
              <w:rPr>
                <w:rFonts w:cs="Times New Roman"/>
                <w:color w:val="000000"/>
                <w:sz w:val="22"/>
                <w:lang w:val="cs-CZ"/>
              </w:rPr>
            </w:pPr>
            <w:r w:rsidRPr="007C705C">
              <w:rPr>
                <w:rFonts w:cs="Times New Roman"/>
                <w:color w:val="000000"/>
                <w:sz w:val="22"/>
                <w:lang w:val="cs-CZ"/>
              </w:rPr>
              <w:t>100% úroveň potravinového zabezpečení</w:t>
            </w:r>
          </w:p>
        </w:tc>
        <w:tc>
          <w:tcPr>
            <w:tcW w:w="2020" w:type="dxa"/>
            <w:tcBorders>
              <w:top w:val="single" w:sz="12" w:space="0" w:color="auto"/>
              <w:left w:val="single" w:sz="12" w:space="0" w:color="auto"/>
              <w:right w:val="single" w:sz="12" w:space="0" w:color="auto"/>
            </w:tcBorders>
            <w:shd w:val="clear" w:color="auto" w:fill="auto"/>
            <w:vAlign w:val="center"/>
            <w:hideMark/>
          </w:tcPr>
          <w:p w14:paraId="26E62A24" w14:textId="77777777" w:rsidR="003E0F58" w:rsidRPr="007C705C" w:rsidRDefault="003E0F58" w:rsidP="004D2249">
            <w:pPr>
              <w:jc w:val="center"/>
              <w:rPr>
                <w:rFonts w:cs="Times New Roman"/>
                <w:color w:val="000000"/>
                <w:lang w:val="cs-CZ"/>
              </w:rPr>
            </w:pPr>
            <w:r w:rsidRPr="007C705C">
              <w:rPr>
                <w:rFonts w:cs="Times New Roman"/>
                <w:color w:val="000000"/>
                <w:lang w:val="cs-CZ"/>
              </w:rPr>
              <w:t>zbývající volná plocha z.p. ( po využití na bioenergetiku či jiné techické účely)</w:t>
            </w:r>
          </w:p>
        </w:tc>
        <w:tc>
          <w:tcPr>
            <w:tcW w:w="864" w:type="dxa"/>
            <w:tcBorders>
              <w:top w:val="single" w:sz="12" w:space="0" w:color="auto"/>
              <w:left w:val="single" w:sz="12" w:space="0" w:color="auto"/>
            </w:tcBorders>
            <w:shd w:val="clear" w:color="auto" w:fill="auto"/>
            <w:noWrap/>
            <w:vAlign w:val="bottom"/>
            <w:hideMark/>
          </w:tcPr>
          <w:p w14:paraId="66EB736E"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18,56</w:t>
            </w:r>
          </w:p>
        </w:tc>
        <w:tc>
          <w:tcPr>
            <w:tcW w:w="864" w:type="dxa"/>
            <w:tcBorders>
              <w:top w:val="single" w:sz="12" w:space="0" w:color="auto"/>
            </w:tcBorders>
            <w:shd w:val="clear" w:color="auto" w:fill="auto"/>
            <w:noWrap/>
            <w:vAlign w:val="bottom"/>
            <w:hideMark/>
          </w:tcPr>
          <w:p w14:paraId="71B82052"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9,07</w:t>
            </w:r>
          </w:p>
        </w:tc>
        <w:tc>
          <w:tcPr>
            <w:tcW w:w="864" w:type="dxa"/>
            <w:tcBorders>
              <w:top w:val="single" w:sz="12" w:space="0" w:color="auto"/>
            </w:tcBorders>
            <w:shd w:val="clear" w:color="auto" w:fill="auto"/>
            <w:noWrap/>
            <w:vAlign w:val="bottom"/>
            <w:hideMark/>
          </w:tcPr>
          <w:p w14:paraId="3FBCD011"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3,54</w:t>
            </w:r>
          </w:p>
        </w:tc>
        <w:tc>
          <w:tcPr>
            <w:tcW w:w="864" w:type="dxa"/>
            <w:tcBorders>
              <w:top w:val="single" w:sz="12" w:space="0" w:color="auto"/>
            </w:tcBorders>
            <w:shd w:val="clear" w:color="000000" w:fill="FFC7CE"/>
            <w:noWrap/>
            <w:vAlign w:val="bottom"/>
            <w:hideMark/>
          </w:tcPr>
          <w:p w14:paraId="4986F3C4" w14:textId="77777777" w:rsidR="003E0F58" w:rsidRPr="007C705C" w:rsidRDefault="003E0F58" w:rsidP="004D2249">
            <w:pPr>
              <w:jc w:val="right"/>
              <w:rPr>
                <w:rFonts w:cs="Times New Roman"/>
                <w:color w:val="9C0006"/>
                <w:sz w:val="22"/>
                <w:lang w:val="cs-CZ"/>
              </w:rPr>
            </w:pPr>
            <w:r w:rsidRPr="007C705C">
              <w:rPr>
                <w:rFonts w:cs="Times New Roman"/>
                <w:color w:val="9C0006"/>
                <w:sz w:val="22"/>
                <w:lang w:val="cs-CZ"/>
              </w:rPr>
              <w:t>-0,67</w:t>
            </w:r>
          </w:p>
        </w:tc>
        <w:tc>
          <w:tcPr>
            <w:tcW w:w="864" w:type="dxa"/>
            <w:tcBorders>
              <w:top w:val="single" w:sz="12" w:space="0" w:color="auto"/>
            </w:tcBorders>
            <w:shd w:val="clear" w:color="000000" w:fill="FFC7CE"/>
            <w:noWrap/>
            <w:vAlign w:val="bottom"/>
            <w:hideMark/>
          </w:tcPr>
          <w:p w14:paraId="59428D01" w14:textId="77777777" w:rsidR="003E0F58" w:rsidRPr="007C705C" w:rsidRDefault="003E0F58" w:rsidP="004D2249">
            <w:pPr>
              <w:jc w:val="right"/>
              <w:rPr>
                <w:rFonts w:cs="Times New Roman"/>
                <w:color w:val="9C0006"/>
                <w:sz w:val="22"/>
                <w:lang w:val="cs-CZ"/>
              </w:rPr>
            </w:pPr>
            <w:r w:rsidRPr="007C705C">
              <w:rPr>
                <w:rFonts w:cs="Times New Roman"/>
                <w:color w:val="9C0006"/>
                <w:sz w:val="22"/>
                <w:lang w:val="cs-CZ"/>
              </w:rPr>
              <w:t>-5,61</w:t>
            </w:r>
          </w:p>
        </w:tc>
        <w:tc>
          <w:tcPr>
            <w:tcW w:w="864" w:type="dxa"/>
            <w:tcBorders>
              <w:top w:val="single" w:sz="12" w:space="0" w:color="auto"/>
            </w:tcBorders>
            <w:shd w:val="clear" w:color="000000" w:fill="FFC7CE"/>
            <w:noWrap/>
            <w:vAlign w:val="bottom"/>
            <w:hideMark/>
          </w:tcPr>
          <w:p w14:paraId="6928414B" w14:textId="77777777" w:rsidR="003E0F58" w:rsidRPr="007C705C" w:rsidRDefault="003E0F58" w:rsidP="004D2249">
            <w:pPr>
              <w:jc w:val="right"/>
              <w:rPr>
                <w:rFonts w:cs="Times New Roman"/>
                <w:color w:val="9C0006"/>
                <w:sz w:val="22"/>
                <w:lang w:val="cs-CZ"/>
              </w:rPr>
            </w:pPr>
            <w:r w:rsidRPr="007C705C">
              <w:rPr>
                <w:rFonts w:cs="Times New Roman"/>
                <w:color w:val="9C0006"/>
                <w:sz w:val="22"/>
                <w:lang w:val="cs-CZ"/>
              </w:rPr>
              <w:t>-16,74</w:t>
            </w:r>
          </w:p>
        </w:tc>
        <w:tc>
          <w:tcPr>
            <w:tcW w:w="1000" w:type="dxa"/>
            <w:tcBorders>
              <w:top w:val="single" w:sz="12" w:space="0" w:color="auto"/>
            </w:tcBorders>
            <w:shd w:val="clear" w:color="000000" w:fill="FFC7CE"/>
            <w:noWrap/>
            <w:vAlign w:val="bottom"/>
            <w:hideMark/>
          </w:tcPr>
          <w:p w14:paraId="485DC398" w14:textId="77777777" w:rsidR="003E0F58" w:rsidRPr="007C705C" w:rsidRDefault="003E0F58" w:rsidP="004D2249">
            <w:pPr>
              <w:jc w:val="right"/>
              <w:rPr>
                <w:rFonts w:cs="Times New Roman"/>
                <w:color w:val="9C0006"/>
                <w:sz w:val="22"/>
                <w:lang w:val="cs-CZ"/>
              </w:rPr>
            </w:pPr>
            <w:r w:rsidRPr="007C705C">
              <w:rPr>
                <w:rFonts w:cs="Times New Roman"/>
                <w:color w:val="9C0006"/>
                <w:sz w:val="22"/>
                <w:lang w:val="cs-CZ"/>
              </w:rPr>
              <w:t>-23,06</w:t>
            </w:r>
          </w:p>
        </w:tc>
        <w:tc>
          <w:tcPr>
            <w:tcW w:w="1000" w:type="dxa"/>
            <w:tcBorders>
              <w:top w:val="single" w:sz="12" w:space="0" w:color="auto"/>
            </w:tcBorders>
            <w:shd w:val="clear" w:color="000000" w:fill="FFC7CE"/>
            <w:noWrap/>
            <w:vAlign w:val="bottom"/>
            <w:hideMark/>
          </w:tcPr>
          <w:p w14:paraId="502586E5" w14:textId="77777777" w:rsidR="003E0F58" w:rsidRPr="007C705C" w:rsidRDefault="003E0F58" w:rsidP="004D2249">
            <w:pPr>
              <w:jc w:val="right"/>
              <w:rPr>
                <w:rFonts w:cs="Times New Roman"/>
                <w:color w:val="9C0006"/>
                <w:sz w:val="22"/>
                <w:lang w:val="cs-CZ"/>
              </w:rPr>
            </w:pPr>
            <w:r w:rsidRPr="007C705C">
              <w:rPr>
                <w:rFonts w:cs="Times New Roman"/>
                <w:color w:val="9C0006"/>
                <w:sz w:val="22"/>
                <w:lang w:val="cs-CZ"/>
              </w:rPr>
              <w:t>-32,27</w:t>
            </w:r>
          </w:p>
        </w:tc>
        <w:tc>
          <w:tcPr>
            <w:tcW w:w="1000" w:type="dxa"/>
            <w:tcBorders>
              <w:top w:val="single" w:sz="12" w:space="0" w:color="auto"/>
            </w:tcBorders>
            <w:shd w:val="clear" w:color="000000" w:fill="FFC7CE"/>
            <w:noWrap/>
            <w:vAlign w:val="bottom"/>
            <w:hideMark/>
          </w:tcPr>
          <w:p w14:paraId="4AB4CF84" w14:textId="77777777" w:rsidR="003E0F58" w:rsidRPr="007C705C" w:rsidRDefault="003E0F58" w:rsidP="004D2249">
            <w:pPr>
              <w:jc w:val="right"/>
              <w:rPr>
                <w:rFonts w:cs="Times New Roman"/>
                <w:color w:val="9C0006"/>
                <w:sz w:val="22"/>
                <w:lang w:val="cs-CZ"/>
              </w:rPr>
            </w:pPr>
            <w:r w:rsidRPr="007C705C">
              <w:rPr>
                <w:rFonts w:cs="Times New Roman"/>
                <w:color w:val="9C0006"/>
                <w:sz w:val="22"/>
                <w:lang w:val="cs-CZ"/>
              </w:rPr>
              <w:t>-39,23</w:t>
            </w:r>
          </w:p>
        </w:tc>
        <w:tc>
          <w:tcPr>
            <w:tcW w:w="1000" w:type="dxa"/>
            <w:tcBorders>
              <w:top w:val="single" w:sz="12" w:space="0" w:color="auto"/>
            </w:tcBorders>
            <w:shd w:val="clear" w:color="000000" w:fill="FFC7CE"/>
            <w:noWrap/>
            <w:vAlign w:val="bottom"/>
            <w:hideMark/>
          </w:tcPr>
          <w:p w14:paraId="1589CA01" w14:textId="77777777" w:rsidR="003E0F58" w:rsidRPr="007C705C" w:rsidRDefault="003E0F58" w:rsidP="004D2249">
            <w:pPr>
              <w:jc w:val="right"/>
              <w:rPr>
                <w:rFonts w:cs="Times New Roman"/>
                <w:color w:val="9C0006"/>
                <w:sz w:val="22"/>
                <w:lang w:val="cs-CZ"/>
              </w:rPr>
            </w:pPr>
            <w:r w:rsidRPr="007C705C">
              <w:rPr>
                <w:rFonts w:cs="Times New Roman"/>
                <w:color w:val="9C0006"/>
                <w:sz w:val="22"/>
                <w:lang w:val="cs-CZ"/>
              </w:rPr>
              <w:t>-45,60</w:t>
            </w:r>
          </w:p>
        </w:tc>
        <w:tc>
          <w:tcPr>
            <w:tcW w:w="1000" w:type="dxa"/>
            <w:tcBorders>
              <w:top w:val="single" w:sz="12" w:space="0" w:color="auto"/>
              <w:right w:val="single" w:sz="12" w:space="0" w:color="auto"/>
            </w:tcBorders>
            <w:shd w:val="clear" w:color="000000" w:fill="FFC7CE"/>
            <w:noWrap/>
            <w:vAlign w:val="bottom"/>
            <w:hideMark/>
          </w:tcPr>
          <w:p w14:paraId="6217540A" w14:textId="77777777" w:rsidR="003E0F58" w:rsidRPr="007C705C" w:rsidRDefault="003E0F58" w:rsidP="004D2249">
            <w:pPr>
              <w:jc w:val="right"/>
              <w:rPr>
                <w:rFonts w:cs="Times New Roman"/>
                <w:color w:val="9C0006"/>
                <w:sz w:val="22"/>
                <w:lang w:val="cs-CZ"/>
              </w:rPr>
            </w:pPr>
            <w:r w:rsidRPr="007C705C">
              <w:rPr>
                <w:rFonts w:cs="Times New Roman"/>
                <w:color w:val="9C0006"/>
                <w:sz w:val="22"/>
                <w:lang w:val="cs-CZ"/>
              </w:rPr>
              <w:t>-51,50</w:t>
            </w:r>
          </w:p>
        </w:tc>
      </w:tr>
      <w:tr w:rsidR="003E0F58" w:rsidRPr="007C705C" w14:paraId="67C1E03C" w14:textId="77777777" w:rsidTr="004D2249">
        <w:trPr>
          <w:gridAfter w:val="1"/>
          <w:wAfter w:w="16" w:type="dxa"/>
          <w:trHeight w:val="300"/>
        </w:trPr>
        <w:tc>
          <w:tcPr>
            <w:tcW w:w="1838" w:type="dxa"/>
            <w:vMerge/>
            <w:tcBorders>
              <w:left w:val="single" w:sz="12" w:space="0" w:color="auto"/>
              <w:right w:val="single" w:sz="12" w:space="0" w:color="auto"/>
            </w:tcBorders>
            <w:vAlign w:val="center"/>
            <w:hideMark/>
          </w:tcPr>
          <w:p w14:paraId="7C80DE5D" w14:textId="77777777" w:rsidR="003E0F58" w:rsidRPr="007C705C" w:rsidRDefault="003E0F58" w:rsidP="004D2249">
            <w:pPr>
              <w:jc w:val="left"/>
              <w:rPr>
                <w:rFonts w:cs="Times New Roman"/>
                <w:color w:val="000000"/>
                <w:sz w:val="22"/>
                <w:lang w:val="cs-CZ"/>
              </w:rPr>
            </w:pPr>
          </w:p>
        </w:tc>
        <w:tc>
          <w:tcPr>
            <w:tcW w:w="2020" w:type="dxa"/>
            <w:tcBorders>
              <w:left w:val="single" w:sz="12" w:space="0" w:color="auto"/>
              <w:right w:val="single" w:sz="12" w:space="0" w:color="auto"/>
            </w:tcBorders>
            <w:shd w:val="clear" w:color="auto" w:fill="auto"/>
            <w:vAlign w:val="center"/>
            <w:hideMark/>
          </w:tcPr>
          <w:p w14:paraId="76DF904A" w14:textId="77777777" w:rsidR="003E0F58" w:rsidRPr="007C705C" w:rsidRDefault="003E0F58" w:rsidP="004D2249">
            <w:pPr>
              <w:jc w:val="center"/>
              <w:rPr>
                <w:rFonts w:cs="Times New Roman"/>
                <w:color w:val="000000"/>
                <w:lang w:val="cs-CZ"/>
              </w:rPr>
            </w:pPr>
            <w:r w:rsidRPr="007C705C">
              <w:rPr>
                <w:rFonts w:cs="Times New Roman"/>
                <w:color w:val="000000"/>
                <w:lang w:val="cs-CZ"/>
              </w:rPr>
              <w:t xml:space="preserve"> - z toho orná půda</w:t>
            </w:r>
          </w:p>
        </w:tc>
        <w:tc>
          <w:tcPr>
            <w:tcW w:w="864" w:type="dxa"/>
            <w:tcBorders>
              <w:left w:val="single" w:sz="12" w:space="0" w:color="auto"/>
            </w:tcBorders>
            <w:shd w:val="clear" w:color="auto" w:fill="auto"/>
            <w:noWrap/>
            <w:vAlign w:val="bottom"/>
            <w:hideMark/>
          </w:tcPr>
          <w:p w14:paraId="79AF667C"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136,40</w:t>
            </w:r>
          </w:p>
        </w:tc>
        <w:tc>
          <w:tcPr>
            <w:tcW w:w="864" w:type="dxa"/>
            <w:shd w:val="clear" w:color="auto" w:fill="auto"/>
            <w:noWrap/>
            <w:vAlign w:val="bottom"/>
            <w:hideMark/>
          </w:tcPr>
          <w:p w14:paraId="58FB89C6"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125,61</w:t>
            </w:r>
          </w:p>
        </w:tc>
        <w:tc>
          <w:tcPr>
            <w:tcW w:w="864" w:type="dxa"/>
            <w:shd w:val="clear" w:color="auto" w:fill="auto"/>
            <w:noWrap/>
            <w:vAlign w:val="bottom"/>
            <w:hideMark/>
          </w:tcPr>
          <w:p w14:paraId="44E14BF8"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121,97</w:t>
            </w:r>
          </w:p>
        </w:tc>
        <w:tc>
          <w:tcPr>
            <w:tcW w:w="864" w:type="dxa"/>
            <w:shd w:val="clear" w:color="auto" w:fill="auto"/>
            <w:noWrap/>
            <w:vAlign w:val="bottom"/>
            <w:hideMark/>
          </w:tcPr>
          <w:p w14:paraId="122C372C"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118,91</w:t>
            </w:r>
          </w:p>
        </w:tc>
        <w:tc>
          <w:tcPr>
            <w:tcW w:w="864" w:type="dxa"/>
            <w:shd w:val="clear" w:color="auto" w:fill="auto"/>
            <w:noWrap/>
            <w:vAlign w:val="bottom"/>
            <w:hideMark/>
          </w:tcPr>
          <w:p w14:paraId="454D50CD"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115,34</w:t>
            </w:r>
          </w:p>
        </w:tc>
        <w:tc>
          <w:tcPr>
            <w:tcW w:w="864" w:type="dxa"/>
            <w:shd w:val="clear" w:color="auto" w:fill="auto"/>
            <w:noWrap/>
            <w:vAlign w:val="bottom"/>
            <w:hideMark/>
          </w:tcPr>
          <w:p w14:paraId="42219CB1"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108,65</w:t>
            </w:r>
          </w:p>
        </w:tc>
        <w:tc>
          <w:tcPr>
            <w:tcW w:w="1000" w:type="dxa"/>
            <w:shd w:val="clear" w:color="auto" w:fill="auto"/>
            <w:noWrap/>
            <w:vAlign w:val="bottom"/>
            <w:hideMark/>
          </w:tcPr>
          <w:p w14:paraId="1E851270"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104,77</w:t>
            </w:r>
          </w:p>
        </w:tc>
        <w:tc>
          <w:tcPr>
            <w:tcW w:w="1000" w:type="dxa"/>
            <w:shd w:val="clear" w:color="auto" w:fill="auto"/>
            <w:noWrap/>
            <w:vAlign w:val="bottom"/>
            <w:hideMark/>
          </w:tcPr>
          <w:p w14:paraId="722107E2"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99,15</w:t>
            </w:r>
          </w:p>
        </w:tc>
        <w:tc>
          <w:tcPr>
            <w:tcW w:w="1000" w:type="dxa"/>
            <w:shd w:val="clear" w:color="auto" w:fill="auto"/>
            <w:noWrap/>
            <w:vAlign w:val="bottom"/>
            <w:hideMark/>
          </w:tcPr>
          <w:p w14:paraId="783867F4"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94,58</w:t>
            </w:r>
          </w:p>
        </w:tc>
        <w:tc>
          <w:tcPr>
            <w:tcW w:w="1000" w:type="dxa"/>
            <w:shd w:val="clear" w:color="auto" w:fill="auto"/>
            <w:noWrap/>
            <w:vAlign w:val="bottom"/>
            <w:hideMark/>
          </w:tcPr>
          <w:p w14:paraId="26F8E96A"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90,20</w:t>
            </w:r>
          </w:p>
        </w:tc>
        <w:tc>
          <w:tcPr>
            <w:tcW w:w="1000" w:type="dxa"/>
            <w:tcBorders>
              <w:right w:val="single" w:sz="12" w:space="0" w:color="auto"/>
            </w:tcBorders>
            <w:shd w:val="clear" w:color="auto" w:fill="auto"/>
            <w:noWrap/>
            <w:vAlign w:val="bottom"/>
            <w:hideMark/>
          </w:tcPr>
          <w:p w14:paraId="361F3F08"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86,30</w:t>
            </w:r>
          </w:p>
        </w:tc>
      </w:tr>
      <w:tr w:rsidR="003E0F58" w:rsidRPr="007C705C" w14:paraId="4E1D3E2B" w14:textId="77777777" w:rsidTr="004D2249">
        <w:trPr>
          <w:gridAfter w:val="1"/>
          <w:wAfter w:w="16" w:type="dxa"/>
          <w:trHeight w:val="300"/>
        </w:trPr>
        <w:tc>
          <w:tcPr>
            <w:tcW w:w="1838" w:type="dxa"/>
            <w:vMerge/>
            <w:tcBorders>
              <w:left w:val="single" w:sz="12" w:space="0" w:color="auto"/>
              <w:right w:val="single" w:sz="12" w:space="0" w:color="auto"/>
            </w:tcBorders>
            <w:vAlign w:val="center"/>
            <w:hideMark/>
          </w:tcPr>
          <w:p w14:paraId="13C43ED5" w14:textId="77777777" w:rsidR="003E0F58" w:rsidRPr="007C705C" w:rsidRDefault="003E0F58" w:rsidP="004D2249">
            <w:pPr>
              <w:jc w:val="left"/>
              <w:rPr>
                <w:rFonts w:cs="Times New Roman"/>
                <w:color w:val="000000"/>
                <w:sz w:val="22"/>
                <w:lang w:val="cs-CZ"/>
              </w:rPr>
            </w:pPr>
          </w:p>
        </w:tc>
        <w:tc>
          <w:tcPr>
            <w:tcW w:w="2020" w:type="dxa"/>
            <w:tcBorders>
              <w:left w:val="single" w:sz="12" w:space="0" w:color="auto"/>
              <w:right w:val="single" w:sz="12" w:space="0" w:color="auto"/>
            </w:tcBorders>
            <w:shd w:val="clear" w:color="auto" w:fill="auto"/>
            <w:vAlign w:val="center"/>
            <w:hideMark/>
          </w:tcPr>
          <w:p w14:paraId="6AAB2D78" w14:textId="77777777" w:rsidR="003E0F58" w:rsidRPr="007C705C" w:rsidRDefault="003E0F58" w:rsidP="004D2249">
            <w:pPr>
              <w:jc w:val="center"/>
              <w:rPr>
                <w:rFonts w:cs="Times New Roman"/>
                <w:color w:val="000000"/>
                <w:lang w:val="cs-CZ"/>
              </w:rPr>
            </w:pPr>
            <w:r w:rsidRPr="007C705C">
              <w:rPr>
                <w:rFonts w:cs="Times New Roman"/>
                <w:color w:val="000000"/>
                <w:lang w:val="cs-CZ"/>
              </w:rPr>
              <w:t xml:space="preserve"> - z toho TTP</w:t>
            </w:r>
          </w:p>
        </w:tc>
        <w:tc>
          <w:tcPr>
            <w:tcW w:w="864" w:type="dxa"/>
            <w:tcBorders>
              <w:left w:val="single" w:sz="12" w:space="0" w:color="auto"/>
            </w:tcBorders>
            <w:shd w:val="clear" w:color="000000" w:fill="FFC7CE"/>
            <w:noWrap/>
            <w:vAlign w:val="bottom"/>
            <w:hideMark/>
          </w:tcPr>
          <w:p w14:paraId="43FC485C" w14:textId="77777777" w:rsidR="003E0F58" w:rsidRPr="007C705C" w:rsidRDefault="003E0F58" w:rsidP="004D2249">
            <w:pPr>
              <w:jc w:val="right"/>
              <w:rPr>
                <w:rFonts w:cs="Times New Roman"/>
                <w:color w:val="9C0006"/>
                <w:sz w:val="22"/>
                <w:lang w:val="cs-CZ"/>
              </w:rPr>
            </w:pPr>
            <w:r w:rsidRPr="007C705C">
              <w:rPr>
                <w:rFonts w:cs="Times New Roman"/>
                <w:color w:val="9C0006"/>
                <w:sz w:val="22"/>
                <w:lang w:val="cs-CZ"/>
              </w:rPr>
              <w:t>-138,43</w:t>
            </w:r>
          </w:p>
        </w:tc>
        <w:tc>
          <w:tcPr>
            <w:tcW w:w="864" w:type="dxa"/>
            <w:shd w:val="clear" w:color="000000" w:fill="FFC7CE"/>
            <w:noWrap/>
            <w:vAlign w:val="bottom"/>
            <w:hideMark/>
          </w:tcPr>
          <w:p w14:paraId="4070BD40" w14:textId="77777777" w:rsidR="003E0F58" w:rsidRPr="007C705C" w:rsidRDefault="003E0F58" w:rsidP="004D2249">
            <w:pPr>
              <w:jc w:val="right"/>
              <w:rPr>
                <w:rFonts w:cs="Times New Roman"/>
                <w:color w:val="9C0006"/>
                <w:sz w:val="22"/>
                <w:lang w:val="cs-CZ"/>
              </w:rPr>
            </w:pPr>
            <w:r w:rsidRPr="007C705C">
              <w:rPr>
                <w:rFonts w:cs="Times New Roman"/>
                <w:color w:val="9C0006"/>
                <w:sz w:val="22"/>
                <w:lang w:val="cs-CZ"/>
              </w:rPr>
              <w:t>-137,13</w:t>
            </w:r>
          </w:p>
        </w:tc>
        <w:tc>
          <w:tcPr>
            <w:tcW w:w="864" w:type="dxa"/>
            <w:shd w:val="clear" w:color="000000" w:fill="FFC7CE"/>
            <w:noWrap/>
            <w:vAlign w:val="bottom"/>
            <w:hideMark/>
          </w:tcPr>
          <w:p w14:paraId="40191332" w14:textId="77777777" w:rsidR="003E0F58" w:rsidRPr="007C705C" w:rsidRDefault="003E0F58" w:rsidP="004D2249">
            <w:pPr>
              <w:jc w:val="right"/>
              <w:rPr>
                <w:rFonts w:cs="Times New Roman"/>
                <w:color w:val="9C0006"/>
                <w:sz w:val="22"/>
                <w:lang w:val="cs-CZ"/>
              </w:rPr>
            </w:pPr>
            <w:r w:rsidRPr="007C705C">
              <w:rPr>
                <w:rFonts w:cs="Times New Roman"/>
                <w:color w:val="9C0006"/>
                <w:sz w:val="22"/>
                <w:lang w:val="cs-CZ"/>
              </w:rPr>
              <w:t>-139,02</w:t>
            </w:r>
          </w:p>
        </w:tc>
        <w:tc>
          <w:tcPr>
            <w:tcW w:w="864" w:type="dxa"/>
            <w:shd w:val="clear" w:color="000000" w:fill="FFC7CE"/>
            <w:noWrap/>
            <w:vAlign w:val="bottom"/>
            <w:hideMark/>
          </w:tcPr>
          <w:p w14:paraId="1D0241EE" w14:textId="77777777" w:rsidR="003E0F58" w:rsidRPr="007C705C" w:rsidRDefault="003E0F58" w:rsidP="004D2249">
            <w:pPr>
              <w:jc w:val="right"/>
              <w:rPr>
                <w:rFonts w:cs="Times New Roman"/>
                <w:color w:val="9C0006"/>
                <w:sz w:val="22"/>
                <w:lang w:val="cs-CZ"/>
              </w:rPr>
            </w:pPr>
            <w:r w:rsidRPr="007C705C">
              <w:rPr>
                <w:rFonts w:cs="Times New Roman"/>
                <w:color w:val="9C0006"/>
                <w:sz w:val="22"/>
                <w:lang w:val="cs-CZ"/>
              </w:rPr>
              <w:t>-140,17</w:t>
            </w:r>
          </w:p>
        </w:tc>
        <w:tc>
          <w:tcPr>
            <w:tcW w:w="864" w:type="dxa"/>
            <w:shd w:val="clear" w:color="000000" w:fill="FFC7CE"/>
            <w:noWrap/>
            <w:vAlign w:val="bottom"/>
            <w:hideMark/>
          </w:tcPr>
          <w:p w14:paraId="7AA7F5FD" w14:textId="77777777" w:rsidR="003E0F58" w:rsidRPr="007C705C" w:rsidRDefault="003E0F58" w:rsidP="004D2249">
            <w:pPr>
              <w:jc w:val="right"/>
              <w:rPr>
                <w:rFonts w:cs="Times New Roman"/>
                <w:color w:val="9C0006"/>
                <w:sz w:val="22"/>
                <w:lang w:val="cs-CZ"/>
              </w:rPr>
            </w:pPr>
            <w:r w:rsidRPr="007C705C">
              <w:rPr>
                <w:rFonts w:cs="Times New Roman"/>
                <w:color w:val="9C0006"/>
                <w:sz w:val="22"/>
                <w:lang w:val="cs-CZ"/>
              </w:rPr>
              <w:t>-141,54</w:t>
            </w:r>
          </w:p>
        </w:tc>
        <w:tc>
          <w:tcPr>
            <w:tcW w:w="864" w:type="dxa"/>
            <w:shd w:val="clear" w:color="000000" w:fill="FFC7CE"/>
            <w:noWrap/>
            <w:vAlign w:val="bottom"/>
            <w:hideMark/>
          </w:tcPr>
          <w:p w14:paraId="1894E366" w14:textId="77777777" w:rsidR="003E0F58" w:rsidRPr="007C705C" w:rsidRDefault="003E0F58" w:rsidP="004D2249">
            <w:pPr>
              <w:jc w:val="right"/>
              <w:rPr>
                <w:rFonts w:cs="Times New Roman"/>
                <w:color w:val="9C0006"/>
                <w:sz w:val="22"/>
                <w:lang w:val="cs-CZ"/>
              </w:rPr>
            </w:pPr>
            <w:r w:rsidRPr="007C705C">
              <w:rPr>
                <w:rFonts w:cs="Times New Roman"/>
                <w:color w:val="9C0006"/>
                <w:sz w:val="22"/>
                <w:lang w:val="cs-CZ"/>
              </w:rPr>
              <w:t>-145,97</w:t>
            </w:r>
          </w:p>
        </w:tc>
        <w:tc>
          <w:tcPr>
            <w:tcW w:w="1000" w:type="dxa"/>
            <w:shd w:val="clear" w:color="000000" w:fill="FFC7CE"/>
            <w:noWrap/>
            <w:vAlign w:val="bottom"/>
            <w:hideMark/>
          </w:tcPr>
          <w:p w14:paraId="22E47688" w14:textId="77777777" w:rsidR="003E0F58" w:rsidRPr="007C705C" w:rsidRDefault="003E0F58" w:rsidP="004D2249">
            <w:pPr>
              <w:jc w:val="right"/>
              <w:rPr>
                <w:rFonts w:cs="Times New Roman"/>
                <w:color w:val="9C0006"/>
                <w:sz w:val="22"/>
                <w:lang w:val="cs-CZ"/>
              </w:rPr>
            </w:pPr>
            <w:r w:rsidRPr="007C705C">
              <w:rPr>
                <w:rFonts w:cs="Times New Roman"/>
                <w:color w:val="9C0006"/>
                <w:sz w:val="22"/>
                <w:lang w:val="cs-CZ"/>
              </w:rPr>
              <w:t>-148,42</w:t>
            </w:r>
          </w:p>
        </w:tc>
        <w:tc>
          <w:tcPr>
            <w:tcW w:w="1000" w:type="dxa"/>
            <w:shd w:val="clear" w:color="000000" w:fill="FFC7CE"/>
            <w:noWrap/>
            <w:vAlign w:val="bottom"/>
            <w:hideMark/>
          </w:tcPr>
          <w:p w14:paraId="31A3F4E8" w14:textId="77777777" w:rsidR="003E0F58" w:rsidRPr="007C705C" w:rsidRDefault="003E0F58" w:rsidP="004D2249">
            <w:pPr>
              <w:jc w:val="right"/>
              <w:rPr>
                <w:rFonts w:cs="Times New Roman"/>
                <w:color w:val="9C0006"/>
                <w:sz w:val="22"/>
                <w:lang w:val="cs-CZ"/>
              </w:rPr>
            </w:pPr>
            <w:r w:rsidRPr="007C705C">
              <w:rPr>
                <w:rFonts w:cs="Times New Roman"/>
                <w:color w:val="9C0006"/>
                <w:sz w:val="22"/>
                <w:lang w:val="cs-CZ"/>
              </w:rPr>
              <w:t>-152,01</w:t>
            </w:r>
          </w:p>
        </w:tc>
        <w:tc>
          <w:tcPr>
            <w:tcW w:w="1000" w:type="dxa"/>
            <w:shd w:val="clear" w:color="000000" w:fill="FFC7CE"/>
            <w:noWrap/>
            <w:vAlign w:val="bottom"/>
            <w:hideMark/>
          </w:tcPr>
          <w:p w14:paraId="79F73647" w14:textId="77777777" w:rsidR="003E0F58" w:rsidRPr="007C705C" w:rsidRDefault="003E0F58" w:rsidP="004D2249">
            <w:pPr>
              <w:jc w:val="right"/>
              <w:rPr>
                <w:rFonts w:cs="Times New Roman"/>
                <w:color w:val="9C0006"/>
                <w:sz w:val="22"/>
                <w:lang w:val="cs-CZ"/>
              </w:rPr>
            </w:pPr>
            <w:r w:rsidRPr="007C705C">
              <w:rPr>
                <w:rFonts w:cs="Times New Roman"/>
                <w:color w:val="9C0006"/>
                <w:sz w:val="22"/>
                <w:lang w:val="cs-CZ"/>
              </w:rPr>
              <w:t>-154,40</w:t>
            </w:r>
          </w:p>
        </w:tc>
        <w:tc>
          <w:tcPr>
            <w:tcW w:w="1000" w:type="dxa"/>
            <w:shd w:val="clear" w:color="000000" w:fill="FFC7CE"/>
            <w:noWrap/>
            <w:vAlign w:val="bottom"/>
            <w:hideMark/>
          </w:tcPr>
          <w:p w14:paraId="1BEA455F" w14:textId="77777777" w:rsidR="003E0F58" w:rsidRPr="007C705C" w:rsidRDefault="003E0F58" w:rsidP="004D2249">
            <w:pPr>
              <w:jc w:val="right"/>
              <w:rPr>
                <w:rFonts w:cs="Times New Roman"/>
                <w:color w:val="9C0006"/>
                <w:sz w:val="22"/>
                <w:lang w:val="cs-CZ"/>
              </w:rPr>
            </w:pPr>
            <w:r w:rsidRPr="007C705C">
              <w:rPr>
                <w:rFonts w:cs="Times New Roman"/>
                <w:color w:val="9C0006"/>
                <w:sz w:val="22"/>
                <w:lang w:val="cs-CZ"/>
              </w:rPr>
              <w:t>-156,39</w:t>
            </w:r>
          </w:p>
        </w:tc>
        <w:tc>
          <w:tcPr>
            <w:tcW w:w="1000" w:type="dxa"/>
            <w:tcBorders>
              <w:right w:val="single" w:sz="12" w:space="0" w:color="auto"/>
            </w:tcBorders>
            <w:shd w:val="clear" w:color="000000" w:fill="FFC7CE"/>
            <w:noWrap/>
            <w:vAlign w:val="bottom"/>
            <w:hideMark/>
          </w:tcPr>
          <w:p w14:paraId="0573FF7E" w14:textId="77777777" w:rsidR="003E0F58" w:rsidRPr="007C705C" w:rsidRDefault="003E0F58" w:rsidP="004D2249">
            <w:pPr>
              <w:jc w:val="right"/>
              <w:rPr>
                <w:rFonts w:cs="Times New Roman"/>
                <w:color w:val="9C0006"/>
                <w:sz w:val="22"/>
                <w:lang w:val="cs-CZ"/>
              </w:rPr>
            </w:pPr>
            <w:r w:rsidRPr="007C705C">
              <w:rPr>
                <w:rFonts w:cs="Times New Roman"/>
                <w:color w:val="9C0006"/>
                <w:sz w:val="22"/>
                <w:lang w:val="cs-CZ"/>
              </w:rPr>
              <w:t>-158,39</w:t>
            </w:r>
          </w:p>
        </w:tc>
      </w:tr>
      <w:tr w:rsidR="003E0F58" w:rsidRPr="007C705C" w14:paraId="090B293D" w14:textId="77777777" w:rsidTr="004D2249">
        <w:trPr>
          <w:gridAfter w:val="1"/>
          <w:wAfter w:w="16" w:type="dxa"/>
          <w:trHeight w:val="300"/>
        </w:trPr>
        <w:tc>
          <w:tcPr>
            <w:tcW w:w="1838" w:type="dxa"/>
            <w:vMerge/>
            <w:tcBorders>
              <w:left w:val="single" w:sz="12" w:space="0" w:color="auto"/>
              <w:bottom w:val="single" w:sz="12" w:space="0" w:color="auto"/>
              <w:right w:val="single" w:sz="12" w:space="0" w:color="auto"/>
            </w:tcBorders>
            <w:vAlign w:val="center"/>
            <w:hideMark/>
          </w:tcPr>
          <w:p w14:paraId="52E6D6B4" w14:textId="77777777" w:rsidR="003E0F58" w:rsidRPr="007C705C" w:rsidRDefault="003E0F58" w:rsidP="004D2249">
            <w:pPr>
              <w:jc w:val="left"/>
              <w:rPr>
                <w:rFonts w:cs="Times New Roman"/>
                <w:color w:val="000000"/>
                <w:sz w:val="22"/>
                <w:lang w:val="cs-CZ"/>
              </w:rPr>
            </w:pPr>
          </w:p>
        </w:tc>
        <w:tc>
          <w:tcPr>
            <w:tcW w:w="2020" w:type="dxa"/>
            <w:tcBorders>
              <w:left w:val="single" w:sz="12" w:space="0" w:color="auto"/>
              <w:bottom w:val="single" w:sz="12" w:space="0" w:color="auto"/>
              <w:right w:val="single" w:sz="12" w:space="0" w:color="auto"/>
            </w:tcBorders>
            <w:shd w:val="clear" w:color="auto" w:fill="auto"/>
            <w:noWrap/>
            <w:vAlign w:val="bottom"/>
            <w:hideMark/>
          </w:tcPr>
          <w:p w14:paraId="7CC7A47C" w14:textId="77777777" w:rsidR="003E0F58" w:rsidRPr="007C705C" w:rsidRDefault="003E0F58" w:rsidP="004D2249">
            <w:pPr>
              <w:jc w:val="center"/>
              <w:rPr>
                <w:rFonts w:cs="Times New Roman"/>
                <w:color w:val="000000"/>
                <w:lang w:val="cs-CZ"/>
              </w:rPr>
            </w:pPr>
            <w:r w:rsidRPr="007C705C">
              <w:rPr>
                <w:rFonts w:cs="Times New Roman"/>
                <w:color w:val="000000"/>
                <w:lang w:val="cs-CZ"/>
              </w:rPr>
              <w:t>- zbytek ostatní kultury</w:t>
            </w:r>
          </w:p>
        </w:tc>
        <w:tc>
          <w:tcPr>
            <w:tcW w:w="864" w:type="dxa"/>
            <w:tcBorders>
              <w:left w:val="single" w:sz="12" w:space="0" w:color="auto"/>
              <w:bottom w:val="single" w:sz="12" w:space="0" w:color="auto"/>
            </w:tcBorders>
            <w:shd w:val="clear" w:color="auto" w:fill="auto"/>
            <w:noWrap/>
            <w:vAlign w:val="bottom"/>
            <w:hideMark/>
          </w:tcPr>
          <w:p w14:paraId="11FE14DF"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20,59</w:t>
            </w:r>
          </w:p>
        </w:tc>
        <w:tc>
          <w:tcPr>
            <w:tcW w:w="864" w:type="dxa"/>
            <w:tcBorders>
              <w:bottom w:val="single" w:sz="12" w:space="0" w:color="auto"/>
            </w:tcBorders>
            <w:shd w:val="clear" w:color="auto" w:fill="auto"/>
            <w:noWrap/>
            <w:vAlign w:val="bottom"/>
            <w:hideMark/>
          </w:tcPr>
          <w:p w14:paraId="5B73712C"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20,59</w:t>
            </w:r>
          </w:p>
        </w:tc>
        <w:tc>
          <w:tcPr>
            <w:tcW w:w="864" w:type="dxa"/>
            <w:tcBorders>
              <w:bottom w:val="single" w:sz="12" w:space="0" w:color="auto"/>
            </w:tcBorders>
            <w:shd w:val="clear" w:color="auto" w:fill="auto"/>
            <w:noWrap/>
            <w:vAlign w:val="bottom"/>
            <w:hideMark/>
          </w:tcPr>
          <w:p w14:paraId="76C98DBB"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20,59</w:t>
            </w:r>
          </w:p>
        </w:tc>
        <w:tc>
          <w:tcPr>
            <w:tcW w:w="864" w:type="dxa"/>
            <w:tcBorders>
              <w:bottom w:val="single" w:sz="12" w:space="0" w:color="auto"/>
            </w:tcBorders>
            <w:shd w:val="clear" w:color="auto" w:fill="auto"/>
            <w:noWrap/>
            <w:vAlign w:val="bottom"/>
            <w:hideMark/>
          </w:tcPr>
          <w:p w14:paraId="2D4F3C97"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20,59</w:t>
            </w:r>
          </w:p>
        </w:tc>
        <w:tc>
          <w:tcPr>
            <w:tcW w:w="864" w:type="dxa"/>
            <w:tcBorders>
              <w:bottom w:val="single" w:sz="12" w:space="0" w:color="auto"/>
            </w:tcBorders>
            <w:shd w:val="clear" w:color="auto" w:fill="auto"/>
            <w:noWrap/>
            <w:vAlign w:val="bottom"/>
            <w:hideMark/>
          </w:tcPr>
          <w:p w14:paraId="53D437DC"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20,59</w:t>
            </w:r>
          </w:p>
        </w:tc>
        <w:tc>
          <w:tcPr>
            <w:tcW w:w="864" w:type="dxa"/>
            <w:tcBorders>
              <w:bottom w:val="single" w:sz="12" w:space="0" w:color="auto"/>
            </w:tcBorders>
            <w:shd w:val="clear" w:color="auto" w:fill="auto"/>
            <w:noWrap/>
            <w:vAlign w:val="bottom"/>
            <w:hideMark/>
          </w:tcPr>
          <w:p w14:paraId="0F6FC5F2"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20,59</w:t>
            </w:r>
          </w:p>
        </w:tc>
        <w:tc>
          <w:tcPr>
            <w:tcW w:w="1000" w:type="dxa"/>
            <w:tcBorders>
              <w:bottom w:val="single" w:sz="12" w:space="0" w:color="auto"/>
            </w:tcBorders>
            <w:shd w:val="clear" w:color="auto" w:fill="auto"/>
            <w:noWrap/>
            <w:vAlign w:val="bottom"/>
            <w:hideMark/>
          </w:tcPr>
          <w:p w14:paraId="4E099248"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20,59</w:t>
            </w:r>
          </w:p>
        </w:tc>
        <w:tc>
          <w:tcPr>
            <w:tcW w:w="1000" w:type="dxa"/>
            <w:tcBorders>
              <w:bottom w:val="single" w:sz="12" w:space="0" w:color="auto"/>
            </w:tcBorders>
            <w:shd w:val="clear" w:color="auto" w:fill="auto"/>
            <w:noWrap/>
            <w:vAlign w:val="bottom"/>
            <w:hideMark/>
          </w:tcPr>
          <w:p w14:paraId="603DA4ED"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20,59</w:t>
            </w:r>
          </w:p>
        </w:tc>
        <w:tc>
          <w:tcPr>
            <w:tcW w:w="1000" w:type="dxa"/>
            <w:tcBorders>
              <w:bottom w:val="single" w:sz="12" w:space="0" w:color="auto"/>
            </w:tcBorders>
            <w:shd w:val="clear" w:color="auto" w:fill="auto"/>
            <w:noWrap/>
            <w:vAlign w:val="bottom"/>
            <w:hideMark/>
          </w:tcPr>
          <w:p w14:paraId="37ED10F5"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20,59</w:t>
            </w:r>
          </w:p>
        </w:tc>
        <w:tc>
          <w:tcPr>
            <w:tcW w:w="1000" w:type="dxa"/>
            <w:tcBorders>
              <w:bottom w:val="single" w:sz="12" w:space="0" w:color="auto"/>
            </w:tcBorders>
            <w:shd w:val="clear" w:color="auto" w:fill="auto"/>
            <w:noWrap/>
            <w:vAlign w:val="bottom"/>
            <w:hideMark/>
          </w:tcPr>
          <w:p w14:paraId="1CB06052"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20,59</w:t>
            </w:r>
          </w:p>
        </w:tc>
        <w:tc>
          <w:tcPr>
            <w:tcW w:w="1000" w:type="dxa"/>
            <w:tcBorders>
              <w:bottom w:val="single" w:sz="12" w:space="0" w:color="auto"/>
              <w:right w:val="single" w:sz="12" w:space="0" w:color="auto"/>
            </w:tcBorders>
            <w:shd w:val="clear" w:color="auto" w:fill="auto"/>
            <w:noWrap/>
            <w:vAlign w:val="bottom"/>
            <w:hideMark/>
          </w:tcPr>
          <w:p w14:paraId="356BF10C" w14:textId="77777777" w:rsidR="003E0F58" w:rsidRPr="007C705C" w:rsidRDefault="003E0F58" w:rsidP="004D2249">
            <w:pPr>
              <w:jc w:val="right"/>
              <w:rPr>
                <w:rFonts w:cs="Times New Roman"/>
                <w:color w:val="000000"/>
                <w:sz w:val="22"/>
                <w:lang w:val="cs-CZ"/>
              </w:rPr>
            </w:pPr>
            <w:r w:rsidRPr="007C705C">
              <w:rPr>
                <w:rFonts w:cs="Times New Roman"/>
                <w:color w:val="000000"/>
                <w:sz w:val="22"/>
                <w:lang w:val="cs-CZ"/>
              </w:rPr>
              <w:t>20,59</w:t>
            </w:r>
          </w:p>
        </w:tc>
      </w:tr>
    </w:tbl>
    <w:p w14:paraId="0C39AE67" w14:textId="77777777" w:rsidR="003E0F58" w:rsidRPr="007C705C" w:rsidRDefault="003E0F58" w:rsidP="003E0F58">
      <w:pPr>
        <w:rPr>
          <w:rFonts w:cs="Times New Roman"/>
          <w:lang w:val="cs-CZ"/>
        </w:rPr>
      </w:pPr>
    </w:p>
    <w:p w14:paraId="1BE46376" w14:textId="77777777" w:rsidR="003E0F58" w:rsidRPr="007C705C" w:rsidRDefault="003E0F58" w:rsidP="003E0F58">
      <w:pPr>
        <w:rPr>
          <w:rFonts w:cs="Times New Roman"/>
          <w:lang w:val="cs-CZ"/>
        </w:rPr>
      </w:pPr>
    </w:p>
    <w:p w14:paraId="23C868A1" w14:textId="77777777" w:rsidR="003E0F58" w:rsidRPr="007C705C" w:rsidRDefault="003E0F58" w:rsidP="003E0F58">
      <w:pPr>
        <w:rPr>
          <w:rFonts w:cs="Times New Roman"/>
          <w:lang w:val="cs-CZ"/>
        </w:rPr>
        <w:sectPr w:rsidR="003E0F58" w:rsidRPr="007C705C" w:rsidSect="004D2249">
          <w:pgSz w:w="16838" w:h="11906" w:orient="landscape"/>
          <w:pgMar w:top="1417" w:right="0" w:bottom="1417" w:left="1417" w:header="708" w:footer="708" w:gutter="0"/>
          <w:cols w:space="708"/>
          <w:docGrid w:linePitch="360"/>
        </w:sectPr>
      </w:pPr>
    </w:p>
    <w:p w14:paraId="5A62BC42" w14:textId="77777777" w:rsidR="003E0F58" w:rsidRPr="007C705C" w:rsidRDefault="003E0F58" w:rsidP="0093556C">
      <w:pPr>
        <w:pStyle w:val="UZEINormaln"/>
      </w:pPr>
      <w:r w:rsidRPr="007C705C">
        <w:lastRenderedPageBreak/>
        <w:t xml:space="preserve">Hlavním úkolem citované studie bylo zjistit potenciální rozsah zemědělské půdy užitelný pro produkci OZE v návaznosti na požadavky NKEP ČR při různých mírách potravinové soběstačnosti a vlivu probíhající klimatické změny. Byl kvantifikován rozsah ploch zemědělské a orné půdy, který by při zadaných variantách míry potravinové soběstačnosti (aktuální a 100 %) byl nezbytný pro zajištění jejich stanovených úrovní. Zároveň byla stanovena plocha z.p. a o.p. (tzv. disponibilní plocha), která by při daných variantách byla k dispozici pro využití v rámci produkce OZE. </w:t>
      </w:r>
    </w:p>
    <w:p w14:paraId="18DD0CAA" w14:textId="77777777" w:rsidR="003E0F58" w:rsidRPr="007C705C" w:rsidRDefault="003E0F58" w:rsidP="0093556C">
      <w:pPr>
        <w:pStyle w:val="UZEINormaln"/>
      </w:pPr>
      <w:r w:rsidRPr="007C705C">
        <w:t>Pro zjištění disponibilní plochy pro produkci OZE byla využita metodika výpočtu potravinové soběstačnosti, která vycházela z úrovně spotřeby potravin na obyvatele v ČR v roce 2017. Použití této metody umožnilo vymezit rozsah zemědělské půdy, která by mohla být k dispozici pro produkci OZE z hlediska různých přístupů k potravinové soběstačnosti a výnosovosti hlavních plodin.</w:t>
      </w:r>
    </w:p>
    <w:p w14:paraId="733BA3AE" w14:textId="77777777" w:rsidR="003E0F58" w:rsidRPr="007C705C" w:rsidRDefault="003E0F58" w:rsidP="0093556C">
      <w:pPr>
        <w:pStyle w:val="UZEINormaln"/>
      </w:pPr>
      <w:r w:rsidRPr="007C705C">
        <w:t xml:space="preserve">Plocha zemědělské půdy k dispozici pro produkci OZE při aktuální míře potravinové soběstačnosti a skutečných výnosech plodin byla odhadnuta na 1911,33 tis. ha, z toho orná půda činila 1493,42 tis. ha a 385,65 tis. ha TTP. Zbývající plocha připadá na ostatní kultury. Za současných výnosů při 100% potrav. soběstačnosti pak celková z.p. volná pro OZE činila 1210,32 (o.p. 978,34 tis. ha, TTP 205,14 tis. ha a ostat. kultury 26,87 tis. ha). Při poklesu výnosů o 20 % vlivem změny klimatu by pak při aktuální míře potravinové soběstačnosti činily volné plochy z.p. pro OZE 1504,59 (o.p. 1235,33 tis. ha, TTP 241,94 tis. ha a ostat. kult. 27,32 tis. ha) a při 100% potrav. soběstačnosti byla volná z.p. odhadnuta na 628,37 tis. ha (o.p. 591,48 tis. ha, TTP 16,30 tis. ha a o.k. 20,59 tis. ha). </w:t>
      </w:r>
    </w:p>
    <w:p w14:paraId="520346D1" w14:textId="77777777" w:rsidR="003E0F58" w:rsidRPr="007C705C" w:rsidRDefault="003E0F58" w:rsidP="0093556C">
      <w:pPr>
        <w:pStyle w:val="UZEINormaln"/>
      </w:pPr>
      <w:r w:rsidRPr="007C705C">
        <w:t>Dále byly tyto výsledky porovnány s cílovými trajektoriemi pro biomasu dle NKEP ČR a stanoveny zbývající volné plochy z.p. po splnění cílů trajektorií a to opět ve všech zadaných variantách. Výsledky ukazují, že pro většinu plodin vhodných pro produkci OZE je u všech variant s výjimkou té „nejkrizovější“ (100% potrav. soběstač. + snížené výnosy o 20 %) disponibilní plocha dostatečná. Z výsledků lze předpokládat, že hlavní podíl zdrojů biomasy potřebných ke krytí plánovaných cílů v oblasti bioenergetiky bude svým původem mimo z.p. a to zejména z lesní půdy (produkce a využití lesní dendromasy – štěpka apod.) a dále pak z oblasti odpadní biomasy pro výrobu pokročilého biometanu (viz. část A přílohy IX REDII).</w:t>
      </w:r>
    </w:p>
    <w:p w14:paraId="62C09C76" w14:textId="77777777" w:rsidR="003E0F58" w:rsidRPr="007C705C" w:rsidRDefault="003E0F58" w:rsidP="0093556C">
      <w:pPr>
        <w:pStyle w:val="UZEINormaln"/>
      </w:pPr>
      <w:r w:rsidRPr="007C705C">
        <w:t>V produkci OZE však výrazně dominují především řepka a kukuřice (event. obiloviny). To při uvažovaných pěstebních plochách může komplikovat reálnost struktury osevních ploch. Uvedený problém dále posiluje značný podíl plochy z.p. ohrožený zejména vodní erozí, kdy při 2/5, resp. 1/4 takto ohrožené plochy se výrazně snižuje např. možnost pro uplatnění kukuřice jako jednoho z hlavních zdrojů OZE.</w:t>
      </w:r>
    </w:p>
    <w:p w14:paraId="123F4139" w14:textId="77777777" w:rsidR="003E0F58" w:rsidRPr="007C705C" w:rsidRDefault="003E0F58" w:rsidP="0093556C">
      <w:pPr>
        <w:pStyle w:val="UZEINormaln"/>
      </w:pPr>
      <w:r w:rsidRPr="007C705C">
        <w:t>Rozsáhlá produkce OZE na z.p. vyžaduje stanovení pokud možno konkrétních podmínek zajišťujících správné hospodaření na půdě, které v řadě případů mohou limitovat předpokládaný rozsah realizace této produkce.</w:t>
      </w:r>
    </w:p>
    <w:p w14:paraId="1FB5DFD5" w14:textId="77777777" w:rsidR="003E0F58" w:rsidRPr="007C705C" w:rsidRDefault="003E0F58" w:rsidP="0093556C">
      <w:pPr>
        <w:pStyle w:val="UZEINormaln"/>
        <w:rPr>
          <w:rFonts w:eastAsiaTheme="minorEastAsia"/>
        </w:rPr>
      </w:pPr>
    </w:p>
    <w:p w14:paraId="1F58A3BB" w14:textId="77777777" w:rsidR="003E0F58" w:rsidRPr="007C705C" w:rsidRDefault="003E0F58" w:rsidP="0093556C">
      <w:pPr>
        <w:pStyle w:val="UZEINormaln"/>
        <w:rPr>
          <w:rFonts w:eastAsiaTheme="minorEastAsia"/>
        </w:rPr>
      </w:pPr>
    </w:p>
    <w:p w14:paraId="268DFD00" w14:textId="77777777" w:rsidR="003E0F58" w:rsidRPr="007C705C" w:rsidRDefault="003E0F58" w:rsidP="0093556C">
      <w:pPr>
        <w:pStyle w:val="UZEINormaln"/>
        <w:rPr>
          <w:rFonts w:eastAsiaTheme="minorEastAsia"/>
        </w:rPr>
      </w:pPr>
    </w:p>
    <w:p w14:paraId="766E3D9E" w14:textId="75709BED" w:rsidR="00C91401" w:rsidRPr="007C705C" w:rsidRDefault="00C91401" w:rsidP="0093556C">
      <w:pPr>
        <w:pStyle w:val="UZEINormaln"/>
      </w:pPr>
    </w:p>
    <w:sectPr w:rsidR="00C91401" w:rsidRPr="007C705C">
      <w:headerReference w:type="even" r:id="rId91"/>
      <w:headerReference w:type="default" r:id="rId92"/>
      <w:footerReference w:type="default" r:id="rId93"/>
      <w:headerReference w:type="first" r:id="rId94"/>
      <w:pgSz w:w="11906" w:h="16838"/>
      <w:pgMar w:top="1440" w:right="1440" w:bottom="1440" w:left="1440"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93EBE3" w16cex:dateUtc="2022-01-20T13:1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43748265" w16cid:durableId="2593EBE3"/>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186475F" w14:textId="77777777" w:rsidR="00DD15F0" w:rsidRDefault="00DD15F0" w:rsidP="00B87E14">
      <w:r>
        <w:separator/>
      </w:r>
    </w:p>
  </w:endnote>
  <w:endnote w:type="continuationSeparator" w:id="0">
    <w:p w14:paraId="2B97571F" w14:textId="77777777" w:rsidR="00DD15F0" w:rsidRDefault="00DD15F0" w:rsidP="00B87E14">
      <w:r>
        <w:continuationSeparator/>
      </w:r>
    </w:p>
  </w:endnote>
  <w:endnote w:type="continuationNotice" w:id="1">
    <w:p w14:paraId="64FE4404" w14:textId="77777777" w:rsidR="00DD15F0" w:rsidRDefault="00DD15F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Verdana">
    <w:panose1 w:val="020B0604030504040204"/>
    <w:charset w:val="EE"/>
    <w:family w:val="swiss"/>
    <w:pitch w:val="variable"/>
    <w:sig w:usb0="A00006FF" w:usb1="4000205B" w:usb2="00000010" w:usb3="00000000" w:csb0="000001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00002FF" w:usb1="4000ACFF" w:usb2="00000001"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TimesNewRomanPSMT">
    <w:altName w:val="Times New Roman"/>
    <w:panose1 w:val="00000000000000000000"/>
    <w:charset w:val="EE"/>
    <w:family w:val="roman"/>
    <w:notTrueType/>
    <w:pitch w:val="default"/>
    <w:sig w:usb0="00000001" w:usb1="00000000" w:usb2="00000000" w:usb3="00000000" w:csb0="00000003"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81337E" w14:textId="77777777" w:rsidR="00DD15F0" w:rsidRDefault="00DD15F0">
    <w:pPr>
      <w:pStyle w:val="Zpat"/>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50241669"/>
      <w:docPartObj>
        <w:docPartGallery w:val="Page Numbers (Bottom of Page)"/>
        <w:docPartUnique/>
      </w:docPartObj>
    </w:sdtPr>
    <w:sdtContent>
      <w:p w14:paraId="6670FB55" w14:textId="526D5ECE" w:rsidR="00DD15F0" w:rsidRDefault="00DD15F0">
        <w:pPr>
          <w:pStyle w:val="Zpat"/>
          <w:jc w:val="center"/>
        </w:pPr>
        <w:r>
          <w:fldChar w:fldCharType="begin"/>
        </w:r>
        <w:r>
          <w:instrText>PAGE   \* MERGEFORMAT</w:instrText>
        </w:r>
        <w:r>
          <w:fldChar w:fldCharType="separate"/>
        </w:r>
        <w:r w:rsidR="00315A11" w:rsidRPr="00315A11">
          <w:rPr>
            <w:noProof/>
            <w:lang w:val="cs-CZ"/>
          </w:rPr>
          <w:t>178</w:t>
        </w:r>
        <w:r>
          <w:fldChar w:fldCharType="end"/>
        </w:r>
      </w:p>
    </w:sdtContent>
  </w:sdt>
  <w:p w14:paraId="1766D528" w14:textId="77777777" w:rsidR="00DD15F0" w:rsidRDefault="00DD15F0">
    <w:pPr>
      <w:pStyle w:val="Zpat"/>
    </w:pPr>
  </w:p>
  <w:p w14:paraId="7A070519" w14:textId="77777777" w:rsidR="00DD15F0" w:rsidRDefault="00DD15F0"/>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50218486"/>
      <w:docPartObj>
        <w:docPartGallery w:val="Page Numbers (Bottom of Page)"/>
        <w:docPartUnique/>
      </w:docPartObj>
    </w:sdtPr>
    <w:sdtContent>
      <w:p w14:paraId="73ECCE0C" w14:textId="0C6B172D" w:rsidR="00DD15F0" w:rsidRDefault="00DD15F0">
        <w:pPr>
          <w:pStyle w:val="Zpat"/>
          <w:jc w:val="center"/>
        </w:pPr>
        <w:r>
          <w:fldChar w:fldCharType="begin"/>
        </w:r>
        <w:r>
          <w:instrText>PAGE   \* MERGEFORMAT</w:instrText>
        </w:r>
        <w:r>
          <w:fldChar w:fldCharType="separate"/>
        </w:r>
        <w:r w:rsidR="00315A11">
          <w:rPr>
            <w:noProof/>
          </w:rPr>
          <w:t>97</w:t>
        </w:r>
        <w:r>
          <w:fldChar w:fldCharType="end"/>
        </w:r>
      </w:p>
    </w:sdtContent>
  </w:sdt>
  <w:p w14:paraId="5EA9A735" w14:textId="77777777" w:rsidR="00DD15F0" w:rsidRDefault="00DD15F0">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4A0" w:firstRow="1" w:lastRow="0" w:firstColumn="1" w:lastColumn="0" w:noHBand="0" w:noVBand="1"/>
    </w:tblPr>
    <w:tblGrid>
      <w:gridCol w:w="3024"/>
      <w:gridCol w:w="3024"/>
      <w:gridCol w:w="3024"/>
    </w:tblGrid>
    <w:tr w:rsidR="00DD15F0" w14:paraId="147060A0" w14:textId="77777777" w:rsidTr="004D2249">
      <w:tc>
        <w:tcPr>
          <w:tcW w:w="3024" w:type="dxa"/>
        </w:tcPr>
        <w:p w14:paraId="3D82D560" w14:textId="77777777" w:rsidR="00DD15F0" w:rsidRDefault="00DD15F0" w:rsidP="004D2249">
          <w:pPr>
            <w:pStyle w:val="Zhlav"/>
            <w:ind w:left="-115"/>
            <w:jc w:val="left"/>
          </w:pPr>
        </w:p>
      </w:tc>
      <w:tc>
        <w:tcPr>
          <w:tcW w:w="3024" w:type="dxa"/>
        </w:tcPr>
        <w:p w14:paraId="5F40A069" w14:textId="77777777" w:rsidR="00DD15F0" w:rsidRDefault="00DD15F0" w:rsidP="004D2249">
          <w:pPr>
            <w:pStyle w:val="Zhlav"/>
            <w:jc w:val="center"/>
          </w:pPr>
        </w:p>
      </w:tc>
      <w:tc>
        <w:tcPr>
          <w:tcW w:w="3024" w:type="dxa"/>
        </w:tcPr>
        <w:p w14:paraId="4D56C27F" w14:textId="77777777" w:rsidR="00DD15F0" w:rsidRDefault="00DD15F0" w:rsidP="004D2249">
          <w:pPr>
            <w:pStyle w:val="Zhlav"/>
            <w:ind w:right="-115"/>
            <w:jc w:val="right"/>
          </w:pPr>
        </w:p>
      </w:tc>
    </w:tr>
  </w:tbl>
  <w:p w14:paraId="36378F7A" w14:textId="77777777" w:rsidR="00DD15F0" w:rsidRDefault="00DD15F0">
    <w:pPr>
      <w:pStyle w:val="Zpat"/>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4A0" w:firstRow="1" w:lastRow="0" w:firstColumn="1" w:lastColumn="0" w:noHBand="0" w:noVBand="1"/>
    </w:tblPr>
    <w:tblGrid>
      <w:gridCol w:w="4668"/>
      <w:gridCol w:w="4668"/>
      <w:gridCol w:w="4668"/>
    </w:tblGrid>
    <w:tr w:rsidR="00DD15F0" w14:paraId="026F691E" w14:textId="77777777" w:rsidTr="004D2249">
      <w:tc>
        <w:tcPr>
          <w:tcW w:w="4668" w:type="dxa"/>
        </w:tcPr>
        <w:p w14:paraId="16C62EB5" w14:textId="77777777" w:rsidR="00DD15F0" w:rsidRDefault="00DD15F0" w:rsidP="004D2249">
          <w:pPr>
            <w:pStyle w:val="Zhlav"/>
            <w:ind w:left="-115"/>
            <w:jc w:val="left"/>
          </w:pPr>
        </w:p>
      </w:tc>
      <w:tc>
        <w:tcPr>
          <w:tcW w:w="4668" w:type="dxa"/>
        </w:tcPr>
        <w:p w14:paraId="4BFA985D" w14:textId="77777777" w:rsidR="00DD15F0" w:rsidRDefault="00DD15F0" w:rsidP="004D2249">
          <w:pPr>
            <w:pStyle w:val="Zhlav"/>
            <w:jc w:val="center"/>
          </w:pPr>
        </w:p>
      </w:tc>
      <w:tc>
        <w:tcPr>
          <w:tcW w:w="4668" w:type="dxa"/>
        </w:tcPr>
        <w:p w14:paraId="67B413FB" w14:textId="77777777" w:rsidR="00DD15F0" w:rsidRDefault="00DD15F0" w:rsidP="004D2249">
          <w:pPr>
            <w:pStyle w:val="Zhlav"/>
            <w:ind w:right="-115"/>
            <w:jc w:val="right"/>
          </w:pPr>
        </w:p>
      </w:tc>
    </w:tr>
  </w:tbl>
  <w:p w14:paraId="07204AB7" w14:textId="77777777" w:rsidR="00DD15F0" w:rsidRDefault="00DD15F0">
    <w:pPr>
      <w:pStyle w:val="Zpat"/>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4A0" w:firstRow="1" w:lastRow="0" w:firstColumn="1" w:lastColumn="0" w:noHBand="0" w:noVBand="1"/>
    </w:tblPr>
    <w:tblGrid>
      <w:gridCol w:w="3024"/>
      <w:gridCol w:w="3024"/>
      <w:gridCol w:w="3024"/>
    </w:tblGrid>
    <w:tr w:rsidR="00DD15F0" w14:paraId="5E9DBE3A" w14:textId="77777777" w:rsidTr="004D2249">
      <w:tc>
        <w:tcPr>
          <w:tcW w:w="3024" w:type="dxa"/>
        </w:tcPr>
        <w:p w14:paraId="729049F7" w14:textId="77777777" w:rsidR="00DD15F0" w:rsidRDefault="00DD15F0" w:rsidP="004D2249">
          <w:pPr>
            <w:pStyle w:val="Zhlav"/>
            <w:ind w:left="-115"/>
            <w:jc w:val="left"/>
          </w:pPr>
        </w:p>
      </w:tc>
      <w:tc>
        <w:tcPr>
          <w:tcW w:w="3024" w:type="dxa"/>
        </w:tcPr>
        <w:p w14:paraId="247273CE" w14:textId="77777777" w:rsidR="00DD15F0" w:rsidRDefault="00DD15F0" w:rsidP="004D2249">
          <w:pPr>
            <w:pStyle w:val="Zhlav"/>
            <w:jc w:val="center"/>
          </w:pPr>
        </w:p>
      </w:tc>
      <w:tc>
        <w:tcPr>
          <w:tcW w:w="3024" w:type="dxa"/>
        </w:tcPr>
        <w:p w14:paraId="55D16F0A" w14:textId="77777777" w:rsidR="00DD15F0" w:rsidRDefault="00DD15F0" w:rsidP="004D2249">
          <w:pPr>
            <w:pStyle w:val="Zhlav"/>
            <w:ind w:right="-115"/>
            <w:jc w:val="right"/>
          </w:pPr>
        </w:p>
      </w:tc>
    </w:tr>
  </w:tbl>
  <w:p w14:paraId="6497B0FA" w14:textId="77777777" w:rsidR="00DD15F0" w:rsidRDefault="00DD15F0">
    <w:pPr>
      <w:pStyle w:val="Zpat"/>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4A0" w:firstRow="1" w:lastRow="0" w:firstColumn="1" w:lastColumn="0" w:noHBand="0" w:noVBand="1"/>
    </w:tblPr>
    <w:tblGrid>
      <w:gridCol w:w="4668"/>
      <w:gridCol w:w="4668"/>
      <w:gridCol w:w="4668"/>
    </w:tblGrid>
    <w:tr w:rsidR="00DD15F0" w14:paraId="2A1696F3" w14:textId="77777777" w:rsidTr="004D2249">
      <w:tc>
        <w:tcPr>
          <w:tcW w:w="4668" w:type="dxa"/>
        </w:tcPr>
        <w:p w14:paraId="6479A35B" w14:textId="77777777" w:rsidR="00DD15F0" w:rsidRDefault="00DD15F0" w:rsidP="004D2249">
          <w:pPr>
            <w:pStyle w:val="Zhlav"/>
            <w:ind w:left="-115"/>
            <w:jc w:val="left"/>
          </w:pPr>
        </w:p>
      </w:tc>
      <w:tc>
        <w:tcPr>
          <w:tcW w:w="4668" w:type="dxa"/>
        </w:tcPr>
        <w:p w14:paraId="297CBA6B" w14:textId="77777777" w:rsidR="00DD15F0" w:rsidRDefault="00DD15F0" w:rsidP="004D2249">
          <w:pPr>
            <w:pStyle w:val="Zhlav"/>
            <w:jc w:val="center"/>
          </w:pPr>
        </w:p>
      </w:tc>
      <w:tc>
        <w:tcPr>
          <w:tcW w:w="4668" w:type="dxa"/>
        </w:tcPr>
        <w:p w14:paraId="310864FA" w14:textId="77777777" w:rsidR="00DD15F0" w:rsidRDefault="00DD15F0" w:rsidP="004D2249">
          <w:pPr>
            <w:pStyle w:val="Zhlav"/>
            <w:ind w:right="-115"/>
            <w:jc w:val="right"/>
          </w:pPr>
        </w:p>
      </w:tc>
    </w:tr>
  </w:tbl>
  <w:p w14:paraId="3FA9B0BC" w14:textId="77777777" w:rsidR="00DD15F0" w:rsidRDefault="00DD15F0">
    <w:pPr>
      <w:pStyle w:val="Zpat"/>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4A0" w:firstRow="1" w:lastRow="0" w:firstColumn="1" w:lastColumn="0" w:noHBand="0" w:noVBand="1"/>
    </w:tblPr>
    <w:tblGrid>
      <w:gridCol w:w="3024"/>
      <w:gridCol w:w="3024"/>
      <w:gridCol w:w="3024"/>
    </w:tblGrid>
    <w:tr w:rsidR="00DD15F0" w14:paraId="3EBB290E" w14:textId="77777777" w:rsidTr="004D2249">
      <w:tc>
        <w:tcPr>
          <w:tcW w:w="3024" w:type="dxa"/>
        </w:tcPr>
        <w:p w14:paraId="5057F55D" w14:textId="77777777" w:rsidR="00DD15F0" w:rsidRDefault="00DD15F0" w:rsidP="004D2249">
          <w:pPr>
            <w:pStyle w:val="Zhlav"/>
            <w:ind w:left="-115"/>
            <w:jc w:val="left"/>
          </w:pPr>
        </w:p>
      </w:tc>
      <w:tc>
        <w:tcPr>
          <w:tcW w:w="3024" w:type="dxa"/>
        </w:tcPr>
        <w:p w14:paraId="596CBE1D" w14:textId="77777777" w:rsidR="00DD15F0" w:rsidRDefault="00DD15F0" w:rsidP="004D2249">
          <w:pPr>
            <w:pStyle w:val="Zhlav"/>
            <w:jc w:val="center"/>
          </w:pPr>
        </w:p>
      </w:tc>
      <w:tc>
        <w:tcPr>
          <w:tcW w:w="3024" w:type="dxa"/>
        </w:tcPr>
        <w:p w14:paraId="3BC63A66" w14:textId="77777777" w:rsidR="00DD15F0" w:rsidRDefault="00DD15F0" w:rsidP="004D2249">
          <w:pPr>
            <w:pStyle w:val="Zhlav"/>
            <w:ind w:right="-115"/>
            <w:jc w:val="right"/>
          </w:pPr>
        </w:p>
      </w:tc>
    </w:tr>
  </w:tbl>
  <w:p w14:paraId="2D22DB4C" w14:textId="77777777" w:rsidR="00DD15F0" w:rsidRDefault="00DD15F0">
    <w:pPr>
      <w:pStyle w:val="Zpat"/>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4A0" w:firstRow="1" w:lastRow="0" w:firstColumn="1" w:lastColumn="0" w:noHBand="0" w:noVBand="1"/>
    </w:tblPr>
    <w:tblGrid>
      <w:gridCol w:w="4668"/>
      <w:gridCol w:w="4668"/>
      <w:gridCol w:w="4668"/>
    </w:tblGrid>
    <w:tr w:rsidR="00DD15F0" w14:paraId="4910549A" w14:textId="77777777" w:rsidTr="004D2249">
      <w:tc>
        <w:tcPr>
          <w:tcW w:w="4668" w:type="dxa"/>
        </w:tcPr>
        <w:p w14:paraId="4E6F921A" w14:textId="77777777" w:rsidR="00DD15F0" w:rsidRDefault="00DD15F0" w:rsidP="004D2249">
          <w:pPr>
            <w:pStyle w:val="Zhlav"/>
            <w:ind w:left="-115"/>
            <w:jc w:val="left"/>
          </w:pPr>
        </w:p>
      </w:tc>
      <w:tc>
        <w:tcPr>
          <w:tcW w:w="4668" w:type="dxa"/>
        </w:tcPr>
        <w:p w14:paraId="2944D13A" w14:textId="77777777" w:rsidR="00DD15F0" w:rsidRDefault="00DD15F0" w:rsidP="004D2249">
          <w:pPr>
            <w:pStyle w:val="Zhlav"/>
            <w:jc w:val="center"/>
          </w:pPr>
        </w:p>
      </w:tc>
      <w:tc>
        <w:tcPr>
          <w:tcW w:w="4668" w:type="dxa"/>
        </w:tcPr>
        <w:p w14:paraId="501B797B" w14:textId="77777777" w:rsidR="00DD15F0" w:rsidRDefault="00DD15F0" w:rsidP="004D2249">
          <w:pPr>
            <w:pStyle w:val="Zhlav"/>
            <w:ind w:right="-115"/>
            <w:jc w:val="right"/>
          </w:pPr>
        </w:p>
      </w:tc>
    </w:tr>
  </w:tbl>
  <w:p w14:paraId="128A6786" w14:textId="77777777" w:rsidR="00DD15F0" w:rsidRDefault="00DD15F0">
    <w:pPr>
      <w:pStyle w:val="Zpat"/>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4A0" w:firstRow="1" w:lastRow="0" w:firstColumn="1" w:lastColumn="0" w:noHBand="0" w:noVBand="1"/>
    </w:tblPr>
    <w:tblGrid>
      <w:gridCol w:w="3024"/>
      <w:gridCol w:w="3024"/>
      <w:gridCol w:w="3024"/>
    </w:tblGrid>
    <w:tr w:rsidR="00DD15F0" w14:paraId="0DF85629" w14:textId="77777777" w:rsidTr="004D2249">
      <w:tc>
        <w:tcPr>
          <w:tcW w:w="3024" w:type="dxa"/>
        </w:tcPr>
        <w:p w14:paraId="292F9261" w14:textId="77777777" w:rsidR="00DD15F0" w:rsidRDefault="00DD15F0" w:rsidP="004D2249">
          <w:pPr>
            <w:pStyle w:val="Zhlav"/>
            <w:ind w:left="-115"/>
            <w:jc w:val="left"/>
          </w:pPr>
        </w:p>
      </w:tc>
      <w:tc>
        <w:tcPr>
          <w:tcW w:w="3024" w:type="dxa"/>
        </w:tcPr>
        <w:p w14:paraId="210F6E0E" w14:textId="77777777" w:rsidR="00DD15F0" w:rsidRDefault="00DD15F0" w:rsidP="004D2249">
          <w:pPr>
            <w:pStyle w:val="Zhlav"/>
            <w:jc w:val="center"/>
          </w:pPr>
        </w:p>
      </w:tc>
      <w:tc>
        <w:tcPr>
          <w:tcW w:w="3024" w:type="dxa"/>
        </w:tcPr>
        <w:p w14:paraId="67FDC841" w14:textId="77777777" w:rsidR="00DD15F0" w:rsidRDefault="00DD15F0" w:rsidP="004D2249">
          <w:pPr>
            <w:pStyle w:val="Zhlav"/>
            <w:ind w:right="-115"/>
            <w:jc w:val="right"/>
          </w:pPr>
        </w:p>
      </w:tc>
    </w:tr>
  </w:tbl>
  <w:p w14:paraId="0B0E0FA1" w14:textId="77777777" w:rsidR="00DD15F0" w:rsidRDefault="00DD15F0">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F883BFF" w14:textId="77777777" w:rsidR="00DD15F0" w:rsidRDefault="00DD15F0" w:rsidP="00B87E14">
      <w:r>
        <w:separator/>
      </w:r>
    </w:p>
  </w:footnote>
  <w:footnote w:type="continuationSeparator" w:id="0">
    <w:p w14:paraId="7866A175" w14:textId="77777777" w:rsidR="00DD15F0" w:rsidRDefault="00DD15F0" w:rsidP="00B87E14">
      <w:r>
        <w:continuationSeparator/>
      </w:r>
    </w:p>
  </w:footnote>
  <w:footnote w:type="continuationNotice" w:id="1">
    <w:p w14:paraId="6B7EAFE0" w14:textId="77777777" w:rsidR="00DD15F0" w:rsidRDefault="00DD15F0"/>
  </w:footnote>
  <w:footnote w:id="2">
    <w:p w14:paraId="5A2C50AF" w14:textId="77777777" w:rsidR="00DD15F0" w:rsidRDefault="00DD15F0" w:rsidP="003E0F58">
      <w:pPr>
        <w:pStyle w:val="Textpoznpodarou"/>
      </w:pPr>
      <w:r>
        <w:rPr>
          <w:rStyle w:val="Znakapoznpodarou"/>
        </w:rPr>
        <w:footnoteRef/>
      </w:r>
      <w:r>
        <w:t xml:space="preserve"> opírá se o Strategii rezortu zemědělství do roku 2030</w:t>
      </w:r>
    </w:p>
  </w:footnote>
  <w:footnote w:id="3">
    <w:p w14:paraId="59BF2137" w14:textId="77777777" w:rsidR="00DD15F0" w:rsidRDefault="00DD15F0" w:rsidP="00DE509C">
      <w:pPr>
        <w:pStyle w:val="Textpoznpodarou"/>
      </w:pPr>
      <w:r>
        <w:rPr>
          <w:rStyle w:val="Znakapoznpodarou"/>
        </w:rPr>
        <w:footnoteRef/>
      </w:r>
      <w:r>
        <w:t xml:space="preserve">zavést </w:t>
      </w:r>
      <w:r w:rsidRPr="3531F83E">
        <w:rPr>
          <w:rFonts w:eastAsiaTheme="minorEastAsia"/>
        </w:rPr>
        <w:t>v souladu s rostlinolékařským zákonem</w:t>
      </w:r>
    </w:p>
  </w:footnote>
  <w:footnote w:id="4">
    <w:p w14:paraId="7AC761F3" w14:textId="77777777" w:rsidR="00DD15F0" w:rsidRDefault="00DD15F0" w:rsidP="003E0F58">
      <w:pPr>
        <w:pStyle w:val="Textpoznpodarou"/>
      </w:pPr>
      <w:r>
        <w:rPr>
          <w:rStyle w:val="Znakapoznpodarou"/>
        </w:rPr>
        <w:footnoteRef/>
      </w:r>
      <w:r>
        <w:t xml:space="preserve"> týká se teplých nížinných oblastí</w:t>
      </w:r>
    </w:p>
  </w:footnote>
  <w:footnote w:id="5">
    <w:p w14:paraId="4E0597E5" w14:textId="77777777" w:rsidR="00DD15F0" w:rsidRDefault="00DD15F0" w:rsidP="003E0F58">
      <w:pPr>
        <w:pStyle w:val="Textpoznpodarou"/>
      </w:pPr>
      <w:r>
        <w:rPr>
          <w:rStyle w:val="Znakapoznpodarou"/>
        </w:rPr>
        <w:footnoteRef/>
      </w:r>
      <w:r>
        <w:t xml:space="preserve"> </w:t>
      </w:r>
      <w:r w:rsidRPr="3531F83E">
        <w:rPr>
          <w:rFonts w:eastAsiaTheme="minorEastAsia"/>
        </w:rPr>
        <w:t>U zranitelných území s nerentabilní produkcí</w:t>
      </w:r>
    </w:p>
  </w:footnote>
  <w:footnote w:id="6">
    <w:p w14:paraId="47A10654" w14:textId="77777777" w:rsidR="00DD15F0" w:rsidRDefault="00DD15F0" w:rsidP="003E0F58">
      <w:pPr>
        <w:pStyle w:val="Textpoznpodarou"/>
      </w:pPr>
      <w:r>
        <w:rPr>
          <w:rStyle w:val="Znakapoznpodarou"/>
        </w:rPr>
        <w:footnoteRef/>
      </w:r>
      <w:r>
        <w:t xml:space="preserve"> degradace živé složky = snižuje se infilt. a ret. kap. půd</w:t>
      </w:r>
    </w:p>
  </w:footnote>
  <w:footnote w:id="7">
    <w:p w14:paraId="077CB211" w14:textId="77777777" w:rsidR="00DD15F0" w:rsidRDefault="00DD15F0" w:rsidP="003E0F58">
      <w:pPr>
        <w:pStyle w:val="Textpoznpodarou"/>
      </w:pPr>
      <w:r>
        <w:rPr>
          <w:rStyle w:val="Znakapoznpodarou"/>
        </w:rPr>
        <w:footnoteRef/>
      </w:r>
      <w:r>
        <w:t xml:space="preserve"> </w:t>
      </w:r>
      <w:r w:rsidRPr="3531F83E">
        <w:rPr>
          <w:rFonts w:eastAsiaTheme="minorEastAsia"/>
        </w:rPr>
        <w:t>přímé setí do rostlinných zbytků "No till", pásové zpracování půdy "Strip-till"</w:t>
      </w:r>
    </w:p>
  </w:footnote>
  <w:footnote w:id="8">
    <w:p w14:paraId="55C7D8B7" w14:textId="77777777" w:rsidR="00DD15F0" w:rsidRDefault="00DD15F0" w:rsidP="003E0F58">
      <w:pPr>
        <w:pStyle w:val="Textpoznpodarou"/>
      </w:pPr>
      <w:r>
        <w:rPr>
          <w:rStyle w:val="Znakapoznpodarou"/>
        </w:rPr>
        <w:footnoteRef/>
      </w:r>
      <w:r>
        <w:t xml:space="preserve"> </w:t>
      </w:r>
      <w:r w:rsidRPr="00F8648D">
        <w:t>Odvodnění půd systematickou drenáží se týká přibližně 25 % plochy zemědělské půdy ČR</w:t>
      </w:r>
    </w:p>
  </w:footnote>
  <w:footnote w:id="9">
    <w:p w14:paraId="6ED1DA91" w14:textId="77777777" w:rsidR="00DD15F0" w:rsidRDefault="00DD15F0" w:rsidP="003E0F58">
      <w:pPr>
        <w:pStyle w:val="Textpoznpodarou"/>
      </w:pPr>
      <w:r>
        <w:rPr>
          <w:rStyle w:val="Znakapoznpodarou"/>
        </w:rPr>
        <w:footnoteRef/>
      </w:r>
      <w:r>
        <w:t xml:space="preserve"> nejsou na trhu firmy, které by nabízely formou služeb</w:t>
      </w:r>
    </w:p>
  </w:footnote>
  <w:footnote w:id="10">
    <w:p w14:paraId="03BAD0B6" w14:textId="77777777" w:rsidR="00DD15F0" w:rsidRDefault="00DD15F0" w:rsidP="003E0F58">
      <w:pPr>
        <w:pStyle w:val="Textpoznpodarou"/>
      </w:pPr>
      <w:r>
        <w:rPr>
          <w:rStyle w:val="Znakapoznpodarou"/>
        </w:rPr>
        <w:footnoteRef/>
      </w:r>
      <w:r>
        <w:t xml:space="preserve"> KVET – kombinovaná výroba elektřiny a tepla</w:t>
      </w:r>
    </w:p>
  </w:footnote>
  <w:footnote w:id="11">
    <w:p w14:paraId="30E5761D" w14:textId="77777777" w:rsidR="00DD15F0" w:rsidRDefault="00DD15F0" w:rsidP="003E0F58">
      <w:pPr>
        <w:pStyle w:val="Textpoznpodarou"/>
      </w:pPr>
      <w:r>
        <w:rPr>
          <w:rStyle w:val="Znakapoznpodarou"/>
        </w:rPr>
        <w:footnoteRef/>
      </w:r>
      <w:r>
        <w:t xml:space="preserve"> SZT – soustava zásobování teplem</w:t>
      </w:r>
    </w:p>
  </w:footnote>
  <w:footnote w:id="12">
    <w:p w14:paraId="6DF0FF83" w14:textId="77777777" w:rsidR="00DD15F0" w:rsidRDefault="00DD15F0" w:rsidP="003E0F58">
      <w:pPr>
        <w:pStyle w:val="Textpoznpodarou"/>
      </w:pPr>
      <w:r>
        <w:rPr>
          <w:rStyle w:val="Znakapoznpodarou"/>
        </w:rPr>
        <w:footnoteRef/>
      </w:r>
      <w:r>
        <w:t xml:space="preserve"> </w:t>
      </w:r>
      <w:r w:rsidRPr="00317A93">
        <w:t>V rámci EU je tato problematika asi nejlépe řešena ve Francii programem 4 per 1000, jehož cílem je zvýšení obsahu organického uhlíku v půdě 0.4</w:t>
      </w:r>
      <w:r>
        <w:t xml:space="preserve"> </w:t>
      </w:r>
      <w:r w:rsidRPr="00317A93">
        <w:t>% za rok, což je množství, které by umožňovalo kompenzovat globální emise skleníkových plynů.</w:t>
      </w:r>
    </w:p>
  </w:footnote>
  <w:footnote w:id="13">
    <w:p w14:paraId="518741A5" w14:textId="77777777" w:rsidR="00DD15F0" w:rsidRDefault="00DD15F0" w:rsidP="003E0F58">
      <w:pPr>
        <w:pStyle w:val="Textpoznpodarou"/>
      </w:pPr>
      <w:r>
        <w:rPr>
          <w:rStyle w:val="Znakapoznpodarou"/>
        </w:rPr>
        <w:footnoteRef/>
      </w:r>
      <w:r>
        <w:t xml:space="preserve"> </w:t>
      </w:r>
      <w:r w:rsidRPr="00F8648D">
        <w:t>Odvodnění půd systematickou drenáží se týká přibližně 25 % plochy zemědělské půdy ČR</w:t>
      </w:r>
    </w:p>
  </w:footnote>
  <w:footnote w:id="14">
    <w:p w14:paraId="4CEE36ED" w14:textId="77777777" w:rsidR="00DD15F0" w:rsidRPr="00812975" w:rsidRDefault="00DD15F0" w:rsidP="003E0F58">
      <w:pPr>
        <w:pStyle w:val="Textpoznpodarou"/>
        <w:rPr>
          <w:sz w:val="18"/>
          <w:szCs w:val="18"/>
        </w:rPr>
      </w:pPr>
      <w:r>
        <w:rPr>
          <w:rStyle w:val="Znakapoznpodarou"/>
        </w:rPr>
        <w:footnoteRef/>
      </w:r>
      <w:r w:rsidRPr="28357D27">
        <w:t xml:space="preserve"> </w:t>
      </w:r>
      <w:r w:rsidRPr="00812975">
        <w:rPr>
          <w:rFonts w:eastAsiaTheme="minorEastAsia"/>
          <w:sz w:val="18"/>
          <w:szCs w:val="18"/>
        </w:rPr>
        <w:t>Dáno cenami energií na trhu. Konkurenceschopnost nedotovaných cen energií z OZE v porovnání s fosilními palivy je mmj. nízká proto, že ceny energií z fosilních paliv nezahrnují i cenu negativních externalit, které společnosti přináší.</w:t>
      </w:r>
    </w:p>
  </w:footnote>
  <w:footnote w:id="15">
    <w:p w14:paraId="69BDEFB9" w14:textId="77777777" w:rsidR="00DD15F0" w:rsidRDefault="00DD15F0" w:rsidP="003E0F58">
      <w:pPr>
        <w:pStyle w:val="Textpoznpodarou"/>
      </w:pPr>
      <w:r>
        <w:rPr>
          <w:rStyle w:val="Znakapoznpodarou"/>
        </w:rPr>
        <w:footnoteRef/>
      </w:r>
      <w:r>
        <w:t xml:space="preserve"> </w:t>
      </w:r>
      <w:r w:rsidRPr="009E6D58">
        <w:t>Tento materiál se zabývá zpracováním analytické části z pohledu Příspěvku k přizpůsobení se změnám klimatu a jejich zmírnění</w:t>
      </w:r>
      <w:r>
        <w:t xml:space="preserve"> na zemědělské půdě</w:t>
      </w:r>
      <w:r w:rsidRPr="009E6D58">
        <w:t>. Podkladový analytický text, který se specificky zabývá pouze pozemky určenými k plnění funkcí lesa a je současně podkladem pro výstupy a závěry této analýzy, je součástí průřezové analýzy specifickými cíli „Analýzy problémových témat k řešení v rámci programového období 2021-2027“ části „Specifický cíl D. Příspěvek k přizpůsobení se změnám klimatu a jejich zmírnění“.</w:t>
      </w:r>
    </w:p>
  </w:footnote>
  <w:footnote w:id="16">
    <w:p w14:paraId="36A26CF1" w14:textId="77777777" w:rsidR="00DD15F0" w:rsidRDefault="00DD15F0" w:rsidP="003E0F58">
      <w:pPr>
        <w:pStyle w:val="Textpoznpodarou"/>
      </w:pPr>
      <w:r>
        <w:rPr>
          <w:rStyle w:val="Znakapoznpodarou"/>
        </w:rPr>
        <w:footnoteRef/>
      </w:r>
      <w:r>
        <w:t xml:space="preserve"> </w:t>
      </w:r>
      <w:r w:rsidRPr="000C58ED">
        <w:t>nastavení kritérií je řešeno nejčastěji aplikací výpočetního modelu vstupů a výstupů C v půdě v různém managementu hospodaření</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3C3483" w14:textId="35FC8D33" w:rsidR="00DD15F0" w:rsidRDefault="00DD15F0">
    <w:pPr>
      <w:pStyle w:val="Zhlav"/>
    </w:pPr>
    <w:r>
      <w:rPr>
        <w:noProof/>
      </w:rPr>
      <w:pict w14:anchorId="636726A1">
        <v:shapetype id="_x0000_t202" coordsize="21600,21600" o:spt="202" path="m,l,21600r21600,l21600,xe">
          <v:stroke joinstyle="miter"/>
          <v:path gradientshapeok="t" o:connecttype="rect"/>
        </v:shapetype>
        <v:shape id="PowerPlusWaterMarkObject3450422" o:spid="_x0000_s2067" type="#_x0000_t202" style="position:absolute;left:0;text-align:left;margin-left:0;margin-top:0;width:456.8pt;height:182.7pt;rotation:-45;z-index:-25165824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" o:allowincell="f" filled="f" stroked="f">
          <o:lock v:ext="edit" aspectratio="t" verticies="t" shapetype="t"/>
          <v:textbox style="mso-next-textbox:#PowerPlusWaterMarkObject3450422">
            <w:txbxContent>
              <w:p w14:paraId="103A2023" w14:textId="77777777" w:rsidR="00DD15F0" w:rsidRDefault="00DD15F0" w:rsidP="004D2249">
                <w:pPr>
                  <w:jc w:val="center"/>
                  <w:rPr>
                    <w:color w:val="FFFF00"/>
                    <w:sz w:val="72"/>
                    <w:szCs w:val="72"/>
                    <w14:textFill>
                      <w14:solidFill>
                        <w14:srgbClr w14:val="FFFF00">
                          <w14:alpha w14:val="50000"/>
                        </w14:srgbClr>
                      </w14:solidFill>
                    </w14:textFill>
                  </w:rPr>
                </w:pPr>
                <w:r>
                  <w:rPr>
                    <w:color w:val="FFFF00"/>
                    <w:sz w:val="72"/>
                    <w:szCs w:val="72"/>
                    <w14:textFill>
                      <w14:solidFill>
                        <w14:srgbClr w14:val="FFFF00">
                          <w14:alpha w14:val="50000"/>
                        </w14:srgbClr>
                      </w14:solidFill>
                    </w14:textFill>
                  </w:rPr>
                  <w:t>draft</w:t>
                </w:r>
              </w:p>
            </w:txbxContent>
          </v:textbox>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616205" w14:textId="2C3DB976" w:rsidR="00DD15F0" w:rsidRDefault="00DD15F0">
    <w:pPr>
      <w:pStyle w:val="Zhlav"/>
    </w:pPr>
    <w:r>
      <w:rPr>
        <w:noProof/>
      </w:rPr>
      <w:pict w14:anchorId="5580208A">
        <v:shapetype id="_x0000_t202" coordsize="21600,21600" o:spt="202" path="m,l,21600r21600,l21600,xe">
          <v:stroke joinstyle="miter"/>
          <v:path gradientshapeok="t" o:connecttype="rect"/>
        </v:shapetype>
        <v:shape id="PowerPlusWaterMarkObject3450431" o:spid="_x0000_s2059" type="#_x0000_t202" style="position:absolute;left:0;text-align:left;margin-left:0;margin-top:0;width:456.8pt;height:182.7pt;rotation:-45;z-index:-251658231;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" o:allowincell="f" filled="f" stroked="f">
          <o:lock v:ext="edit" aspectratio="t" verticies="t" shapetype="t"/>
          <v:textbox style="mso-next-textbox:#PowerPlusWaterMarkObject3450431">
            <w:txbxContent>
              <w:p w14:paraId="2DB0867A" w14:textId="77777777" w:rsidR="00DD15F0" w:rsidRDefault="00DD15F0" w:rsidP="004D2249">
                <w:pPr>
                  <w:jc w:val="center"/>
                  <w:rPr>
                    <w:color w:val="FFFF00"/>
                    <w:sz w:val="72"/>
                    <w:szCs w:val="72"/>
                    <w14:textFill>
                      <w14:solidFill>
                        <w14:srgbClr w14:val="FFFF00">
                          <w14:alpha w14:val="50000"/>
                        </w14:srgbClr>
                      </w14:solidFill>
                    </w14:textFill>
                  </w:rPr>
                </w:pPr>
                <w:r>
                  <w:rPr>
                    <w:color w:val="FFFF00"/>
                    <w:sz w:val="72"/>
                    <w:szCs w:val="72"/>
                    <w14:textFill>
                      <w14:solidFill>
                        <w14:srgbClr w14:val="FFFF00">
                          <w14:alpha w14:val="50000"/>
                        </w14:srgbClr>
                      </w14:solidFill>
                    </w14:textFill>
                  </w:rPr>
                  <w:t>draft</w:t>
                </w:r>
              </w:p>
            </w:txbxContent>
          </v:textbox>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4A0" w:firstRow="1" w:lastRow="0" w:firstColumn="1" w:lastColumn="0" w:noHBand="0" w:noVBand="1"/>
    </w:tblPr>
    <w:tblGrid>
      <w:gridCol w:w="4668"/>
      <w:gridCol w:w="4668"/>
      <w:gridCol w:w="4668"/>
    </w:tblGrid>
    <w:tr w:rsidR="00DD15F0" w14:paraId="23CC12AF" w14:textId="77777777" w:rsidTr="004D2249">
      <w:tc>
        <w:tcPr>
          <w:tcW w:w="4668" w:type="dxa"/>
        </w:tcPr>
        <w:p w14:paraId="39E76DDA" w14:textId="77777777" w:rsidR="00DD15F0" w:rsidRDefault="00DD15F0" w:rsidP="004D2249">
          <w:pPr>
            <w:pStyle w:val="Zhlav"/>
            <w:ind w:left="-115"/>
            <w:jc w:val="left"/>
          </w:pPr>
        </w:p>
      </w:tc>
      <w:tc>
        <w:tcPr>
          <w:tcW w:w="4668" w:type="dxa"/>
        </w:tcPr>
        <w:p w14:paraId="7E6E14AA" w14:textId="77777777" w:rsidR="00DD15F0" w:rsidRDefault="00DD15F0" w:rsidP="004D2249">
          <w:pPr>
            <w:pStyle w:val="Zhlav"/>
            <w:jc w:val="center"/>
          </w:pPr>
        </w:p>
      </w:tc>
      <w:tc>
        <w:tcPr>
          <w:tcW w:w="4668" w:type="dxa"/>
        </w:tcPr>
        <w:p w14:paraId="601BC11B" w14:textId="77777777" w:rsidR="00DD15F0" w:rsidRDefault="00DD15F0" w:rsidP="004D2249">
          <w:pPr>
            <w:pStyle w:val="Zhlav"/>
            <w:ind w:right="-115"/>
            <w:jc w:val="right"/>
          </w:pPr>
        </w:p>
      </w:tc>
    </w:tr>
  </w:tbl>
  <w:p w14:paraId="66F5904C" w14:textId="5700AF2B" w:rsidR="00DD15F0" w:rsidRDefault="00DD15F0">
    <w:pPr>
      <w:pStyle w:val="Zhlav"/>
    </w:pPr>
    <w:r>
      <w:rPr>
        <w:noProof/>
      </w:rPr>
      <w:pict w14:anchorId="0841BD0A">
        <v:shapetype id="_x0000_t202" coordsize="21600,21600" o:spt="202" path="m,l,21600r21600,l21600,xe">
          <v:stroke joinstyle="miter"/>
          <v:path gradientshapeok="t" o:connecttype="rect"/>
        </v:shapetype>
        <v:shape id="PowerPlusWaterMarkObject3450432" o:spid="_x0000_s2058" type="#_x0000_t202" style="position:absolute;left:0;text-align:left;margin-left:0;margin-top:0;width:456.8pt;height:182.7pt;rotation:-45;z-index:-25165823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" o:allowincell="f" filled="f" stroked="f">
          <o:lock v:ext="edit" aspectratio="t" verticies="t" shapetype="t"/>
          <v:textbox style="mso-next-textbox:#PowerPlusWaterMarkObject3450432">
            <w:txbxContent>
              <w:p w14:paraId="3C245E0C" w14:textId="77777777" w:rsidR="00DD15F0" w:rsidRDefault="00DD15F0" w:rsidP="004D2249">
                <w:pPr>
                  <w:jc w:val="center"/>
                  <w:rPr>
                    <w:color w:val="FFFF00"/>
                    <w:sz w:val="72"/>
                    <w:szCs w:val="72"/>
                    <w14:textFill>
                      <w14:solidFill>
                        <w14:srgbClr w14:val="FFFF00">
                          <w14:alpha w14:val="50000"/>
                        </w14:srgbClr>
                      </w14:solidFill>
                    </w14:textFill>
                  </w:rPr>
                </w:pPr>
                <w:r>
                  <w:rPr>
                    <w:color w:val="FFFF00"/>
                    <w:sz w:val="72"/>
                    <w:szCs w:val="72"/>
                    <w14:textFill>
                      <w14:solidFill>
                        <w14:srgbClr w14:val="FFFF00">
                          <w14:alpha w14:val="50000"/>
                        </w14:srgbClr>
                      </w14:solidFill>
                    </w14:textFill>
                  </w:rPr>
                  <w:t>draft</w:t>
                </w:r>
              </w:p>
            </w:txbxContent>
          </v:textbox>
          <w10:wrap anchorx="margin" anchory="margin"/>
        </v:shape>
      </w:pict>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4A0" w:firstRow="1" w:lastRow="0" w:firstColumn="1" w:lastColumn="0" w:noHBand="0" w:noVBand="1"/>
    </w:tblPr>
    <w:tblGrid>
      <w:gridCol w:w="4668"/>
      <w:gridCol w:w="4668"/>
      <w:gridCol w:w="4668"/>
    </w:tblGrid>
    <w:tr w:rsidR="00DD15F0" w14:paraId="55099F4A" w14:textId="77777777" w:rsidTr="004D2249">
      <w:tc>
        <w:tcPr>
          <w:tcW w:w="4668" w:type="dxa"/>
        </w:tcPr>
        <w:p w14:paraId="23D8043D" w14:textId="77777777" w:rsidR="00DD15F0" w:rsidRDefault="00DD15F0" w:rsidP="004D2249">
          <w:pPr>
            <w:pStyle w:val="Zhlav"/>
            <w:ind w:left="-115"/>
            <w:jc w:val="left"/>
          </w:pPr>
        </w:p>
      </w:tc>
      <w:tc>
        <w:tcPr>
          <w:tcW w:w="4668" w:type="dxa"/>
        </w:tcPr>
        <w:p w14:paraId="31274B56" w14:textId="77777777" w:rsidR="00DD15F0" w:rsidRDefault="00DD15F0" w:rsidP="004D2249">
          <w:pPr>
            <w:pStyle w:val="Zhlav"/>
            <w:jc w:val="center"/>
          </w:pPr>
        </w:p>
      </w:tc>
      <w:tc>
        <w:tcPr>
          <w:tcW w:w="4668" w:type="dxa"/>
        </w:tcPr>
        <w:p w14:paraId="4B81FE67" w14:textId="77777777" w:rsidR="00DD15F0" w:rsidRDefault="00DD15F0" w:rsidP="004D2249">
          <w:pPr>
            <w:pStyle w:val="Zhlav"/>
            <w:ind w:right="-115"/>
            <w:jc w:val="right"/>
          </w:pPr>
        </w:p>
      </w:tc>
    </w:tr>
  </w:tbl>
  <w:p w14:paraId="6D30CCF8" w14:textId="504CF384" w:rsidR="00DD15F0" w:rsidRDefault="00DD15F0">
    <w:pPr>
      <w:pStyle w:val="Zhlav"/>
    </w:pPr>
    <w:r>
      <w:rPr>
        <w:noProof/>
      </w:rPr>
      <w:pict w14:anchorId="131A0287">
        <v:shapetype id="_x0000_t202" coordsize="21600,21600" o:spt="202" path="m,l,21600r21600,l21600,xe">
          <v:stroke joinstyle="miter"/>
          <v:path gradientshapeok="t" o:connecttype="rect"/>
        </v:shapetype>
        <v:shape id="PowerPlusWaterMarkObject3450430" o:spid="_x0000_s2057" type="#_x0000_t202" style="position:absolute;left:0;text-align:left;margin-left:0;margin-top:0;width:456.8pt;height:182.7pt;rotation:-45;z-index:-251658229;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" o:allowincell="f" filled="f" stroked="f">
          <o:lock v:ext="edit" aspectratio="t" verticies="t" shapetype="t"/>
          <v:textbox style="mso-next-textbox:#PowerPlusWaterMarkObject3450430">
            <w:txbxContent>
              <w:p w14:paraId="5068ED6A" w14:textId="77777777" w:rsidR="00DD15F0" w:rsidRDefault="00DD15F0" w:rsidP="004D2249">
                <w:pPr>
                  <w:jc w:val="center"/>
                  <w:rPr>
                    <w:color w:val="FFFF00"/>
                    <w:sz w:val="72"/>
                    <w:szCs w:val="72"/>
                    <w14:textFill>
                      <w14:solidFill>
                        <w14:srgbClr w14:val="FFFF00">
                          <w14:alpha w14:val="50000"/>
                        </w14:srgbClr>
                      </w14:solidFill>
                    </w14:textFill>
                  </w:rPr>
                </w:pPr>
                <w:r>
                  <w:rPr>
                    <w:color w:val="FFFF00"/>
                    <w:sz w:val="72"/>
                    <w:szCs w:val="72"/>
                    <w14:textFill>
                      <w14:solidFill>
                        <w14:srgbClr w14:val="FFFF00">
                          <w14:alpha w14:val="50000"/>
                        </w14:srgbClr>
                      </w14:solidFill>
                    </w14:textFill>
                  </w:rPr>
                  <w:t>draft</w:t>
                </w:r>
              </w:p>
            </w:txbxContent>
          </v:textbox>
          <w10:wrap anchorx="margin" anchory="margin"/>
        </v:shape>
      </w:pict>
    </w: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0025CC" w14:textId="3326E233" w:rsidR="00DD15F0" w:rsidRDefault="00DD15F0">
    <w:pPr>
      <w:pStyle w:val="Zhlav"/>
    </w:pPr>
    <w:r>
      <w:rPr>
        <w:noProof/>
      </w:rPr>
      <w:pict w14:anchorId="09E0AD09">
        <v:shapetype id="_x0000_t202" coordsize="21600,21600" o:spt="202" path="m,l,21600r21600,l21600,xe">
          <v:stroke joinstyle="miter"/>
          <v:path gradientshapeok="t" o:connecttype="rect"/>
        </v:shapetype>
        <v:shape id="PowerPlusWaterMarkObject3450434" o:spid="_x0000_s2056" type="#_x0000_t202" style="position:absolute;left:0;text-align:left;margin-left:0;margin-top:0;width:456.8pt;height:182.7pt;rotation:-45;z-index:-25165822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" o:allowincell="f" filled="f" stroked="f">
          <o:lock v:ext="edit" aspectratio="t" verticies="t" shapetype="t"/>
          <v:textbox style="mso-next-textbox:#PowerPlusWaterMarkObject3450434">
            <w:txbxContent>
              <w:p w14:paraId="24E1A81A" w14:textId="77777777" w:rsidR="00DD15F0" w:rsidRDefault="00DD15F0" w:rsidP="004D2249">
                <w:pPr>
                  <w:jc w:val="center"/>
                  <w:rPr>
                    <w:color w:val="FFFF00"/>
                    <w:sz w:val="72"/>
                    <w:szCs w:val="72"/>
                    <w14:textFill>
                      <w14:solidFill>
                        <w14:srgbClr w14:val="FFFF00">
                          <w14:alpha w14:val="50000"/>
                        </w14:srgbClr>
                      </w14:solidFill>
                    </w14:textFill>
                  </w:rPr>
                </w:pPr>
                <w:r>
                  <w:rPr>
                    <w:color w:val="FFFF00"/>
                    <w:sz w:val="72"/>
                    <w:szCs w:val="72"/>
                    <w14:textFill>
                      <w14:solidFill>
                        <w14:srgbClr w14:val="FFFF00">
                          <w14:alpha w14:val="50000"/>
                        </w14:srgbClr>
                      </w14:solidFill>
                    </w14:textFill>
                  </w:rPr>
                  <w:t>draft</w:t>
                </w:r>
              </w:p>
            </w:txbxContent>
          </v:textbox>
          <w10:wrap anchorx="margin" anchory="margin"/>
        </v:shape>
      </w:pict>
    </w: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4A0" w:firstRow="1" w:lastRow="0" w:firstColumn="1" w:lastColumn="0" w:noHBand="0" w:noVBand="1"/>
    </w:tblPr>
    <w:tblGrid>
      <w:gridCol w:w="3024"/>
      <w:gridCol w:w="3024"/>
      <w:gridCol w:w="3024"/>
    </w:tblGrid>
    <w:tr w:rsidR="00DD15F0" w14:paraId="53307D13" w14:textId="77777777" w:rsidTr="004D2249">
      <w:tc>
        <w:tcPr>
          <w:tcW w:w="3024" w:type="dxa"/>
        </w:tcPr>
        <w:p w14:paraId="08058D75" w14:textId="77777777" w:rsidR="00DD15F0" w:rsidRDefault="00DD15F0" w:rsidP="004D2249">
          <w:pPr>
            <w:pStyle w:val="Zhlav"/>
            <w:ind w:left="-115"/>
            <w:jc w:val="left"/>
          </w:pPr>
        </w:p>
      </w:tc>
      <w:tc>
        <w:tcPr>
          <w:tcW w:w="3024" w:type="dxa"/>
        </w:tcPr>
        <w:p w14:paraId="58107A60" w14:textId="77777777" w:rsidR="00DD15F0" w:rsidRDefault="00DD15F0" w:rsidP="004D2249">
          <w:pPr>
            <w:pStyle w:val="Zhlav"/>
            <w:jc w:val="center"/>
          </w:pPr>
        </w:p>
      </w:tc>
      <w:tc>
        <w:tcPr>
          <w:tcW w:w="3024" w:type="dxa"/>
        </w:tcPr>
        <w:p w14:paraId="0B33898C" w14:textId="77777777" w:rsidR="00DD15F0" w:rsidRDefault="00DD15F0" w:rsidP="004D2249">
          <w:pPr>
            <w:pStyle w:val="Zhlav"/>
            <w:ind w:right="-115"/>
            <w:jc w:val="right"/>
          </w:pPr>
        </w:p>
      </w:tc>
    </w:tr>
  </w:tbl>
  <w:p w14:paraId="063B2B1B" w14:textId="75C090CC" w:rsidR="00DD15F0" w:rsidRDefault="00DD15F0">
    <w:pPr>
      <w:pStyle w:val="Zhlav"/>
    </w:pPr>
    <w:r>
      <w:rPr>
        <w:noProof/>
      </w:rPr>
      <w:pict w14:anchorId="3A32364A">
        <v:shapetype id="_x0000_t202" coordsize="21600,21600" o:spt="202" path="m,l,21600r21600,l21600,xe">
          <v:stroke joinstyle="miter"/>
          <v:path gradientshapeok="t" o:connecttype="rect"/>
        </v:shapetype>
        <v:shape id="PowerPlusWaterMarkObject3450435" o:spid="_x0000_s2055" type="#_x0000_t202" style="position:absolute;left:0;text-align:left;margin-left:0;margin-top:0;width:456.8pt;height:182.7pt;rotation:-45;z-index:-251658227;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" o:allowincell="f" filled="f" stroked="f">
          <o:lock v:ext="edit" aspectratio="t" verticies="t" shapetype="t"/>
          <v:textbox style="mso-next-textbox:#PowerPlusWaterMarkObject3450435">
            <w:txbxContent>
              <w:p w14:paraId="4E581FC2" w14:textId="77777777" w:rsidR="00DD15F0" w:rsidRDefault="00DD15F0" w:rsidP="004D2249">
                <w:pPr>
                  <w:jc w:val="center"/>
                  <w:rPr>
                    <w:color w:val="FFFF00"/>
                    <w:sz w:val="72"/>
                    <w:szCs w:val="72"/>
                    <w14:textFill>
                      <w14:solidFill>
                        <w14:srgbClr w14:val="FFFF00">
                          <w14:alpha w14:val="50000"/>
                        </w14:srgbClr>
                      </w14:solidFill>
                    </w14:textFill>
                  </w:rPr>
                </w:pPr>
                <w:r>
                  <w:rPr>
                    <w:color w:val="FFFF00"/>
                    <w:sz w:val="72"/>
                    <w:szCs w:val="72"/>
                    <w14:textFill>
                      <w14:solidFill>
                        <w14:srgbClr w14:val="FFFF00">
                          <w14:alpha w14:val="50000"/>
                        </w14:srgbClr>
                      </w14:solidFill>
                    </w14:textFill>
                  </w:rPr>
                  <w:t>draft</w:t>
                </w:r>
              </w:p>
            </w:txbxContent>
          </v:textbox>
          <w10:wrap anchorx="margin" anchory="margin"/>
        </v:shape>
      </w:pict>
    </w: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4A0" w:firstRow="1" w:lastRow="0" w:firstColumn="1" w:lastColumn="0" w:noHBand="0" w:noVBand="1"/>
    </w:tblPr>
    <w:tblGrid>
      <w:gridCol w:w="3024"/>
      <w:gridCol w:w="3024"/>
      <w:gridCol w:w="3024"/>
    </w:tblGrid>
    <w:tr w:rsidR="00DD15F0" w14:paraId="1D7BBFBA" w14:textId="77777777" w:rsidTr="004D2249">
      <w:tc>
        <w:tcPr>
          <w:tcW w:w="3024" w:type="dxa"/>
        </w:tcPr>
        <w:p w14:paraId="14DD66A4" w14:textId="77777777" w:rsidR="00DD15F0" w:rsidRDefault="00DD15F0" w:rsidP="004D2249">
          <w:pPr>
            <w:pStyle w:val="Zhlav"/>
            <w:ind w:left="-115"/>
            <w:jc w:val="left"/>
          </w:pPr>
        </w:p>
      </w:tc>
      <w:tc>
        <w:tcPr>
          <w:tcW w:w="3024" w:type="dxa"/>
        </w:tcPr>
        <w:p w14:paraId="0CB76FE2" w14:textId="77777777" w:rsidR="00DD15F0" w:rsidRDefault="00DD15F0" w:rsidP="004D2249">
          <w:pPr>
            <w:pStyle w:val="Zhlav"/>
            <w:jc w:val="center"/>
          </w:pPr>
        </w:p>
      </w:tc>
      <w:tc>
        <w:tcPr>
          <w:tcW w:w="3024" w:type="dxa"/>
        </w:tcPr>
        <w:p w14:paraId="744BDD75" w14:textId="77777777" w:rsidR="00DD15F0" w:rsidRDefault="00DD15F0" w:rsidP="004D2249">
          <w:pPr>
            <w:pStyle w:val="Zhlav"/>
            <w:ind w:right="-115"/>
            <w:jc w:val="right"/>
          </w:pPr>
        </w:p>
      </w:tc>
    </w:tr>
  </w:tbl>
  <w:p w14:paraId="2F76FD8A" w14:textId="777FCCE1" w:rsidR="00DD15F0" w:rsidRDefault="00DD15F0">
    <w:pPr>
      <w:pStyle w:val="Zhlav"/>
    </w:pPr>
    <w:r>
      <w:rPr>
        <w:noProof/>
      </w:rPr>
      <w:pict w14:anchorId="0EFE72C9">
        <v:shapetype id="_x0000_t202" coordsize="21600,21600" o:spt="202" path="m,l,21600r21600,l21600,xe">
          <v:stroke joinstyle="miter"/>
          <v:path gradientshapeok="t" o:connecttype="rect"/>
        </v:shapetype>
        <v:shape id="PowerPlusWaterMarkObject3450433" o:spid="_x0000_s2054" type="#_x0000_t202" style="position:absolute;left:0;text-align:left;margin-left:0;margin-top:0;width:456.8pt;height:182.7pt;rotation:-45;z-index:-25165822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" o:allowincell="f" filled="f" stroked="f">
          <o:lock v:ext="edit" aspectratio="t" verticies="t" shapetype="t"/>
          <v:textbox style="mso-next-textbox:#PowerPlusWaterMarkObject3450433">
            <w:txbxContent>
              <w:p w14:paraId="6563889D" w14:textId="77777777" w:rsidR="00DD15F0" w:rsidRDefault="00DD15F0" w:rsidP="004D2249">
                <w:pPr>
                  <w:jc w:val="center"/>
                  <w:rPr>
                    <w:color w:val="FFFF00"/>
                    <w:sz w:val="72"/>
                    <w:szCs w:val="72"/>
                    <w14:textFill>
                      <w14:solidFill>
                        <w14:srgbClr w14:val="FFFF00">
                          <w14:alpha w14:val="50000"/>
                        </w14:srgbClr>
                      </w14:solidFill>
                    </w14:textFill>
                  </w:rPr>
                </w:pPr>
                <w:r>
                  <w:rPr>
                    <w:color w:val="FFFF00"/>
                    <w:sz w:val="72"/>
                    <w:szCs w:val="72"/>
                    <w14:textFill>
                      <w14:solidFill>
                        <w14:srgbClr w14:val="FFFF00">
                          <w14:alpha w14:val="50000"/>
                        </w14:srgbClr>
                      </w14:solidFill>
                    </w14:textFill>
                  </w:rPr>
                  <w:t>draft</w:t>
                </w:r>
              </w:p>
            </w:txbxContent>
          </v:textbox>
          <w10:wrap anchorx="margin" anchory="margin"/>
        </v:shape>
      </w:pict>
    </w: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CDAC0A" w14:textId="77777777" w:rsidR="00DD15F0" w:rsidRDefault="00DD15F0">
    <w:pPr>
      <w:pStyle w:val="Zhlav"/>
    </w:pPr>
    <w:r>
      <w:rPr>
        <w:noProof/>
        <w:lang w:val="cs-CZ" w:eastAsia="cs-CZ"/>
      </w:rPr>
      <mc:AlternateContent>
        <mc:Choice Requires="wps">
          <w:drawing>
            <wp:anchor distT="0" distB="0" distL="114300" distR="114300" simplePos="0" relativeHeight="251658255" behindDoc="1" locked="0" layoutInCell="0" allowOverlap="1" wp14:anchorId="3EE8653D" wp14:editId="7480A555">
              <wp:simplePos x="0" y="0"/>
              <wp:positionH relativeFrom="margin">
                <wp:align>center</wp:align>
              </wp:positionH>
              <wp:positionV relativeFrom="margin">
                <wp:align>center</wp:align>
              </wp:positionV>
              <wp:extent cx="5801360" cy="2320290"/>
              <wp:effectExtent l="0" t="0" r="0" b="0"/>
              <wp:wrapNone/>
              <wp:docPr id="29" name="PowerPlusWaterMarkObject34504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rot="18900000">
                        <a:off x="0" y="0"/>
                        <a:ext cx="5801360" cy="232029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E9A2F5E" w14:textId="77777777" w:rsidR="00DD15F0" w:rsidRDefault="00DD15F0" w:rsidP="004D2249">
                          <w:pPr>
                            <w:jc w:val="center"/>
                            <w:rPr>
                              <w:color w:val="FFFF00"/>
                              <w:sz w:val="72"/>
                              <w:szCs w:val="72"/>
                              <w14:textFill>
                                <w14:solidFill>
                                  <w14:srgbClr w14:val="FFFF00">
                                    <w14:alpha w14:val="50000"/>
                                  </w14:srgbClr>
                                </w14:solidFill>
                              </w14:textFill>
                            </w:rPr>
                          </w:pPr>
                          <w:r>
                            <w:rPr>
                              <w:color w:val="FFFF00"/>
                              <w:sz w:val="72"/>
                              <w:szCs w:val="72"/>
                              <w14:textFill>
                                <w14:solidFill>
                                  <w14:srgbClr w14:val="FFFF00">
                                    <w14:alpha w14:val="50000"/>
                                  </w14:srgbClr>
                                </w14:solidFill>
                              </w14:textFill>
                            </w:rPr>
                            <w:t>draft</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3EE8653D" id="_x0000_t202" coordsize="21600,21600" o:spt="202" path="m,l,21600r21600,l21600,xe">
              <v:stroke joinstyle="miter"/>
              <v:path gradientshapeok="t" o:connecttype="rect"/>
            </v:shapetype>
            <v:shape id="PowerPlusWaterMarkObject3450437" o:spid="_x0000_s1028" type="#_x0000_t202" style="position:absolute;left:0;text-align:left;margin-left:0;margin-top:0;width:456.8pt;height:182.7pt;rotation:-45;z-index:-251658225;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" o:allowincell="f" filled="f" stroked="f">
              <v:stroke joinstyle="round"/>
              <v:path arrowok="t"/>
              <v:textbox>
                <w:txbxContent>
                  <w:p w14:paraId="6E9A2F5E" w14:textId="77777777" w:rsidR="00DD15F0" w:rsidRDefault="00DD15F0" w:rsidP="004D2249">
                    <w:pPr>
                      <w:jc w:val="center"/>
                      <w:rPr>
                        <w:color w:val="FFFF00"/>
                        <w:sz w:val="72"/>
                        <w:szCs w:val="72"/>
                        <w14:textFill>
                          <w14:solidFill>
                            <w14:srgbClr w14:val="FFFF00">
                              <w14:alpha w14:val="50000"/>
                            </w14:srgbClr>
                          </w14:solidFill>
                        </w14:textFill>
                      </w:rPr>
                    </w:pPr>
                    <w:r>
                      <w:rPr>
                        <w:color w:val="FFFF00"/>
                        <w:sz w:val="72"/>
                        <w:szCs w:val="72"/>
                        <w14:textFill>
                          <w14:solidFill>
                            <w14:srgbClr w14:val="FFFF00">
                              <w14:alpha w14:val="50000"/>
                            </w14:srgbClr>
                          </w14:solidFill>
                        </w14:textFill>
                      </w:rPr>
                      <w:t>draft</w:t>
                    </w:r>
                  </w:p>
                </w:txbxContent>
              </v:textbox>
              <w10:wrap anchorx="margin" anchory="margin"/>
            </v:shape>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4A0" w:firstRow="1" w:lastRow="0" w:firstColumn="1" w:lastColumn="0" w:noHBand="0" w:noVBand="1"/>
    </w:tblPr>
    <w:tblGrid>
      <w:gridCol w:w="4668"/>
      <w:gridCol w:w="4668"/>
      <w:gridCol w:w="4668"/>
    </w:tblGrid>
    <w:tr w:rsidR="00DD15F0" w14:paraId="6BAF6C62" w14:textId="77777777" w:rsidTr="004D2249">
      <w:tc>
        <w:tcPr>
          <w:tcW w:w="4668" w:type="dxa"/>
        </w:tcPr>
        <w:p w14:paraId="550CCDCA" w14:textId="77777777" w:rsidR="00DD15F0" w:rsidRDefault="00DD15F0" w:rsidP="004D2249">
          <w:pPr>
            <w:pStyle w:val="Zhlav"/>
            <w:ind w:left="-115"/>
            <w:jc w:val="left"/>
          </w:pPr>
        </w:p>
      </w:tc>
      <w:tc>
        <w:tcPr>
          <w:tcW w:w="4668" w:type="dxa"/>
        </w:tcPr>
        <w:p w14:paraId="673FAA34" w14:textId="77777777" w:rsidR="00DD15F0" w:rsidRDefault="00DD15F0" w:rsidP="004D2249">
          <w:pPr>
            <w:pStyle w:val="Zhlav"/>
            <w:jc w:val="center"/>
          </w:pPr>
        </w:p>
      </w:tc>
      <w:tc>
        <w:tcPr>
          <w:tcW w:w="4668" w:type="dxa"/>
        </w:tcPr>
        <w:p w14:paraId="10717558" w14:textId="77777777" w:rsidR="00DD15F0" w:rsidRDefault="00DD15F0" w:rsidP="004D2249">
          <w:pPr>
            <w:pStyle w:val="Zhlav"/>
            <w:ind w:right="-115"/>
            <w:jc w:val="right"/>
          </w:pPr>
        </w:p>
      </w:tc>
    </w:tr>
  </w:tbl>
  <w:p w14:paraId="43DDED61" w14:textId="7CE3CDCB" w:rsidR="00DD15F0" w:rsidRDefault="00DD15F0">
    <w:pPr>
      <w:pStyle w:val="Zhlav"/>
    </w:pPr>
    <w:r>
      <w:rPr>
        <w:noProof/>
      </w:rPr>
      <w:pict w14:anchorId="7A5D6F13">
        <v:shapetype id="_x0000_t202" coordsize="21600,21600" o:spt="202" path="m,l,21600r21600,l21600,xe">
          <v:stroke joinstyle="miter"/>
          <v:path gradientshapeok="t" o:connecttype="rect"/>
        </v:shapetype>
        <v:shape id="PowerPlusWaterMarkObject3450438" o:spid="_x0000_s2053" type="#_x0000_t202" style="position:absolute;left:0;text-align:left;margin-left:0;margin-top:0;width:456.8pt;height:182.7pt;rotation:-45;z-index:-251658224;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" o:allowincell="f" filled="f" stroked="f">
          <o:lock v:ext="edit" aspectratio="t" verticies="t" shapetype="t"/>
          <v:textbox style="mso-next-textbox:#PowerPlusWaterMarkObject3450438">
            <w:txbxContent>
              <w:p w14:paraId="35F73371" w14:textId="77777777" w:rsidR="00DD15F0" w:rsidRDefault="00DD15F0" w:rsidP="004D2249">
                <w:pPr>
                  <w:jc w:val="center"/>
                  <w:rPr>
                    <w:color w:val="FFFF00"/>
                    <w:sz w:val="72"/>
                    <w:szCs w:val="72"/>
                    <w14:textFill>
                      <w14:solidFill>
                        <w14:srgbClr w14:val="FFFF00">
                          <w14:alpha w14:val="50000"/>
                        </w14:srgbClr>
                      </w14:solidFill>
                    </w14:textFill>
                  </w:rPr>
                </w:pPr>
                <w:r>
                  <w:rPr>
                    <w:color w:val="FFFF00"/>
                    <w:sz w:val="72"/>
                    <w:szCs w:val="72"/>
                    <w14:textFill>
                      <w14:solidFill>
                        <w14:srgbClr w14:val="FFFF00">
                          <w14:alpha w14:val="50000"/>
                        </w14:srgbClr>
                      </w14:solidFill>
                    </w14:textFill>
                  </w:rPr>
                  <w:t>draft</w:t>
                </w:r>
              </w:p>
            </w:txbxContent>
          </v:textbox>
          <w10:wrap anchorx="margin" anchory="margin"/>
        </v:shape>
      </w:pict>
    </w: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4A0" w:firstRow="1" w:lastRow="0" w:firstColumn="1" w:lastColumn="0" w:noHBand="0" w:noVBand="1"/>
    </w:tblPr>
    <w:tblGrid>
      <w:gridCol w:w="4668"/>
      <w:gridCol w:w="4668"/>
      <w:gridCol w:w="4668"/>
    </w:tblGrid>
    <w:tr w:rsidR="00DD15F0" w14:paraId="2F64E79F" w14:textId="77777777" w:rsidTr="004D2249">
      <w:tc>
        <w:tcPr>
          <w:tcW w:w="4668" w:type="dxa"/>
        </w:tcPr>
        <w:p w14:paraId="76A27751" w14:textId="77777777" w:rsidR="00DD15F0" w:rsidRDefault="00DD15F0" w:rsidP="004D2249">
          <w:pPr>
            <w:pStyle w:val="Zhlav"/>
            <w:ind w:left="-115"/>
            <w:jc w:val="left"/>
          </w:pPr>
        </w:p>
      </w:tc>
      <w:tc>
        <w:tcPr>
          <w:tcW w:w="4668" w:type="dxa"/>
        </w:tcPr>
        <w:p w14:paraId="51C85AE2" w14:textId="77777777" w:rsidR="00DD15F0" w:rsidRDefault="00DD15F0" w:rsidP="004D2249">
          <w:pPr>
            <w:pStyle w:val="Zhlav"/>
            <w:jc w:val="center"/>
          </w:pPr>
        </w:p>
      </w:tc>
      <w:tc>
        <w:tcPr>
          <w:tcW w:w="4668" w:type="dxa"/>
        </w:tcPr>
        <w:p w14:paraId="0E535EB4" w14:textId="77777777" w:rsidR="00DD15F0" w:rsidRDefault="00DD15F0" w:rsidP="004D2249">
          <w:pPr>
            <w:pStyle w:val="Zhlav"/>
            <w:ind w:right="-115"/>
            <w:jc w:val="right"/>
          </w:pPr>
        </w:p>
      </w:tc>
    </w:tr>
  </w:tbl>
  <w:p w14:paraId="4D169C7F" w14:textId="4A5AE0E7" w:rsidR="00DD15F0" w:rsidRDefault="00DD15F0">
    <w:pPr>
      <w:pStyle w:val="Zhlav"/>
    </w:pPr>
    <w:r>
      <w:rPr>
        <w:noProof/>
      </w:rPr>
      <w:pict w14:anchorId="26837A26">
        <v:shapetype id="_x0000_t202" coordsize="21600,21600" o:spt="202" path="m,l,21600r21600,l21600,xe">
          <v:stroke joinstyle="miter"/>
          <v:path gradientshapeok="t" o:connecttype="rect"/>
        </v:shapetype>
        <v:shape id="PowerPlusWaterMarkObject3450436" o:spid="_x0000_s2052" type="#_x0000_t202" style="position:absolute;left:0;text-align:left;margin-left:0;margin-top:0;width:456.8pt;height:182.7pt;rotation:-45;z-index:-251658223;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" o:allowincell="f" filled="f" stroked="f">
          <o:lock v:ext="edit" aspectratio="t" verticies="t" shapetype="t"/>
          <v:textbox style="mso-next-textbox:#PowerPlusWaterMarkObject3450436">
            <w:txbxContent>
              <w:p w14:paraId="4E68C440" w14:textId="77777777" w:rsidR="00DD15F0" w:rsidRDefault="00DD15F0" w:rsidP="004D2249">
                <w:pPr>
                  <w:jc w:val="center"/>
                  <w:rPr>
                    <w:color w:val="FFFF00"/>
                    <w:sz w:val="72"/>
                    <w:szCs w:val="72"/>
                    <w14:textFill>
                      <w14:solidFill>
                        <w14:srgbClr w14:val="FFFF00">
                          <w14:alpha w14:val="50000"/>
                        </w14:srgbClr>
                      </w14:solidFill>
                    </w14:textFill>
                  </w:rPr>
                </w:pPr>
                <w:r>
                  <w:rPr>
                    <w:color w:val="FFFF00"/>
                    <w:sz w:val="72"/>
                    <w:szCs w:val="72"/>
                    <w14:textFill>
                      <w14:solidFill>
                        <w14:srgbClr w14:val="FFFF00">
                          <w14:alpha w14:val="50000"/>
                        </w14:srgbClr>
                      </w14:solidFill>
                    </w14:textFill>
                  </w:rPr>
                  <w:t>draft</w:t>
                </w:r>
              </w:p>
            </w:txbxContent>
          </v:textbox>
          <w10:wrap anchorx="margin" anchory="margin"/>
        </v:shape>
      </w:pict>
    </w: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D19DAB" w14:textId="1B72D703" w:rsidR="00DD15F0" w:rsidRDefault="00DD15F0">
    <w:pPr>
      <w:pStyle w:val="Zhlav"/>
    </w:pPr>
    <w:r>
      <w:rPr>
        <w:noProof/>
      </w:rPr>
      <w:pict w14:anchorId="017586CC">
        <v:shapetype id="_x0000_t202" coordsize="21600,21600" o:spt="202" path="m,l,21600r21600,l21600,xe">
          <v:stroke joinstyle="miter"/>
          <v:path gradientshapeok="t" o:connecttype="rect"/>
        </v:shapetype>
        <v:shape id="PowerPlusWaterMarkObject3450440" o:spid="_x0000_s2051" type="#_x0000_t202" style="position:absolute;left:0;text-align:left;margin-left:0;margin-top:0;width:456.8pt;height:182.7pt;rotation:-45;z-index:-25165822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" o:allowincell="f" filled="f" stroked="f">
          <o:lock v:ext="edit" aspectratio="t" verticies="t" shapetype="t"/>
          <v:textbox>
            <w:txbxContent>
              <w:p w14:paraId="69E52CB1" w14:textId="77777777" w:rsidR="00DD15F0" w:rsidRDefault="00DD15F0" w:rsidP="004D2249">
                <w:pPr>
                  <w:jc w:val="center"/>
                  <w:rPr>
                    <w:color w:val="FFFF00"/>
                    <w:sz w:val="72"/>
                    <w:szCs w:val="72"/>
                    <w14:textFill>
                      <w14:solidFill>
                        <w14:srgbClr w14:val="FFFF00">
                          <w14:alpha w14:val="50000"/>
                        </w14:srgbClr>
                      </w14:solidFill>
                    </w14:textFill>
                  </w:rPr>
                </w:pPr>
                <w:r>
                  <w:rPr>
                    <w:color w:val="FFFF00"/>
                    <w:sz w:val="72"/>
                    <w:szCs w:val="72"/>
                    <w14:textFill>
                      <w14:solidFill>
                        <w14:srgbClr w14:val="FFFF00">
                          <w14:alpha w14:val="50000"/>
                        </w14:srgbClr>
                      </w14:solidFill>
                    </w14:textFill>
                  </w:rPr>
                  <w:t>draft</w:t>
                </w:r>
              </w:p>
            </w:txbxContent>
          </v:textbox>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4A0" w:firstRow="1" w:lastRow="0" w:firstColumn="1" w:lastColumn="0" w:noHBand="0" w:noVBand="1"/>
    </w:tblPr>
    <w:tblGrid>
      <w:gridCol w:w="3024"/>
      <w:gridCol w:w="3024"/>
      <w:gridCol w:w="3024"/>
    </w:tblGrid>
    <w:tr w:rsidR="00DD15F0" w14:paraId="7C1EE6BE" w14:textId="77777777" w:rsidTr="004D2249">
      <w:tc>
        <w:tcPr>
          <w:tcW w:w="3024" w:type="dxa"/>
        </w:tcPr>
        <w:p w14:paraId="3CE841D6" w14:textId="77777777" w:rsidR="00DD15F0" w:rsidRDefault="00DD15F0" w:rsidP="004D2249">
          <w:pPr>
            <w:pStyle w:val="Zhlav"/>
            <w:ind w:left="-115"/>
            <w:jc w:val="left"/>
          </w:pPr>
        </w:p>
      </w:tc>
      <w:tc>
        <w:tcPr>
          <w:tcW w:w="3024" w:type="dxa"/>
        </w:tcPr>
        <w:p w14:paraId="3532965E" w14:textId="77777777" w:rsidR="00DD15F0" w:rsidRDefault="00DD15F0" w:rsidP="004D2249">
          <w:pPr>
            <w:pStyle w:val="Zhlav"/>
            <w:jc w:val="center"/>
          </w:pPr>
        </w:p>
      </w:tc>
      <w:tc>
        <w:tcPr>
          <w:tcW w:w="3024" w:type="dxa"/>
        </w:tcPr>
        <w:p w14:paraId="70BF7601" w14:textId="77777777" w:rsidR="00DD15F0" w:rsidRDefault="00DD15F0" w:rsidP="004D2249">
          <w:pPr>
            <w:pStyle w:val="Zhlav"/>
            <w:ind w:right="-115"/>
            <w:jc w:val="right"/>
          </w:pPr>
        </w:p>
      </w:tc>
    </w:tr>
  </w:tbl>
  <w:p w14:paraId="4886F3E5" w14:textId="34C1B2CC" w:rsidR="00DD15F0" w:rsidRDefault="00DD15F0">
    <w:pPr>
      <w:pStyle w:val="Zhlav"/>
    </w:pPr>
    <w:r>
      <w:rPr>
        <w:noProof/>
      </w:rPr>
      <w:pict w14:anchorId="02F3E194">
        <v:shapetype id="_x0000_t202" coordsize="21600,21600" o:spt="202" path="m,l,21600r21600,l21600,xe">
          <v:stroke joinstyle="miter"/>
          <v:path gradientshapeok="t" o:connecttype="rect"/>
        </v:shapetype>
        <v:shape id="PowerPlusWaterMarkObject3450423" o:spid="_x0000_s2066" type="#_x0000_t202" style="position:absolute;left:0;text-align:left;margin-left:0;margin-top:0;width:456.8pt;height:182.7pt;rotation:-45;z-index:-251658239;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" o:allowincell="f" filled="f" stroked="f">
          <o:lock v:ext="edit" aspectratio="t" verticies="t" shapetype="t"/>
          <v:textbox style="mso-next-textbox:#PowerPlusWaterMarkObject3450423">
            <w:txbxContent>
              <w:p w14:paraId="20EF963D" w14:textId="77777777" w:rsidR="00DD15F0" w:rsidRDefault="00DD15F0" w:rsidP="004D2249">
                <w:pPr>
                  <w:jc w:val="center"/>
                  <w:rPr>
                    <w:color w:val="FFFF00"/>
                    <w:sz w:val="72"/>
                    <w:szCs w:val="72"/>
                    <w14:textFill>
                      <w14:solidFill>
                        <w14:srgbClr w14:val="FFFF00">
                          <w14:alpha w14:val="50000"/>
                        </w14:srgbClr>
                      </w14:solidFill>
                    </w14:textFill>
                  </w:rPr>
                </w:pPr>
                <w:r>
                  <w:rPr>
                    <w:color w:val="FFFF00"/>
                    <w:sz w:val="72"/>
                    <w:szCs w:val="72"/>
                    <w14:textFill>
                      <w14:solidFill>
                        <w14:srgbClr w14:val="FFFF00">
                          <w14:alpha w14:val="50000"/>
                        </w14:srgbClr>
                      </w14:solidFill>
                    </w14:textFill>
                  </w:rPr>
                  <w:t>draft</w:t>
                </w:r>
              </w:p>
            </w:txbxContent>
          </v:textbox>
          <w10:wrap anchorx="margin" anchory="margin"/>
        </v:shape>
      </w:pict>
    </w: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4A0" w:firstRow="1" w:lastRow="0" w:firstColumn="1" w:lastColumn="0" w:noHBand="0" w:noVBand="1"/>
    </w:tblPr>
    <w:tblGrid>
      <w:gridCol w:w="3024"/>
      <w:gridCol w:w="3024"/>
      <w:gridCol w:w="3024"/>
    </w:tblGrid>
    <w:tr w:rsidR="00DD15F0" w14:paraId="0284FF6F" w14:textId="77777777" w:rsidTr="004D2249">
      <w:tc>
        <w:tcPr>
          <w:tcW w:w="3024" w:type="dxa"/>
        </w:tcPr>
        <w:p w14:paraId="60AFD13E" w14:textId="77777777" w:rsidR="00DD15F0" w:rsidRDefault="00DD15F0" w:rsidP="004D2249">
          <w:pPr>
            <w:pStyle w:val="Zhlav"/>
            <w:ind w:left="-115"/>
            <w:jc w:val="left"/>
          </w:pPr>
        </w:p>
      </w:tc>
      <w:tc>
        <w:tcPr>
          <w:tcW w:w="3024" w:type="dxa"/>
        </w:tcPr>
        <w:p w14:paraId="53FB19E7" w14:textId="77777777" w:rsidR="00DD15F0" w:rsidRDefault="00DD15F0" w:rsidP="004D2249">
          <w:pPr>
            <w:pStyle w:val="Zhlav"/>
            <w:jc w:val="center"/>
          </w:pPr>
        </w:p>
      </w:tc>
      <w:tc>
        <w:tcPr>
          <w:tcW w:w="3024" w:type="dxa"/>
        </w:tcPr>
        <w:p w14:paraId="631D9FB6" w14:textId="77777777" w:rsidR="00DD15F0" w:rsidRDefault="00DD15F0" w:rsidP="004D2249">
          <w:pPr>
            <w:pStyle w:val="Zhlav"/>
            <w:ind w:right="-115"/>
            <w:jc w:val="right"/>
          </w:pPr>
        </w:p>
      </w:tc>
    </w:tr>
  </w:tbl>
  <w:p w14:paraId="4347F188" w14:textId="1FAF4072" w:rsidR="00DD15F0" w:rsidRDefault="00DD15F0">
    <w:pPr>
      <w:pStyle w:val="Zhlav"/>
    </w:pPr>
    <w:r>
      <w:rPr>
        <w:noProof/>
      </w:rPr>
      <w:pict w14:anchorId="4764E927">
        <v:shapetype id="_x0000_t202" coordsize="21600,21600" o:spt="202" path="m,l,21600r21600,l21600,xe">
          <v:stroke joinstyle="miter"/>
          <v:path gradientshapeok="t" o:connecttype="rect"/>
        </v:shapetype>
        <v:shape id="PowerPlusWaterMarkObject3450441" o:spid="_x0000_s2050" type="#_x0000_t202" style="position:absolute;left:0;text-align:left;margin-left:0;margin-top:0;width:456.8pt;height:182.7pt;rotation:-45;z-index:-251658221;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" o:allowincell="f" filled="f" stroked="f">
          <o:lock v:ext="edit" aspectratio="t" verticies="t" shapetype="t"/>
          <v:textbox>
            <w:txbxContent>
              <w:p w14:paraId="7EC317F1" w14:textId="77777777" w:rsidR="00DD15F0" w:rsidRDefault="00DD15F0" w:rsidP="004D2249">
                <w:pPr>
                  <w:jc w:val="center"/>
                  <w:rPr>
                    <w:color w:val="FFFF00"/>
                    <w:sz w:val="72"/>
                    <w:szCs w:val="72"/>
                    <w14:textFill>
                      <w14:solidFill>
                        <w14:srgbClr w14:val="FFFF00">
                          <w14:alpha w14:val="50000"/>
                        </w14:srgbClr>
                      </w14:solidFill>
                    </w14:textFill>
                  </w:rPr>
                </w:pPr>
                <w:r>
                  <w:rPr>
                    <w:color w:val="FFFF00"/>
                    <w:sz w:val="72"/>
                    <w:szCs w:val="72"/>
                    <w14:textFill>
                      <w14:solidFill>
                        <w14:srgbClr w14:val="FFFF00">
                          <w14:alpha w14:val="50000"/>
                        </w14:srgbClr>
                      </w14:solidFill>
                    </w14:textFill>
                  </w:rPr>
                  <w:t>draft</w:t>
                </w:r>
              </w:p>
            </w:txbxContent>
          </v:textbox>
          <w10:wrap anchorx="margin" anchory="margin"/>
        </v:shape>
      </w:pict>
    </w: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4A0" w:firstRow="1" w:lastRow="0" w:firstColumn="1" w:lastColumn="0" w:noHBand="0" w:noVBand="1"/>
    </w:tblPr>
    <w:tblGrid>
      <w:gridCol w:w="3024"/>
      <w:gridCol w:w="3024"/>
      <w:gridCol w:w="3024"/>
    </w:tblGrid>
    <w:tr w:rsidR="00DD15F0" w14:paraId="2FCEAB1E" w14:textId="77777777" w:rsidTr="004D2249">
      <w:tc>
        <w:tcPr>
          <w:tcW w:w="3024" w:type="dxa"/>
        </w:tcPr>
        <w:p w14:paraId="254B3671" w14:textId="77777777" w:rsidR="00DD15F0" w:rsidRDefault="00DD15F0" w:rsidP="004D2249">
          <w:pPr>
            <w:pStyle w:val="Zhlav"/>
            <w:ind w:left="-115"/>
            <w:jc w:val="left"/>
          </w:pPr>
        </w:p>
      </w:tc>
      <w:tc>
        <w:tcPr>
          <w:tcW w:w="3024" w:type="dxa"/>
        </w:tcPr>
        <w:p w14:paraId="5174543B" w14:textId="77777777" w:rsidR="00DD15F0" w:rsidRDefault="00DD15F0" w:rsidP="004D2249">
          <w:pPr>
            <w:pStyle w:val="Zhlav"/>
            <w:jc w:val="center"/>
          </w:pPr>
        </w:p>
      </w:tc>
      <w:tc>
        <w:tcPr>
          <w:tcW w:w="3024" w:type="dxa"/>
        </w:tcPr>
        <w:p w14:paraId="76D04AB3" w14:textId="77777777" w:rsidR="00DD15F0" w:rsidRDefault="00DD15F0" w:rsidP="004D2249">
          <w:pPr>
            <w:pStyle w:val="Zhlav"/>
            <w:ind w:right="-115"/>
            <w:jc w:val="right"/>
          </w:pPr>
        </w:p>
      </w:tc>
    </w:tr>
  </w:tbl>
  <w:p w14:paraId="26875B91" w14:textId="21480B4A" w:rsidR="00DD15F0" w:rsidRDefault="00DD15F0">
    <w:pPr>
      <w:pStyle w:val="Zhlav"/>
    </w:pPr>
    <w:r>
      <w:rPr>
        <w:noProof/>
      </w:rPr>
      <w:pict w14:anchorId="19ED2740">
        <v:shapetype id="_x0000_t202" coordsize="21600,21600" o:spt="202" path="m,l,21600r21600,l21600,xe">
          <v:stroke joinstyle="miter"/>
          <v:path gradientshapeok="t" o:connecttype="rect"/>
        </v:shapetype>
        <v:shape id="PowerPlusWaterMarkObject3450439" o:spid="_x0000_s2049" type="#_x0000_t202" style="position:absolute;left:0;text-align:left;margin-left:0;margin-top:0;width:456.8pt;height:182.7pt;rotation:-45;z-index:-25165822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" o:allowincell="f" filled="f" stroked="f">
          <o:lock v:ext="edit" aspectratio="t" verticies="t" shapetype="t"/>
          <v:textbox>
            <w:txbxContent>
              <w:p w14:paraId="7B32DB6A" w14:textId="77777777" w:rsidR="00DD15F0" w:rsidRDefault="00DD15F0" w:rsidP="004D2249">
                <w:pPr>
                  <w:jc w:val="center"/>
                  <w:rPr>
                    <w:color w:val="FFFF00"/>
                    <w:sz w:val="72"/>
                    <w:szCs w:val="72"/>
                    <w14:textFill>
                      <w14:solidFill>
                        <w14:srgbClr w14:val="FFFF00">
                          <w14:alpha w14:val="50000"/>
                        </w14:srgbClr>
                      </w14:solidFill>
                    </w14:textFill>
                  </w:rPr>
                </w:pPr>
                <w:r>
                  <w:rPr>
                    <w:color w:val="FFFF00"/>
                    <w:sz w:val="72"/>
                    <w:szCs w:val="72"/>
                    <w14:textFill>
                      <w14:solidFill>
                        <w14:srgbClr w14:val="FFFF00">
                          <w14:alpha w14:val="50000"/>
                        </w14:srgbClr>
                      </w14:solidFill>
                    </w14:textFill>
                  </w:rPr>
                  <w:t>draft</w:t>
                </w:r>
              </w:p>
            </w:txbxContent>
          </v:textbox>
          <w10:wrap anchorx="margin" anchory="margin"/>
        </v:shape>
      </w:pict>
    </w:r>
  </w:p>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BBC4A6" w14:textId="77777777" w:rsidR="00DD15F0" w:rsidRDefault="00DD15F0">
    <w:pPr>
      <w:pStyle w:val="Zhlav"/>
    </w:pPr>
  </w:p>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088D09" w14:textId="0B4B433D" w:rsidR="00DD15F0" w:rsidRPr="00B87E14" w:rsidRDefault="00DD15F0" w:rsidP="00B87E14">
    <w:pPr>
      <w:pStyle w:val="Zhlav"/>
      <w:tabs>
        <w:tab w:val="clear" w:pos="4513"/>
      </w:tabs>
      <w:rPr>
        <w:lang w:val="cs-CZ"/>
      </w:rPr>
    </w:pPr>
    <w:r>
      <w:rPr>
        <w:lang w:val="cs-CZ"/>
      </w:rPr>
      <w:tab/>
    </w:r>
  </w:p>
  <w:p w14:paraId="38610A83" w14:textId="77777777" w:rsidR="00DD15F0" w:rsidRDefault="00DD15F0"/>
</w:hdr>
</file>

<file path=word/header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C22313" w14:textId="77777777" w:rsidR="00DD15F0" w:rsidRDefault="00DD15F0">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4A0" w:firstRow="1" w:lastRow="0" w:firstColumn="1" w:lastColumn="0" w:noHBand="0" w:noVBand="1"/>
    </w:tblPr>
    <w:tblGrid>
      <w:gridCol w:w="3024"/>
      <w:gridCol w:w="3024"/>
      <w:gridCol w:w="3024"/>
    </w:tblGrid>
    <w:tr w:rsidR="00DD15F0" w14:paraId="310E3FE3" w14:textId="77777777" w:rsidTr="004D2249">
      <w:tc>
        <w:tcPr>
          <w:tcW w:w="3024" w:type="dxa"/>
        </w:tcPr>
        <w:p w14:paraId="348A0507" w14:textId="77777777" w:rsidR="00DD15F0" w:rsidRDefault="00DD15F0" w:rsidP="004D2249">
          <w:pPr>
            <w:pStyle w:val="Zhlav"/>
            <w:ind w:left="-115"/>
            <w:jc w:val="left"/>
          </w:pPr>
        </w:p>
      </w:tc>
      <w:tc>
        <w:tcPr>
          <w:tcW w:w="3024" w:type="dxa"/>
        </w:tcPr>
        <w:p w14:paraId="2DEFBEE0" w14:textId="77777777" w:rsidR="00DD15F0" w:rsidRDefault="00DD15F0" w:rsidP="004D2249">
          <w:pPr>
            <w:pStyle w:val="Zhlav"/>
            <w:jc w:val="center"/>
          </w:pPr>
        </w:p>
      </w:tc>
      <w:tc>
        <w:tcPr>
          <w:tcW w:w="3024" w:type="dxa"/>
        </w:tcPr>
        <w:p w14:paraId="617A6F57" w14:textId="77777777" w:rsidR="00DD15F0" w:rsidRDefault="00DD15F0" w:rsidP="004D2249">
          <w:pPr>
            <w:pStyle w:val="Zhlav"/>
            <w:ind w:right="-115"/>
            <w:jc w:val="right"/>
          </w:pPr>
        </w:p>
      </w:tc>
    </w:tr>
  </w:tbl>
  <w:p w14:paraId="0AB5B4CB" w14:textId="05F50AB7" w:rsidR="00DD15F0" w:rsidRDefault="00DD15F0">
    <w:pPr>
      <w:pStyle w:val="Zhlav"/>
    </w:pPr>
    <w:r>
      <w:rPr>
        <w:noProof/>
      </w:rPr>
      <w:pict w14:anchorId="60E32C27">
        <v:shapetype id="_x0000_t202" coordsize="21600,21600" o:spt="202" path="m,l,21600r21600,l21600,xe">
          <v:stroke joinstyle="miter"/>
          <v:path gradientshapeok="t" o:connecttype="rect"/>
        </v:shapetype>
        <v:shape id="PowerPlusWaterMarkObject3450421" o:spid="_x0000_s2065" type="#_x0000_t202" style="position:absolute;left:0;text-align:left;margin-left:0;margin-top:0;width:456.8pt;height:182.7pt;rotation:-45;z-index:-25165823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" o:allowincell="f" filled="f" stroked="f">
          <o:lock v:ext="edit" aspectratio="t" verticies="t" shapetype="t"/>
          <v:textbox style="mso-next-textbox:#PowerPlusWaterMarkObject3450421">
            <w:txbxContent>
              <w:p w14:paraId="22636C7E" w14:textId="77777777" w:rsidR="00DD15F0" w:rsidRDefault="00DD15F0" w:rsidP="004D2249">
                <w:pPr>
                  <w:jc w:val="center"/>
                  <w:rPr>
                    <w:color w:val="FFFF00"/>
                    <w:sz w:val="72"/>
                    <w:szCs w:val="72"/>
                    <w14:textFill>
                      <w14:solidFill>
                        <w14:srgbClr w14:val="FFFF00">
                          <w14:alpha w14:val="50000"/>
                        </w14:srgbClr>
                      </w14:solidFill>
                    </w14:textFill>
                  </w:rPr>
                </w:pPr>
                <w:r>
                  <w:rPr>
                    <w:color w:val="FFFF00"/>
                    <w:sz w:val="72"/>
                    <w:szCs w:val="72"/>
                    <w14:textFill>
                      <w14:solidFill>
                        <w14:srgbClr w14:val="FFFF00">
                          <w14:alpha w14:val="50000"/>
                        </w14:srgbClr>
                      </w14:solidFill>
                    </w14:textFill>
                  </w:rPr>
                  <w:t>draft</w:t>
                </w:r>
              </w:p>
            </w:txbxContent>
          </v:textbox>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C3C40E" w14:textId="24A8B05A" w:rsidR="00DD15F0" w:rsidRDefault="00DD15F0">
    <w:pPr>
      <w:pStyle w:val="Zhlav"/>
    </w:pPr>
    <w:r>
      <w:rPr>
        <w:noProof/>
      </w:rPr>
      <w:pict w14:anchorId="5A0E1B7E">
        <v:shapetype id="_x0000_t202" coordsize="21600,21600" o:spt="202" path="m,l,21600r21600,l21600,xe">
          <v:stroke joinstyle="miter"/>
          <v:path gradientshapeok="t" o:connecttype="rect"/>
        </v:shapetype>
        <v:shape id="PowerPlusWaterMarkObject3450425" o:spid="_x0000_s2064" type="#_x0000_t202" style="position:absolute;left:0;text-align:left;margin-left:0;margin-top:0;width:456.8pt;height:182.7pt;rotation:-45;z-index:-251658237;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" o:allowincell="f" filled="f" stroked="f">
          <o:lock v:ext="edit" aspectratio="t" verticies="t" shapetype="t"/>
          <v:textbox style="mso-next-textbox:#PowerPlusWaterMarkObject3450425">
            <w:txbxContent>
              <w:p w14:paraId="5B45D871" w14:textId="77777777" w:rsidR="00DD15F0" w:rsidRDefault="00DD15F0" w:rsidP="004D2249">
                <w:pPr>
                  <w:jc w:val="center"/>
                  <w:rPr>
                    <w:color w:val="FFFF00"/>
                    <w:sz w:val="72"/>
                    <w:szCs w:val="72"/>
                    <w14:textFill>
                      <w14:solidFill>
                        <w14:srgbClr w14:val="FFFF00">
                          <w14:alpha w14:val="50000"/>
                        </w14:srgbClr>
                      </w14:solidFill>
                    </w14:textFill>
                  </w:rPr>
                </w:pPr>
                <w:r>
                  <w:rPr>
                    <w:color w:val="FFFF00"/>
                    <w:sz w:val="72"/>
                    <w:szCs w:val="72"/>
                    <w14:textFill>
                      <w14:solidFill>
                        <w14:srgbClr w14:val="FFFF00">
                          <w14:alpha w14:val="50000"/>
                        </w14:srgbClr>
                      </w14:solidFill>
                    </w14:textFill>
                  </w:rPr>
                  <w:t>draft</w:t>
                </w:r>
              </w:p>
            </w:txbxContent>
          </v:textbox>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4A0" w:firstRow="1" w:lastRow="0" w:firstColumn="1" w:lastColumn="0" w:noHBand="0" w:noVBand="1"/>
    </w:tblPr>
    <w:tblGrid>
      <w:gridCol w:w="4668"/>
      <w:gridCol w:w="4668"/>
      <w:gridCol w:w="4668"/>
    </w:tblGrid>
    <w:tr w:rsidR="00DD15F0" w14:paraId="3CB9341E" w14:textId="77777777" w:rsidTr="004D2249">
      <w:tc>
        <w:tcPr>
          <w:tcW w:w="4668" w:type="dxa"/>
        </w:tcPr>
        <w:p w14:paraId="539CE7A6" w14:textId="77777777" w:rsidR="00DD15F0" w:rsidRDefault="00DD15F0" w:rsidP="004D2249">
          <w:pPr>
            <w:pStyle w:val="Zhlav"/>
            <w:ind w:left="-115"/>
            <w:jc w:val="left"/>
          </w:pPr>
        </w:p>
      </w:tc>
      <w:tc>
        <w:tcPr>
          <w:tcW w:w="4668" w:type="dxa"/>
        </w:tcPr>
        <w:p w14:paraId="456FAD3C" w14:textId="77777777" w:rsidR="00DD15F0" w:rsidRDefault="00DD15F0" w:rsidP="004D2249">
          <w:pPr>
            <w:pStyle w:val="Zhlav"/>
            <w:jc w:val="center"/>
          </w:pPr>
        </w:p>
      </w:tc>
      <w:tc>
        <w:tcPr>
          <w:tcW w:w="4668" w:type="dxa"/>
        </w:tcPr>
        <w:p w14:paraId="6855C025" w14:textId="77777777" w:rsidR="00DD15F0" w:rsidRDefault="00DD15F0" w:rsidP="004D2249">
          <w:pPr>
            <w:pStyle w:val="Zhlav"/>
            <w:ind w:right="-115"/>
            <w:jc w:val="right"/>
          </w:pPr>
        </w:p>
      </w:tc>
    </w:tr>
  </w:tbl>
  <w:p w14:paraId="28113339" w14:textId="76822410" w:rsidR="00DD15F0" w:rsidRDefault="00DD15F0">
    <w:pPr>
      <w:pStyle w:val="Zhlav"/>
    </w:pPr>
    <w:r>
      <w:rPr>
        <w:noProof/>
      </w:rPr>
      <w:pict w14:anchorId="73970ADB">
        <v:shapetype id="_x0000_t202" coordsize="21600,21600" o:spt="202" path="m,l,21600r21600,l21600,xe">
          <v:stroke joinstyle="miter"/>
          <v:path gradientshapeok="t" o:connecttype="rect"/>
        </v:shapetype>
        <v:shape id="PowerPlusWaterMarkObject3450426" o:spid="_x0000_s2063" type="#_x0000_t202" style="position:absolute;left:0;text-align:left;margin-left:0;margin-top:0;width:456.8pt;height:182.7pt;rotation:-45;z-index:-25165823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" o:allowincell="f" filled="f" stroked="f">
          <o:lock v:ext="edit" aspectratio="t" verticies="t" shapetype="t"/>
          <v:textbox style="mso-next-textbox:#PowerPlusWaterMarkObject3450426">
            <w:txbxContent>
              <w:p w14:paraId="218D4982" w14:textId="77777777" w:rsidR="00DD15F0" w:rsidRDefault="00DD15F0" w:rsidP="004D2249">
                <w:pPr>
                  <w:jc w:val="center"/>
                  <w:rPr>
                    <w:color w:val="FFFF00"/>
                    <w:sz w:val="72"/>
                    <w:szCs w:val="72"/>
                    <w14:textFill>
                      <w14:solidFill>
                        <w14:srgbClr w14:val="FFFF00">
                          <w14:alpha w14:val="50000"/>
                        </w14:srgbClr>
                      </w14:solidFill>
                    </w14:textFill>
                  </w:rPr>
                </w:pPr>
                <w:r>
                  <w:rPr>
                    <w:color w:val="FFFF00"/>
                    <w:sz w:val="72"/>
                    <w:szCs w:val="72"/>
                    <w14:textFill>
                      <w14:solidFill>
                        <w14:srgbClr w14:val="FFFF00">
                          <w14:alpha w14:val="50000"/>
                        </w14:srgbClr>
                      </w14:solidFill>
                    </w14:textFill>
                  </w:rPr>
                  <w:t>draft</w:t>
                </w:r>
              </w:p>
            </w:txbxContent>
          </v:textbox>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4A0" w:firstRow="1" w:lastRow="0" w:firstColumn="1" w:lastColumn="0" w:noHBand="0" w:noVBand="1"/>
    </w:tblPr>
    <w:tblGrid>
      <w:gridCol w:w="4668"/>
      <w:gridCol w:w="4668"/>
      <w:gridCol w:w="4668"/>
    </w:tblGrid>
    <w:tr w:rsidR="00DD15F0" w14:paraId="78A6CADB" w14:textId="77777777" w:rsidTr="004D2249">
      <w:tc>
        <w:tcPr>
          <w:tcW w:w="4668" w:type="dxa"/>
        </w:tcPr>
        <w:p w14:paraId="52493E27" w14:textId="77777777" w:rsidR="00DD15F0" w:rsidRDefault="00DD15F0" w:rsidP="004D2249">
          <w:pPr>
            <w:pStyle w:val="Zhlav"/>
            <w:ind w:left="-115"/>
            <w:jc w:val="left"/>
          </w:pPr>
        </w:p>
      </w:tc>
      <w:tc>
        <w:tcPr>
          <w:tcW w:w="4668" w:type="dxa"/>
        </w:tcPr>
        <w:p w14:paraId="5EE2498A" w14:textId="77777777" w:rsidR="00DD15F0" w:rsidRDefault="00DD15F0" w:rsidP="004D2249">
          <w:pPr>
            <w:pStyle w:val="Zhlav"/>
            <w:jc w:val="center"/>
          </w:pPr>
        </w:p>
      </w:tc>
      <w:tc>
        <w:tcPr>
          <w:tcW w:w="4668" w:type="dxa"/>
        </w:tcPr>
        <w:p w14:paraId="2A2C1823" w14:textId="77777777" w:rsidR="00DD15F0" w:rsidRDefault="00DD15F0" w:rsidP="004D2249">
          <w:pPr>
            <w:pStyle w:val="Zhlav"/>
            <w:ind w:right="-115"/>
            <w:jc w:val="right"/>
          </w:pPr>
        </w:p>
      </w:tc>
    </w:tr>
  </w:tbl>
  <w:p w14:paraId="31C13316" w14:textId="77777777" w:rsidR="00DD15F0" w:rsidRDefault="00DD15F0">
    <w:pPr>
      <w:pStyle w:val="Zhlav"/>
    </w:pPr>
    <w:r>
      <w:rPr>
        <w:noProof/>
        <w:lang w:val="cs-CZ" w:eastAsia="cs-CZ"/>
      </w:rPr>
      <mc:AlternateContent>
        <mc:Choice Requires="wps">
          <w:drawing>
            <wp:anchor distT="0" distB="0" distL="114300" distR="114300" simplePos="0" relativeHeight="251658245" behindDoc="1" locked="0" layoutInCell="0" allowOverlap="1" wp14:anchorId="0976B270" wp14:editId="29A836B9">
              <wp:simplePos x="0" y="0"/>
              <wp:positionH relativeFrom="margin">
                <wp:align>center</wp:align>
              </wp:positionH>
              <wp:positionV relativeFrom="margin">
                <wp:align>center</wp:align>
              </wp:positionV>
              <wp:extent cx="5801360" cy="2320290"/>
              <wp:effectExtent l="0" t="0" r="0" b="0"/>
              <wp:wrapNone/>
              <wp:docPr id="39" name="PowerPlusWaterMarkObject34504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rot="18900000">
                        <a:off x="0" y="0"/>
                        <a:ext cx="5801360" cy="232029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4449CDA1" w14:textId="77777777" w:rsidR="00DD15F0" w:rsidRDefault="00DD15F0" w:rsidP="004D2249">
                          <w:pPr>
                            <w:jc w:val="center"/>
                            <w:rPr>
                              <w:color w:val="FFFF00"/>
                              <w:sz w:val="72"/>
                              <w:szCs w:val="72"/>
                              <w14:textFill>
                                <w14:solidFill>
                                  <w14:srgbClr w14:val="FFFF00">
                                    <w14:alpha w14:val="50000"/>
                                  </w14:srgbClr>
                                </w14:solidFill>
                              </w14:textFill>
                            </w:rPr>
                          </w:pPr>
                          <w:r>
                            <w:rPr>
                              <w:color w:val="FFFF00"/>
                              <w:sz w:val="72"/>
                              <w:szCs w:val="72"/>
                              <w14:textFill>
                                <w14:solidFill>
                                  <w14:srgbClr w14:val="FFFF00">
                                    <w14:alpha w14:val="50000"/>
                                  </w14:srgbClr>
                                </w14:solidFill>
                              </w14:textFill>
                            </w:rPr>
                            <w:t>draft</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0976B270" id="_x0000_t202" coordsize="21600,21600" o:spt="202" path="m,l,21600r21600,l21600,xe">
              <v:stroke joinstyle="miter"/>
              <v:path gradientshapeok="t" o:connecttype="rect"/>
            </v:shapetype>
            <v:shape id="PowerPlusWaterMarkObject3450424" o:spid="_x0000_s1027" type="#_x0000_t202" style="position:absolute;left:0;text-align:left;margin-left:0;margin-top:0;width:456.8pt;height:182.7pt;rotation:-45;z-index:-251658235;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" o:allowincell="f" filled="f" stroked="f">
              <v:stroke joinstyle="round"/>
              <v:path arrowok="t"/>
              <v:textbox>
                <w:txbxContent>
                  <w:p w14:paraId="4449CDA1" w14:textId="77777777" w:rsidR="00DD15F0" w:rsidRDefault="00DD15F0" w:rsidP="004D2249">
                    <w:pPr>
                      <w:jc w:val="center"/>
                      <w:rPr>
                        <w:color w:val="FFFF00"/>
                        <w:sz w:val="72"/>
                        <w:szCs w:val="72"/>
                        <w14:textFill>
                          <w14:solidFill>
                            <w14:srgbClr w14:val="FFFF00">
                              <w14:alpha w14:val="50000"/>
                            </w14:srgbClr>
                          </w14:solidFill>
                        </w14:textFill>
                      </w:rPr>
                    </w:pPr>
                    <w:r>
                      <w:rPr>
                        <w:color w:val="FFFF00"/>
                        <w:sz w:val="72"/>
                        <w:szCs w:val="72"/>
                        <w14:textFill>
                          <w14:solidFill>
                            <w14:srgbClr w14:val="FFFF00">
                              <w14:alpha w14:val="50000"/>
                            </w14:srgbClr>
                          </w14:solidFill>
                        </w14:textFill>
                      </w:rPr>
                      <w:t>draft</w:t>
                    </w:r>
                  </w:p>
                </w:txbxContent>
              </v:textbox>
              <w10:wrap anchorx="margin" anchory="margin"/>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DF36B9" w14:textId="79AE82EE" w:rsidR="00DD15F0" w:rsidRDefault="00DD15F0">
    <w:pPr>
      <w:pStyle w:val="Zhlav"/>
    </w:pPr>
    <w:r>
      <w:rPr>
        <w:noProof/>
      </w:rPr>
      <w:pict w14:anchorId="039DB1C8">
        <v:shapetype id="_x0000_t202" coordsize="21600,21600" o:spt="202" path="m,l,21600r21600,l21600,xe">
          <v:stroke joinstyle="miter"/>
          <v:path gradientshapeok="t" o:connecttype="rect"/>
        </v:shapetype>
        <v:shape id="PowerPlusWaterMarkObject3450428" o:spid="_x0000_s2062" type="#_x0000_t202" style="position:absolute;left:0;text-align:left;margin-left:0;margin-top:0;width:456.8pt;height:182.7pt;rotation:-45;z-index:-251658234;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" o:allowincell="f" filled="f" stroked="f">
          <o:lock v:ext="edit" aspectratio="t" verticies="t" shapetype="t"/>
          <v:textbox style="mso-next-textbox:#PowerPlusWaterMarkObject3450428">
            <w:txbxContent>
              <w:p w14:paraId="5E626550" w14:textId="77777777" w:rsidR="00DD15F0" w:rsidRDefault="00DD15F0" w:rsidP="004D2249">
                <w:pPr>
                  <w:jc w:val="center"/>
                  <w:rPr>
                    <w:color w:val="FFFF00"/>
                    <w:sz w:val="72"/>
                    <w:szCs w:val="72"/>
                    <w14:textFill>
                      <w14:solidFill>
                        <w14:srgbClr w14:val="FFFF00">
                          <w14:alpha w14:val="50000"/>
                        </w14:srgbClr>
                      </w14:solidFill>
                    </w14:textFill>
                  </w:rPr>
                </w:pPr>
                <w:r>
                  <w:rPr>
                    <w:color w:val="FFFF00"/>
                    <w:sz w:val="72"/>
                    <w:szCs w:val="72"/>
                    <w14:textFill>
                      <w14:solidFill>
                        <w14:srgbClr w14:val="FFFF00">
                          <w14:alpha w14:val="50000"/>
                        </w14:srgbClr>
                      </w14:solidFill>
                    </w14:textFill>
                  </w:rPr>
                  <w:t>draft</w:t>
                </w:r>
              </w:p>
            </w:txbxContent>
          </v:textbox>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4A0" w:firstRow="1" w:lastRow="0" w:firstColumn="1" w:lastColumn="0" w:noHBand="0" w:noVBand="1"/>
    </w:tblPr>
    <w:tblGrid>
      <w:gridCol w:w="3024"/>
      <w:gridCol w:w="3024"/>
      <w:gridCol w:w="3024"/>
    </w:tblGrid>
    <w:tr w:rsidR="00DD15F0" w14:paraId="7AEECACB" w14:textId="77777777" w:rsidTr="004D2249">
      <w:tc>
        <w:tcPr>
          <w:tcW w:w="3024" w:type="dxa"/>
        </w:tcPr>
        <w:p w14:paraId="615F11D4" w14:textId="77777777" w:rsidR="00DD15F0" w:rsidRDefault="00DD15F0" w:rsidP="004D2249">
          <w:pPr>
            <w:pStyle w:val="Zhlav"/>
            <w:ind w:left="-115"/>
            <w:jc w:val="left"/>
          </w:pPr>
        </w:p>
      </w:tc>
      <w:tc>
        <w:tcPr>
          <w:tcW w:w="3024" w:type="dxa"/>
        </w:tcPr>
        <w:p w14:paraId="173BD419" w14:textId="77777777" w:rsidR="00DD15F0" w:rsidRDefault="00DD15F0" w:rsidP="004D2249">
          <w:pPr>
            <w:pStyle w:val="Zhlav"/>
            <w:jc w:val="center"/>
          </w:pPr>
        </w:p>
      </w:tc>
      <w:tc>
        <w:tcPr>
          <w:tcW w:w="3024" w:type="dxa"/>
        </w:tcPr>
        <w:p w14:paraId="6D449401" w14:textId="77777777" w:rsidR="00DD15F0" w:rsidRDefault="00DD15F0" w:rsidP="004D2249">
          <w:pPr>
            <w:pStyle w:val="Zhlav"/>
            <w:ind w:right="-115"/>
            <w:jc w:val="right"/>
          </w:pPr>
        </w:p>
      </w:tc>
    </w:tr>
  </w:tbl>
  <w:p w14:paraId="35E6C542" w14:textId="36E1CDE3" w:rsidR="00DD15F0" w:rsidRDefault="00DD15F0">
    <w:pPr>
      <w:pStyle w:val="Zhlav"/>
    </w:pPr>
    <w:r>
      <w:rPr>
        <w:noProof/>
      </w:rPr>
      <w:pict w14:anchorId="1E6C97FC">
        <v:shapetype id="_x0000_t202" coordsize="21600,21600" o:spt="202" path="m,l,21600r21600,l21600,xe">
          <v:stroke joinstyle="miter"/>
          <v:path gradientshapeok="t" o:connecttype="rect"/>
        </v:shapetype>
        <v:shape id="PowerPlusWaterMarkObject3450429" o:spid="_x0000_s2061" type="#_x0000_t202" style="position:absolute;left:0;text-align:left;margin-left:0;margin-top:0;width:456.8pt;height:182.7pt;rotation:-45;z-index:-251658233;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" o:allowincell="f" filled="f" stroked="f">
          <o:lock v:ext="edit" aspectratio="t" verticies="t" shapetype="t"/>
          <v:textbox style="mso-next-textbox:#PowerPlusWaterMarkObject3450429">
            <w:txbxContent>
              <w:p w14:paraId="7FD5A75E" w14:textId="77777777" w:rsidR="00DD15F0" w:rsidRDefault="00DD15F0" w:rsidP="004D2249">
                <w:pPr>
                  <w:jc w:val="center"/>
                  <w:rPr>
                    <w:color w:val="FFFF00"/>
                    <w:sz w:val="72"/>
                    <w:szCs w:val="72"/>
                    <w14:textFill>
                      <w14:solidFill>
                        <w14:srgbClr w14:val="FFFF00">
                          <w14:alpha w14:val="50000"/>
                        </w14:srgbClr>
                      </w14:solidFill>
                    </w14:textFill>
                  </w:rPr>
                </w:pPr>
                <w:r>
                  <w:rPr>
                    <w:color w:val="FFFF00"/>
                    <w:sz w:val="72"/>
                    <w:szCs w:val="72"/>
                    <w14:textFill>
                      <w14:solidFill>
                        <w14:srgbClr w14:val="FFFF00">
                          <w14:alpha w14:val="50000"/>
                        </w14:srgbClr>
                      </w14:solidFill>
                    </w14:textFill>
                  </w:rPr>
                  <w:t>draft</w:t>
                </w:r>
              </w:p>
            </w:txbxContent>
          </v:textbox>
          <w10:wrap anchorx="margin" anchory="margin"/>
        </v:shape>
      </w:pict>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4A0" w:firstRow="1" w:lastRow="0" w:firstColumn="1" w:lastColumn="0" w:noHBand="0" w:noVBand="1"/>
    </w:tblPr>
    <w:tblGrid>
      <w:gridCol w:w="3024"/>
      <w:gridCol w:w="3024"/>
      <w:gridCol w:w="3024"/>
    </w:tblGrid>
    <w:tr w:rsidR="00DD15F0" w14:paraId="064B4CD9" w14:textId="77777777" w:rsidTr="004D2249">
      <w:tc>
        <w:tcPr>
          <w:tcW w:w="3024" w:type="dxa"/>
        </w:tcPr>
        <w:p w14:paraId="7D808C38" w14:textId="77777777" w:rsidR="00DD15F0" w:rsidRDefault="00DD15F0" w:rsidP="004D2249">
          <w:pPr>
            <w:pStyle w:val="Zhlav"/>
            <w:ind w:left="-115"/>
            <w:jc w:val="left"/>
          </w:pPr>
        </w:p>
      </w:tc>
      <w:tc>
        <w:tcPr>
          <w:tcW w:w="3024" w:type="dxa"/>
        </w:tcPr>
        <w:p w14:paraId="47902BDE" w14:textId="77777777" w:rsidR="00DD15F0" w:rsidRDefault="00DD15F0" w:rsidP="004D2249">
          <w:pPr>
            <w:pStyle w:val="Zhlav"/>
            <w:jc w:val="center"/>
          </w:pPr>
        </w:p>
      </w:tc>
      <w:tc>
        <w:tcPr>
          <w:tcW w:w="3024" w:type="dxa"/>
        </w:tcPr>
        <w:p w14:paraId="00EFB04E" w14:textId="77777777" w:rsidR="00DD15F0" w:rsidRDefault="00DD15F0" w:rsidP="004D2249">
          <w:pPr>
            <w:pStyle w:val="Zhlav"/>
            <w:ind w:right="-115"/>
            <w:jc w:val="right"/>
          </w:pPr>
        </w:p>
      </w:tc>
    </w:tr>
  </w:tbl>
  <w:p w14:paraId="11CFD044" w14:textId="0FA446D3" w:rsidR="00DD15F0" w:rsidRDefault="00DD15F0">
    <w:pPr>
      <w:pStyle w:val="Zhlav"/>
    </w:pPr>
    <w:r>
      <w:rPr>
        <w:noProof/>
      </w:rPr>
      <w:pict w14:anchorId="35EF3222">
        <v:shapetype id="_x0000_t202" coordsize="21600,21600" o:spt="202" path="m,l,21600r21600,l21600,xe">
          <v:stroke joinstyle="miter"/>
          <v:path gradientshapeok="t" o:connecttype="rect"/>
        </v:shapetype>
        <v:shape id="PowerPlusWaterMarkObject3450427" o:spid="_x0000_s2060" type="#_x0000_t202" style="position:absolute;left:0;text-align:left;margin-left:0;margin-top:0;width:456.8pt;height:182.7pt;rotation:-45;z-index:-25165823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" o:allowincell="f" filled="f" stroked="f">
          <o:lock v:ext="edit" aspectratio="t" verticies="t" shapetype="t"/>
          <v:textbox style="mso-next-textbox:#PowerPlusWaterMarkObject3450427">
            <w:txbxContent>
              <w:p w14:paraId="4282C446" w14:textId="77777777" w:rsidR="00DD15F0" w:rsidRDefault="00DD15F0" w:rsidP="004D2249">
                <w:pPr>
                  <w:jc w:val="center"/>
                  <w:rPr>
                    <w:color w:val="FFFF00"/>
                    <w:sz w:val="72"/>
                    <w:szCs w:val="72"/>
                    <w14:textFill>
                      <w14:solidFill>
                        <w14:srgbClr w14:val="FFFF00">
                          <w14:alpha w14:val="50000"/>
                        </w14:srgbClr>
                      </w14:solidFill>
                    </w14:textFill>
                  </w:rPr>
                </w:pPr>
                <w:r>
                  <w:rPr>
                    <w:color w:val="FFFF00"/>
                    <w:sz w:val="72"/>
                    <w:szCs w:val="72"/>
                    <w14:textFill>
                      <w14:solidFill>
                        <w14:srgbClr w14:val="FFFF00">
                          <w14:alpha w14:val="50000"/>
                        </w14:srgbClr>
                      </w14:solidFill>
                    </w14:textFill>
                  </w:rPr>
                  <w:t>draft</w:t>
                </w:r>
              </w:p>
            </w:txbxContent>
          </v:textbox>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2"/>
    <w:multiLevelType w:val="singleLevel"/>
    <w:tmpl w:val="6C7893E6"/>
    <w:lvl w:ilvl="0">
      <w:start w:val="1"/>
      <w:numFmt w:val="bullet"/>
      <w:pStyle w:val="Seznamsodrkami3"/>
      <w:lvlText w:val=""/>
      <w:lvlJc w:val="left"/>
      <w:pPr>
        <w:tabs>
          <w:tab w:val="num" w:pos="926"/>
        </w:tabs>
        <w:ind w:left="926" w:hanging="360"/>
      </w:pPr>
      <w:rPr>
        <w:rFonts w:ascii="Symbol" w:hAnsi="Symbol" w:hint="default"/>
      </w:rPr>
    </w:lvl>
  </w:abstractNum>
  <w:abstractNum w:abstractNumId="1" w15:restartNumberingAfterBreak="0">
    <w:nsid w:val="FFFFFF89"/>
    <w:multiLevelType w:val="singleLevel"/>
    <w:tmpl w:val="1A686A5A"/>
    <w:lvl w:ilvl="0">
      <w:start w:val="1"/>
      <w:numFmt w:val="bullet"/>
      <w:pStyle w:val="Seznamsodrkami"/>
      <w:lvlText w:val=""/>
      <w:lvlJc w:val="left"/>
      <w:pPr>
        <w:tabs>
          <w:tab w:val="num" w:pos="360"/>
        </w:tabs>
        <w:ind w:left="360" w:hanging="360"/>
      </w:pPr>
      <w:rPr>
        <w:rFonts w:ascii="Symbol" w:hAnsi="Symbol" w:hint="default"/>
      </w:rPr>
    </w:lvl>
  </w:abstractNum>
  <w:abstractNum w:abstractNumId="2" w15:restartNumberingAfterBreak="0">
    <w:nsid w:val="0A127BC8"/>
    <w:multiLevelType w:val="multilevel"/>
    <w:tmpl w:val="1FDE13DA"/>
    <w:lvl w:ilvl="0">
      <w:start w:val="1"/>
      <w:numFmt w:val="decimal"/>
      <w:pStyle w:val="TableheadingAgency"/>
      <w:suff w:val="space"/>
      <w:lvlText w:val="Table %1. "/>
      <w:lvlJc w:val="left"/>
      <w:pPr>
        <w:ind w:left="0" w:firstLine="0"/>
      </w:pPr>
      <w:rPr>
        <w:rFonts w:ascii="Verdana" w:hAnsi="Verdana" w:hint="default"/>
        <w:b/>
        <w:i w:val="0"/>
        <w:sz w:val="18"/>
        <w:szCs w:val="18"/>
      </w:rPr>
    </w:lvl>
    <w:lvl w:ilvl="1">
      <w:start w:val="1"/>
      <w:numFmt w:val="decimalZero"/>
      <w:isLgl/>
      <w:lvlText w:val="%1Section .%2"/>
      <w:lvlJc w:val="left"/>
      <w:pPr>
        <w:tabs>
          <w:tab w:val="num" w:pos="108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3" w15:restartNumberingAfterBreak="0">
    <w:nsid w:val="0A895C66"/>
    <w:multiLevelType w:val="hybridMultilevel"/>
    <w:tmpl w:val="0DC0E7F0"/>
    <w:lvl w:ilvl="0" w:tplc="04050003">
      <w:start w:val="1"/>
      <w:numFmt w:val="bullet"/>
      <w:lvlText w:val="o"/>
      <w:lvlJc w:val="left"/>
      <w:pPr>
        <w:ind w:left="1440" w:hanging="360"/>
      </w:pPr>
      <w:rPr>
        <w:rFonts w:ascii="Courier New" w:hAnsi="Courier New" w:cs="Courier New"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4" w15:restartNumberingAfterBreak="0">
    <w:nsid w:val="0F5676B5"/>
    <w:multiLevelType w:val="hybridMultilevel"/>
    <w:tmpl w:val="ED0EC324"/>
    <w:lvl w:ilvl="0" w:tplc="CC427364">
      <w:start w:val="1"/>
      <w:numFmt w:val="decimal"/>
      <w:pStyle w:val="UZEINadpis3st"/>
      <w:lvlText w:val="1.1.%1"/>
      <w:lvlJc w:val="left"/>
      <w:pPr>
        <w:ind w:left="1287" w:hanging="360"/>
      </w:pPr>
      <w:rPr>
        <w:rFonts w:hint="default"/>
        <w:color w:val="auto"/>
        <w:sz w:val="24"/>
        <w:u w:val="none" w:color="FFFFFF" w:themeColor="background1"/>
      </w:rPr>
    </w:lvl>
    <w:lvl w:ilvl="1" w:tplc="04050019" w:tentative="1">
      <w:start w:val="1"/>
      <w:numFmt w:val="lowerLetter"/>
      <w:lvlText w:val="%2."/>
      <w:lvlJc w:val="left"/>
      <w:pPr>
        <w:ind w:left="2007" w:hanging="360"/>
      </w:pPr>
    </w:lvl>
    <w:lvl w:ilvl="2" w:tplc="0405001B" w:tentative="1">
      <w:start w:val="1"/>
      <w:numFmt w:val="lowerRoman"/>
      <w:lvlText w:val="%3."/>
      <w:lvlJc w:val="right"/>
      <w:pPr>
        <w:ind w:left="2727" w:hanging="180"/>
      </w:pPr>
    </w:lvl>
    <w:lvl w:ilvl="3" w:tplc="0405000F" w:tentative="1">
      <w:start w:val="1"/>
      <w:numFmt w:val="decimal"/>
      <w:lvlText w:val="%4."/>
      <w:lvlJc w:val="left"/>
      <w:pPr>
        <w:ind w:left="3447" w:hanging="360"/>
      </w:pPr>
    </w:lvl>
    <w:lvl w:ilvl="4" w:tplc="04050019" w:tentative="1">
      <w:start w:val="1"/>
      <w:numFmt w:val="lowerLetter"/>
      <w:lvlText w:val="%5."/>
      <w:lvlJc w:val="left"/>
      <w:pPr>
        <w:ind w:left="4167" w:hanging="360"/>
      </w:pPr>
    </w:lvl>
    <w:lvl w:ilvl="5" w:tplc="0405001B" w:tentative="1">
      <w:start w:val="1"/>
      <w:numFmt w:val="lowerRoman"/>
      <w:lvlText w:val="%6."/>
      <w:lvlJc w:val="right"/>
      <w:pPr>
        <w:ind w:left="4887" w:hanging="180"/>
      </w:pPr>
    </w:lvl>
    <w:lvl w:ilvl="6" w:tplc="0405000F" w:tentative="1">
      <w:start w:val="1"/>
      <w:numFmt w:val="decimal"/>
      <w:lvlText w:val="%7."/>
      <w:lvlJc w:val="left"/>
      <w:pPr>
        <w:ind w:left="5607" w:hanging="360"/>
      </w:pPr>
    </w:lvl>
    <w:lvl w:ilvl="7" w:tplc="04050019" w:tentative="1">
      <w:start w:val="1"/>
      <w:numFmt w:val="lowerLetter"/>
      <w:lvlText w:val="%8."/>
      <w:lvlJc w:val="left"/>
      <w:pPr>
        <w:ind w:left="6327" w:hanging="360"/>
      </w:pPr>
    </w:lvl>
    <w:lvl w:ilvl="8" w:tplc="0405001B" w:tentative="1">
      <w:start w:val="1"/>
      <w:numFmt w:val="lowerRoman"/>
      <w:lvlText w:val="%9."/>
      <w:lvlJc w:val="right"/>
      <w:pPr>
        <w:ind w:left="7047" w:hanging="180"/>
      </w:pPr>
    </w:lvl>
  </w:abstractNum>
  <w:abstractNum w:abstractNumId="5" w15:restartNumberingAfterBreak="0">
    <w:nsid w:val="103D2E37"/>
    <w:multiLevelType w:val="multilevel"/>
    <w:tmpl w:val="1A5A7714"/>
    <w:lvl w:ilvl="0">
      <w:start w:val="1"/>
      <w:numFmt w:val="decimal"/>
      <w:lvlText w:val="%1."/>
      <w:lvlJc w:val="left"/>
      <w:pPr>
        <w:ind w:left="720" w:hanging="360"/>
      </w:pPr>
      <w:rPr>
        <w:rFonts w:ascii="Arial" w:hAnsi="Arial" w:cs="Arial" w:hint="default"/>
        <w:b/>
        <w:sz w:val="28"/>
        <w:szCs w:val="28"/>
      </w:rPr>
    </w:lvl>
    <w:lvl w:ilvl="1">
      <w:start w:val="1"/>
      <w:numFmt w:val="decimal"/>
      <w:lvlText w:val="%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6" w15:restartNumberingAfterBreak="0">
    <w:nsid w:val="108857A6"/>
    <w:multiLevelType w:val="hybridMultilevel"/>
    <w:tmpl w:val="718C9AFE"/>
    <w:lvl w:ilvl="0" w:tplc="04050003">
      <w:start w:val="1"/>
      <w:numFmt w:val="bullet"/>
      <w:lvlText w:val="o"/>
      <w:lvlJc w:val="left"/>
      <w:pPr>
        <w:ind w:left="1440" w:hanging="360"/>
      </w:pPr>
      <w:rPr>
        <w:rFonts w:ascii="Courier New" w:hAnsi="Courier New" w:cs="Courier New"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7" w15:restartNumberingAfterBreak="0">
    <w:nsid w:val="11F80470"/>
    <w:multiLevelType w:val="hybridMultilevel"/>
    <w:tmpl w:val="FDC865A4"/>
    <w:lvl w:ilvl="0" w:tplc="04050003">
      <w:start w:val="1"/>
      <w:numFmt w:val="bullet"/>
      <w:lvlText w:val="o"/>
      <w:lvlJc w:val="left"/>
      <w:pPr>
        <w:ind w:left="1800" w:hanging="360"/>
      </w:pPr>
      <w:rPr>
        <w:rFonts w:ascii="Courier New" w:hAnsi="Courier New" w:cs="Courier New" w:hint="default"/>
      </w:rPr>
    </w:lvl>
    <w:lvl w:ilvl="1" w:tplc="04050003" w:tentative="1">
      <w:start w:val="1"/>
      <w:numFmt w:val="bullet"/>
      <w:lvlText w:val="o"/>
      <w:lvlJc w:val="left"/>
      <w:pPr>
        <w:ind w:left="2520" w:hanging="360"/>
      </w:pPr>
      <w:rPr>
        <w:rFonts w:ascii="Courier New" w:hAnsi="Courier New" w:cs="Courier New" w:hint="default"/>
      </w:rPr>
    </w:lvl>
    <w:lvl w:ilvl="2" w:tplc="04050005" w:tentative="1">
      <w:start w:val="1"/>
      <w:numFmt w:val="bullet"/>
      <w:lvlText w:val=""/>
      <w:lvlJc w:val="left"/>
      <w:pPr>
        <w:ind w:left="3240" w:hanging="360"/>
      </w:pPr>
      <w:rPr>
        <w:rFonts w:ascii="Wingdings" w:hAnsi="Wingdings" w:hint="default"/>
      </w:rPr>
    </w:lvl>
    <w:lvl w:ilvl="3" w:tplc="04050001" w:tentative="1">
      <w:start w:val="1"/>
      <w:numFmt w:val="bullet"/>
      <w:lvlText w:val=""/>
      <w:lvlJc w:val="left"/>
      <w:pPr>
        <w:ind w:left="3960" w:hanging="360"/>
      </w:pPr>
      <w:rPr>
        <w:rFonts w:ascii="Symbol" w:hAnsi="Symbol" w:hint="default"/>
      </w:rPr>
    </w:lvl>
    <w:lvl w:ilvl="4" w:tplc="04050003" w:tentative="1">
      <w:start w:val="1"/>
      <w:numFmt w:val="bullet"/>
      <w:lvlText w:val="o"/>
      <w:lvlJc w:val="left"/>
      <w:pPr>
        <w:ind w:left="4680" w:hanging="360"/>
      </w:pPr>
      <w:rPr>
        <w:rFonts w:ascii="Courier New" w:hAnsi="Courier New" w:cs="Courier New" w:hint="default"/>
      </w:rPr>
    </w:lvl>
    <w:lvl w:ilvl="5" w:tplc="04050005" w:tentative="1">
      <w:start w:val="1"/>
      <w:numFmt w:val="bullet"/>
      <w:lvlText w:val=""/>
      <w:lvlJc w:val="left"/>
      <w:pPr>
        <w:ind w:left="5400" w:hanging="360"/>
      </w:pPr>
      <w:rPr>
        <w:rFonts w:ascii="Wingdings" w:hAnsi="Wingdings" w:hint="default"/>
      </w:rPr>
    </w:lvl>
    <w:lvl w:ilvl="6" w:tplc="04050001" w:tentative="1">
      <w:start w:val="1"/>
      <w:numFmt w:val="bullet"/>
      <w:lvlText w:val=""/>
      <w:lvlJc w:val="left"/>
      <w:pPr>
        <w:ind w:left="6120" w:hanging="360"/>
      </w:pPr>
      <w:rPr>
        <w:rFonts w:ascii="Symbol" w:hAnsi="Symbol" w:hint="default"/>
      </w:rPr>
    </w:lvl>
    <w:lvl w:ilvl="7" w:tplc="04050003" w:tentative="1">
      <w:start w:val="1"/>
      <w:numFmt w:val="bullet"/>
      <w:lvlText w:val="o"/>
      <w:lvlJc w:val="left"/>
      <w:pPr>
        <w:ind w:left="6840" w:hanging="360"/>
      </w:pPr>
      <w:rPr>
        <w:rFonts w:ascii="Courier New" w:hAnsi="Courier New" w:cs="Courier New" w:hint="default"/>
      </w:rPr>
    </w:lvl>
    <w:lvl w:ilvl="8" w:tplc="04050005" w:tentative="1">
      <w:start w:val="1"/>
      <w:numFmt w:val="bullet"/>
      <w:lvlText w:val=""/>
      <w:lvlJc w:val="left"/>
      <w:pPr>
        <w:ind w:left="7560" w:hanging="360"/>
      </w:pPr>
      <w:rPr>
        <w:rFonts w:ascii="Wingdings" w:hAnsi="Wingdings" w:hint="default"/>
      </w:rPr>
    </w:lvl>
  </w:abstractNum>
  <w:abstractNum w:abstractNumId="8" w15:restartNumberingAfterBreak="0">
    <w:nsid w:val="120F7E12"/>
    <w:multiLevelType w:val="hybridMultilevel"/>
    <w:tmpl w:val="ADDC6166"/>
    <w:lvl w:ilvl="0" w:tplc="DAD2357C">
      <w:start w:val="5"/>
      <w:numFmt w:val="lowerRoman"/>
      <w:lvlText w:val="%1."/>
      <w:lvlJc w:val="right"/>
      <w:pPr>
        <w:ind w:left="720" w:hanging="360"/>
      </w:pPr>
      <w:rPr>
        <w:rFonts w:hint="default"/>
        <w:b/>
        <w:i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166D1B51"/>
    <w:multiLevelType w:val="hybridMultilevel"/>
    <w:tmpl w:val="3A1CBFBC"/>
    <w:lvl w:ilvl="0" w:tplc="182493EC">
      <w:start w:val="1"/>
      <w:numFmt w:val="lowerRoman"/>
      <w:lvlText w:val="%1."/>
      <w:lvlJc w:val="righ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1A9E612C"/>
    <w:multiLevelType w:val="hybridMultilevel"/>
    <w:tmpl w:val="1F72DCCE"/>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1F4D1236"/>
    <w:multiLevelType w:val="hybridMultilevel"/>
    <w:tmpl w:val="CCF69B0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1F511E4A"/>
    <w:multiLevelType w:val="hybridMultilevel"/>
    <w:tmpl w:val="34F4C7F8"/>
    <w:lvl w:ilvl="0" w:tplc="04050017">
      <w:start w:val="1"/>
      <w:numFmt w:val="lowerLetter"/>
      <w:lvlText w:val="%1)"/>
      <w:lvlJc w:val="left"/>
      <w:pPr>
        <w:ind w:left="1287" w:hanging="360"/>
      </w:pPr>
      <w:rPr>
        <w:rFonts w:hint="default"/>
      </w:rPr>
    </w:lvl>
    <w:lvl w:ilvl="1" w:tplc="04050003">
      <w:start w:val="1"/>
      <w:numFmt w:val="bullet"/>
      <w:lvlText w:val="o"/>
      <w:lvlJc w:val="left"/>
      <w:pPr>
        <w:ind w:left="2007" w:hanging="360"/>
      </w:pPr>
      <w:rPr>
        <w:rFonts w:ascii="Courier New" w:hAnsi="Courier New" w:cs="Courier New" w:hint="default"/>
      </w:rPr>
    </w:lvl>
    <w:lvl w:ilvl="2" w:tplc="29A4DA64">
      <w:start w:val="1"/>
      <w:numFmt w:val="decimal"/>
      <w:lvlText w:val="%3)"/>
      <w:lvlJc w:val="left"/>
      <w:pPr>
        <w:ind w:left="2727" w:hanging="360"/>
      </w:pPr>
      <w:rPr>
        <w:rFont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13" w15:restartNumberingAfterBreak="0">
    <w:nsid w:val="22DA2E88"/>
    <w:multiLevelType w:val="hybridMultilevel"/>
    <w:tmpl w:val="CC4C37EA"/>
    <w:lvl w:ilvl="0" w:tplc="9BDAA73C">
      <w:start w:val="1"/>
      <w:numFmt w:val="lowerRoman"/>
      <w:lvlText w:val="%1."/>
      <w:lvlJc w:val="righ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26554790"/>
    <w:multiLevelType w:val="hybridMultilevel"/>
    <w:tmpl w:val="37308C94"/>
    <w:lvl w:ilvl="0" w:tplc="04050003">
      <w:start w:val="1"/>
      <w:numFmt w:val="bullet"/>
      <w:lvlText w:val="o"/>
      <w:lvlJc w:val="left"/>
      <w:pPr>
        <w:ind w:left="1211" w:hanging="360"/>
      </w:pPr>
      <w:rPr>
        <w:rFonts w:ascii="Courier New" w:hAnsi="Courier New" w:cs="Courier New" w:hint="default"/>
      </w:rPr>
    </w:lvl>
    <w:lvl w:ilvl="1" w:tplc="04050003" w:tentative="1">
      <w:start w:val="1"/>
      <w:numFmt w:val="bullet"/>
      <w:lvlText w:val="o"/>
      <w:lvlJc w:val="left"/>
      <w:pPr>
        <w:ind w:left="1931" w:hanging="360"/>
      </w:pPr>
      <w:rPr>
        <w:rFonts w:ascii="Courier New" w:hAnsi="Courier New" w:cs="Courier New" w:hint="default"/>
      </w:rPr>
    </w:lvl>
    <w:lvl w:ilvl="2" w:tplc="04050005" w:tentative="1">
      <w:start w:val="1"/>
      <w:numFmt w:val="bullet"/>
      <w:lvlText w:val=""/>
      <w:lvlJc w:val="left"/>
      <w:pPr>
        <w:ind w:left="2651" w:hanging="360"/>
      </w:pPr>
      <w:rPr>
        <w:rFonts w:ascii="Wingdings" w:hAnsi="Wingdings" w:hint="default"/>
      </w:rPr>
    </w:lvl>
    <w:lvl w:ilvl="3" w:tplc="04050001" w:tentative="1">
      <w:start w:val="1"/>
      <w:numFmt w:val="bullet"/>
      <w:lvlText w:val=""/>
      <w:lvlJc w:val="left"/>
      <w:pPr>
        <w:ind w:left="3371" w:hanging="360"/>
      </w:pPr>
      <w:rPr>
        <w:rFonts w:ascii="Symbol" w:hAnsi="Symbol" w:hint="default"/>
      </w:rPr>
    </w:lvl>
    <w:lvl w:ilvl="4" w:tplc="04050003" w:tentative="1">
      <w:start w:val="1"/>
      <w:numFmt w:val="bullet"/>
      <w:lvlText w:val="o"/>
      <w:lvlJc w:val="left"/>
      <w:pPr>
        <w:ind w:left="4091" w:hanging="360"/>
      </w:pPr>
      <w:rPr>
        <w:rFonts w:ascii="Courier New" w:hAnsi="Courier New" w:cs="Courier New" w:hint="default"/>
      </w:rPr>
    </w:lvl>
    <w:lvl w:ilvl="5" w:tplc="04050005" w:tentative="1">
      <w:start w:val="1"/>
      <w:numFmt w:val="bullet"/>
      <w:lvlText w:val=""/>
      <w:lvlJc w:val="left"/>
      <w:pPr>
        <w:ind w:left="4811" w:hanging="360"/>
      </w:pPr>
      <w:rPr>
        <w:rFonts w:ascii="Wingdings" w:hAnsi="Wingdings" w:hint="default"/>
      </w:rPr>
    </w:lvl>
    <w:lvl w:ilvl="6" w:tplc="04050001" w:tentative="1">
      <w:start w:val="1"/>
      <w:numFmt w:val="bullet"/>
      <w:lvlText w:val=""/>
      <w:lvlJc w:val="left"/>
      <w:pPr>
        <w:ind w:left="5531" w:hanging="360"/>
      </w:pPr>
      <w:rPr>
        <w:rFonts w:ascii="Symbol" w:hAnsi="Symbol" w:hint="default"/>
      </w:rPr>
    </w:lvl>
    <w:lvl w:ilvl="7" w:tplc="04050003" w:tentative="1">
      <w:start w:val="1"/>
      <w:numFmt w:val="bullet"/>
      <w:lvlText w:val="o"/>
      <w:lvlJc w:val="left"/>
      <w:pPr>
        <w:ind w:left="6251" w:hanging="360"/>
      </w:pPr>
      <w:rPr>
        <w:rFonts w:ascii="Courier New" w:hAnsi="Courier New" w:cs="Courier New" w:hint="default"/>
      </w:rPr>
    </w:lvl>
    <w:lvl w:ilvl="8" w:tplc="04050005" w:tentative="1">
      <w:start w:val="1"/>
      <w:numFmt w:val="bullet"/>
      <w:lvlText w:val=""/>
      <w:lvlJc w:val="left"/>
      <w:pPr>
        <w:ind w:left="6971" w:hanging="360"/>
      </w:pPr>
      <w:rPr>
        <w:rFonts w:ascii="Wingdings" w:hAnsi="Wingdings" w:hint="default"/>
      </w:rPr>
    </w:lvl>
  </w:abstractNum>
  <w:abstractNum w:abstractNumId="15" w15:restartNumberingAfterBreak="0">
    <w:nsid w:val="2A750537"/>
    <w:multiLevelType w:val="hybridMultilevel"/>
    <w:tmpl w:val="9D8EC190"/>
    <w:lvl w:ilvl="0" w:tplc="C6FE9666">
      <w:start w:val="1"/>
      <w:numFmt w:val="lowerLetter"/>
      <w:lvlText w:val="%1)"/>
      <w:lvlJc w:val="left"/>
      <w:pPr>
        <w:ind w:left="108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2C1E36ED"/>
    <w:multiLevelType w:val="hybridMultilevel"/>
    <w:tmpl w:val="D01C4188"/>
    <w:lvl w:ilvl="0" w:tplc="F9B06384">
      <w:start w:val="1"/>
      <w:numFmt w:val="lowerRoman"/>
      <w:lvlText w:val="%1."/>
      <w:lvlJc w:val="righ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2CF334BB"/>
    <w:multiLevelType w:val="hybridMultilevel"/>
    <w:tmpl w:val="559CDAA4"/>
    <w:lvl w:ilvl="0" w:tplc="04050001">
      <w:start w:val="1"/>
      <w:numFmt w:val="bullet"/>
      <w:lvlText w:val=""/>
      <w:lvlJc w:val="left"/>
      <w:pPr>
        <w:ind w:left="862" w:hanging="360"/>
      </w:pPr>
      <w:rPr>
        <w:rFonts w:ascii="Symbol" w:hAnsi="Symbol" w:hint="default"/>
      </w:rPr>
    </w:lvl>
    <w:lvl w:ilvl="1" w:tplc="04050003">
      <w:start w:val="1"/>
      <w:numFmt w:val="bullet"/>
      <w:lvlText w:val="o"/>
      <w:lvlJc w:val="left"/>
      <w:pPr>
        <w:ind w:left="1582" w:hanging="360"/>
      </w:pPr>
      <w:rPr>
        <w:rFonts w:ascii="Courier New" w:hAnsi="Courier New" w:cs="Courier New" w:hint="default"/>
      </w:rPr>
    </w:lvl>
    <w:lvl w:ilvl="2" w:tplc="04050005" w:tentative="1">
      <w:start w:val="1"/>
      <w:numFmt w:val="bullet"/>
      <w:lvlText w:val=""/>
      <w:lvlJc w:val="left"/>
      <w:pPr>
        <w:ind w:left="2302" w:hanging="360"/>
      </w:pPr>
      <w:rPr>
        <w:rFonts w:ascii="Wingdings" w:hAnsi="Wingdings" w:hint="default"/>
      </w:rPr>
    </w:lvl>
    <w:lvl w:ilvl="3" w:tplc="04050001" w:tentative="1">
      <w:start w:val="1"/>
      <w:numFmt w:val="bullet"/>
      <w:lvlText w:val=""/>
      <w:lvlJc w:val="left"/>
      <w:pPr>
        <w:ind w:left="3022" w:hanging="360"/>
      </w:pPr>
      <w:rPr>
        <w:rFonts w:ascii="Symbol" w:hAnsi="Symbol" w:hint="default"/>
      </w:rPr>
    </w:lvl>
    <w:lvl w:ilvl="4" w:tplc="04050003" w:tentative="1">
      <w:start w:val="1"/>
      <w:numFmt w:val="bullet"/>
      <w:lvlText w:val="o"/>
      <w:lvlJc w:val="left"/>
      <w:pPr>
        <w:ind w:left="3742" w:hanging="360"/>
      </w:pPr>
      <w:rPr>
        <w:rFonts w:ascii="Courier New" w:hAnsi="Courier New" w:cs="Courier New" w:hint="default"/>
      </w:rPr>
    </w:lvl>
    <w:lvl w:ilvl="5" w:tplc="04050005" w:tentative="1">
      <w:start w:val="1"/>
      <w:numFmt w:val="bullet"/>
      <w:lvlText w:val=""/>
      <w:lvlJc w:val="left"/>
      <w:pPr>
        <w:ind w:left="4462" w:hanging="360"/>
      </w:pPr>
      <w:rPr>
        <w:rFonts w:ascii="Wingdings" w:hAnsi="Wingdings" w:hint="default"/>
      </w:rPr>
    </w:lvl>
    <w:lvl w:ilvl="6" w:tplc="04050001" w:tentative="1">
      <w:start w:val="1"/>
      <w:numFmt w:val="bullet"/>
      <w:lvlText w:val=""/>
      <w:lvlJc w:val="left"/>
      <w:pPr>
        <w:ind w:left="5182" w:hanging="360"/>
      </w:pPr>
      <w:rPr>
        <w:rFonts w:ascii="Symbol" w:hAnsi="Symbol" w:hint="default"/>
      </w:rPr>
    </w:lvl>
    <w:lvl w:ilvl="7" w:tplc="04050003" w:tentative="1">
      <w:start w:val="1"/>
      <w:numFmt w:val="bullet"/>
      <w:lvlText w:val="o"/>
      <w:lvlJc w:val="left"/>
      <w:pPr>
        <w:ind w:left="5902" w:hanging="360"/>
      </w:pPr>
      <w:rPr>
        <w:rFonts w:ascii="Courier New" w:hAnsi="Courier New" w:cs="Courier New" w:hint="default"/>
      </w:rPr>
    </w:lvl>
    <w:lvl w:ilvl="8" w:tplc="04050005" w:tentative="1">
      <w:start w:val="1"/>
      <w:numFmt w:val="bullet"/>
      <w:lvlText w:val=""/>
      <w:lvlJc w:val="left"/>
      <w:pPr>
        <w:ind w:left="6622" w:hanging="360"/>
      </w:pPr>
      <w:rPr>
        <w:rFonts w:ascii="Wingdings" w:hAnsi="Wingdings" w:hint="default"/>
      </w:rPr>
    </w:lvl>
  </w:abstractNum>
  <w:abstractNum w:abstractNumId="18" w15:restartNumberingAfterBreak="0">
    <w:nsid w:val="31FD6A76"/>
    <w:multiLevelType w:val="hybridMultilevel"/>
    <w:tmpl w:val="44EC8EDC"/>
    <w:lvl w:ilvl="0" w:tplc="2F9010D6">
      <w:start w:val="1"/>
      <w:numFmt w:val="bullet"/>
      <w:pStyle w:val="UZEIOdrky"/>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9" w15:restartNumberingAfterBreak="0">
    <w:nsid w:val="33C37F5C"/>
    <w:multiLevelType w:val="multilevel"/>
    <w:tmpl w:val="CB1CA172"/>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20" w15:restartNumberingAfterBreak="0">
    <w:nsid w:val="37474A9E"/>
    <w:multiLevelType w:val="hybridMultilevel"/>
    <w:tmpl w:val="810E6C50"/>
    <w:lvl w:ilvl="0" w:tplc="78B8B9AC">
      <w:start w:val="1"/>
      <w:numFmt w:val="lowerRoman"/>
      <w:lvlText w:val="%1."/>
      <w:lvlJc w:val="righ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38862278"/>
    <w:multiLevelType w:val="hybridMultilevel"/>
    <w:tmpl w:val="1E60C3B8"/>
    <w:lvl w:ilvl="0" w:tplc="9CECB742">
      <w:start w:val="1"/>
      <w:numFmt w:val="lowerLetter"/>
      <w:lvlText w:val="%1)"/>
      <w:lvlJc w:val="left"/>
      <w:pPr>
        <w:ind w:left="1080" w:hanging="360"/>
      </w:pPr>
      <w:rPr>
        <w:rFonts w:hint="default"/>
      </w:rPr>
    </w:lvl>
    <w:lvl w:ilvl="1" w:tplc="04050001">
      <w:start w:val="1"/>
      <w:numFmt w:val="bullet"/>
      <w:lvlText w:val=""/>
      <w:lvlJc w:val="left"/>
      <w:pPr>
        <w:ind w:left="1800" w:hanging="360"/>
      </w:pPr>
      <w:rPr>
        <w:rFonts w:ascii="Symbol" w:hAnsi="Symbol" w:hint="default"/>
      </w:r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22" w15:restartNumberingAfterBreak="0">
    <w:nsid w:val="3ABA4134"/>
    <w:multiLevelType w:val="hybridMultilevel"/>
    <w:tmpl w:val="6AFA512E"/>
    <w:lvl w:ilvl="0" w:tplc="29D4061A">
      <w:start w:val="15"/>
      <w:numFmt w:val="bullet"/>
      <w:lvlText w:val="-"/>
      <w:lvlJc w:val="left"/>
      <w:pPr>
        <w:ind w:left="720" w:hanging="360"/>
      </w:pPr>
      <w:rPr>
        <w:rFonts w:ascii="Times New Roman" w:eastAsiaTheme="minorEastAsia"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3B9800B5"/>
    <w:multiLevelType w:val="hybridMultilevel"/>
    <w:tmpl w:val="6F78BBCE"/>
    <w:lvl w:ilvl="0" w:tplc="EB825EB2">
      <w:start w:val="1"/>
      <w:numFmt w:val="lowerLetter"/>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24" w15:restartNumberingAfterBreak="0">
    <w:nsid w:val="3F5B3440"/>
    <w:multiLevelType w:val="hybridMultilevel"/>
    <w:tmpl w:val="810E6C50"/>
    <w:lvl w:ilvl="0" w:tplc="78B8B9AC">
      <w:start w:val="1"/>
      <w:numFmt w:val="lowerRoman"/>
      <w:lvlText w:val="%1."/>
      <w:lvlJc w:val="righ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3F9910F2"/>
    <w:multiLevelType w:val="hybridMultilevel"/>
    <w:tmpl w:val="6B10C67C"/>
    <w:lvl w:ilvl="0" w:tplc="04050003">
      <w:start w:val="1"/>
      <w:numFmt w:val="bullet"/>
      <w:lvlText w:val="o"/>
      <w:lvlJc w:val="left"/>
      <w:pPr>
        <w:ind w:left="1440" w:hanging="360"/>
      </w:pPr>
      <w:rPr>
        <w:rFonts w:ascii="Courier New" w:hAnsi="Courier New" w:cs="Courier New"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6" w15:restartNumberingAfterBreak="0">
    <w:nsid w:val="40425330"/>
    <w:multiLevelType w:val="hybridMultilevel"/>
    <w:tmpl w:val="3CD8A1AA"/>
    <w:lvl w:ilvl="0" w:tplc="97949C64">
      <w:start w:val="1"/>
      <w:numFmt w:val="decimal"/>
      <w:pStyle w:val="UZEITaB"/>
      <w:lvlText w:val="Tabulka %1"/>
      <w:lvlJc w:val="left"/>
      <w:pPr>
        <w:ind w:left="1136" w:hanging="284"/>
      </w:pPr>
      <w:rPr>
        <w:rFonts w:hint="default"/>
      </w:rPr>
    </w:lvl>
    <w:lvl w:ilvl="1" w:tplc="04050019">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abstractNum w:abstractNumId="27" w15:restartNumberingAfterBreak="0">
    <w:nsid w:val="428415E7"/>
    <w:multiLevelType w:val="multilevel"/>
    <w:tmpl w:val="92100ADA"/>
    <w:lvl w:ilvl="0">
      <w:start w:val="1"/>
      <w:numFmt w:val="decimal"/>
      <w:pStyle w:val="slovanseznam"/>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4552127F"/>
    <w:multiLevelType w:val="hybridMultilevel"/>
    <w:tmpl w:val="057A5296"/>
    <w:name w:val="Bullet 0"/>
    <w:lvl w:ilvl="0" w:tplc="EEE2E77C">
      <w:start w:val="1"/>
      <w:numFmt w:val="bullet"/>
      <w:lvlRestart w:val="0"/>
      <w:pStyle w:val="Bullet0"/>
      <w:lvlText w:val=""/>
      <w:lvlJc w:val="left"/>
      <w:pPr>
        <w:tabs>
          <w:tab w:val="num" w:pos="850"/>
        </w:tabs>
        <w:ind w:left="850" w:hanging="850"/>
      </w:pPr>
      <w:rPr>
        <w:rFonts w:ascii="Symbol" w:hAnsi="Symbol" w:hint="default"/>
      </w:rPr>
    </w:lvl>
    <w:lvl w:ilvl="1" w:tplc="390290D0">
      <w:numFmt w:val="decimal"/>
      <w:lvlText w:val=""/>
      <w:lvlJc w:val="left"/>
    </w:lvl>
    <w:lvl w:ilvl="2" w:tplc="0CF0D3EC">
      <w:numFmt w:val="decimal"/>
      <w:lvlText w:val=""/>
      <w:lvlJc w:val="left"/>
    </w:lvl>
    <w:lvl w:ilvl="3" w:tplc="9B28E480">
      <w:numFmt w:val="decimal"/>
      <w:lvlText w:val=""/>
      <w:lvlJc w:val="left"/>
    </w:lvl>
    <w:lvl w:ilvl="4" w:tplc="ACA016A0">
      <w:numFmt w:val="decimal"/>
      <w:lvlText w:val=""/>
      <w:lvlJc w:val="left"/>
    </w:lvl>
    <w:lvl w:ilvl="5" w:tplc="350440E0">
      <w:numFmt w:val="decimal"/>
      <w:lvlText w:val=""/>
      <w:lvlJc w:val="left"/>
    </w:lvl>
    <w:lvl w:ilvl="6" w:tplc="41DA92E6">
      <w:numFmt w:val="decimal"/>
      <w:lvlText w:val=""/>
      <w:lvlJc w:val="left"/>
    </w:lvl>
    <w:lvl w:ilvl="7" w:tplc="22161716">
      <w:numFmt w:val="decimal"/>
      <w:lvlText w:val=""/>
      <w:lvlJc w:val="left"/>
    </w:lvl>
    <w:lvl w:ilvl="8" w:tplc="110072CA">
      <w:numFmt w:val="decimal"/>
      <w:lvlText w:val=""/>
      <w:lvlJc w:val="left"/>
    </w:lvl>
  </w:abstractNum>
  <w:abstractNum w:abstractNumId="29" w15:restartNumberingAfterBreak="0">
    <w:nsid w:val="47055EC8"/>
    <w:multiLevelType w:val="hybridMultilevel"/>
    <w:tmpl w:val="C50E4A6E"/>
    <w:lvl w:ilvl="0" w:tplc="08C49E6A">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30" w15:restartNumberingAfterBreak="0">
    <w:nsid w:val="4E957CCE"/>
    <w:multiLevelType w:val="hybridMultilevel"/>
    <w:tmpl w:val="D0FE3D70"/>
    <w:lvl w:ilvl="0" w:tplc="68C8569C">
      <w:start w:val="1"/>
      <w:numFmt w:val="lowerLetter"/>
      <w:lvlText w:val="%1)"/>
      <w:lvlJc w:val="left"/>
      <w:pPr>
        <w:ind w:left="1211" w:hanging="360"/>
      </w:pPr>
      <w:rPr>
        <w:rFonts w:hint="default"/>
      </w:rPr>
    </w:lvl>
    <w:lvl w:ilvl="1" w:tplc="04050001">
      <w:start w:val="1"/>
      <w:numFmt w:val="bullet"/>
      <w:lvlText w:val=""/>
      <w:lvlJc w:val="left"/>
      <w:pPr>
        <w:ind w:left="1931" w:hanging="360"/>
      </w:pPr>
      <w:rPr>
        <w:rFonts w:ascii="Symbol" w:hAnsi="Symbol" w:hint="default"/>
      </w:rPr>
    </w:lvl>
    <w:lvl w:ilvl="2" w:tplc="0405001B" w:tentative="1">
      <w:start w:val="1"/>
      <w:numFmt w:val="lowerRoman"/>
      <w:lvlText w:val="%3."/>
      <w:lvlJc w:val="right"/>
      <w:pPr>
        <w:ind w:left="2651" w:hanging="180"/>
      </w:pPr>
    </w:lvl>
    <w:lvl w:ilvl="3" w:tplc="0405000F" w:tentative="1">
      <w:start w:val="1"/>
      <w:numFmt w:val="decimal"/>
      <w:lvlText w:val="%4."/>
      <w:lvlJc w:val="left"/>
      <w:pPr>
        <w:ind w:left="3371" w:hanging="360"/>
      </w:pPr>
    </w:lvl>
    <w:lvl w:ilvl="4" w:tplc="04050019" w:tentative="1">
      <w:start w:val="1"/>
      <w:numFmt w:val="lowerLetter"/>
      <w:lvlText w:val="%5."/>
      <w:lvlJc w:val="left"/>
      <w:pPr>
        <w:ind w:left="4091" w:hanging="360"/>
      </w:pPr>
    </w:lvl>
    <w:lvl w:ilvl="5" w:tplc="0405001B" w:tentative="1">
      <w:start w:val="1"/>
      <w:numFmt w:val="lowerRoman"/>
      <w:lvlText w:val="%6."/>
      <w:lvlJc w:val="right"/>
      <w:pPr>
        <w:ind w:left="4811" w:hanging="180"/>
      </w:pPr>
    </w:lvl>
    <w:lvl w:ilvl="6" w:tplc="0405000F" w:tentative="1">
      <w:start w:val="1"/>
      <w:numFmt w:val="decimal"/>
      <w:lvlText w:val="%7."/>
      <w:lvlJc w:val="left"/>
      <w:pPr>
        <w:ind w:left="5531" w:hanging="360"/>
      </w:pPr>
    </w:lvl>
    <w:lvl w:ilvl="7" w:tplc="04050019" w:tentative="1">
      <w:start w:val="1"/>
      <w:numFmt w:val="lowerLetter"/>
      <w:lvlText w:val="%8."/>
      <w:lvlJc w:val="left"/>
      <w:pPr>
        <w:ind w:left="6251" w:hanging="360"/>
      </w:pPr>
    </w:lvl>
    <w:lvl w:ilvl="8" w:tplc="0405001B" w:tentative="1">
      <w:start w:val="1"/>
      <w:numFmt w:val="lowerRoman"/>
      <w:lvlText w:val="%9."/>
      <w:lvlJc w:val="right"/>
      <w:pPr>
        <w:ind w:left="6971" w:hanging="180"/>
      </w:pPr>
    </w:lvl>
  </w:abstractNum>
  <w:abstractNum w:abstractNumId="31" w15:restartNumberingAfterBreak="0">
    <w:nsid w:val="4EE16407"/>
    <w:multiLevelType w:val="hybridMultilevel"/>
    <w:tmpl w:val="6374E258"/>
    <w:lvl w:ilvl="0" w:tplc="CDE42004">
      <w:start w:val="5"/>
      <w:numFmt w:val="lowerRoman"/>
      <w:lvlText w:val="%1."/>
      <w:lvlJc w:val="right"/>
      <w:pPr>
        <w:ind w:left="720" w:hanging="360"/>
      </w:pPr>
      <w:rPr>
        <w:rFonts w:hint="default"/>
        <w:b/>
        <w:i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2" w15:restartNumberingAfterBreak="0">
    <w:nsid w:val="4EE6245E"/>
    <w:multiLevelType w:val="hybridMultilevel"/>
    <w:tmpl w:val="C5B2DF48"/>
    <w:lvl w:ilvl="0" w:tplc="95D22646">
      <w:start w:val="1"/>
      <w:numFmt w:val="lowerLetter"/>
      <w:lvlText w:val="%1)"/>
      <w:lvlJc w:val="left"/>
      <w:pPr>
        <w:ind w:left="1211"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3" w15:restartNumberingAfterBreak="0">
    <w:nsid w:val="5B370D70"/>
    <w:multiLevelType w:val="hybridMultilevel"/>
    <w:tmpl w:val="8702CFFE"/>
    <w:lvl w:ilvl="0" w:tplc="E01874BC">
      <w:start w:val="1"/>
      <w:numFmt w:val="lowerRoman"/>
      <w:lvlText w:val="%1."/>
      <w:lvlJc w:val="righ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4" w15:restartNumberingAfterBreak="0">
    <w:nsid w:val="5C056EE5"/>
    <w:multiLevelType w:val="hybridMultilevel"/>
    <w:tmpl w:val="3378D27C"/>
    <w:name w:val="Bullet 2"/>
    <w:lvl w:ilvl="0" w:tplc="852A3CFA">
      <w:start w:val="1"/>
      <w:numFmt w:val="bullet"/>
      <w:lvlRestart w:val="0"/>
      <w:pStyle w:val="Bullet2"/>
      <w:lvlText w:val=""/>
      <w:lvlJc w:val="left"/>
      <w:pPr>
        <w:tabs>
          <w:tab w:val="num" w:pos="1984"/>
        </w:tabs>
        <w:ind w:left="1984" w:hanging="567"/>
      </w:pPr>
      <w:rPr>
        <w:rFonts w:ascii="Symbol" w:hAnsi="Symbol" w:hint="default"/>
      </w:rPr>
    </w:lvl>
    <w:lvl w:ilvl="1" w:tplc="C66230B2">
      <w:numFmt w:val="decimal"/>
      <w:lvlText w:val=""/>
      <w:lvlJc w:val="left"/>
    </w:lvl>
    <w:lvl w:ilvl="2" w:tplc="97FC371C">
      <w:numFmt w:val="decimal"/>
      <w:lvlText w:val=""/>
      <w:lvlJc w:val="left"/>
    </w:lvl>
    <w:lvl w:ilvl="3" w:tplc="86222B3A">
      <w:numFmt w:val="decimal"/>
      <w:lvlText w:val=""/>
      <w:lvlJc w:val="left"/>
    </w:lvl>
    <w:lvl w:ilvl="4" w:tplc="9CC48040">
      <w:numFmt w:val="decimal"/>
      <w:lvlText w:val=""/>
      <w:lvlJc w:val="left"/>
    </w:lvl>
    <w:lvl w:ilvl="5" w:tplc="BFE8DF26">
      <w:numFmt w:val="decimal"/>
      <w:lvlText w:val=""/>
      <w:lvlJc w:val="left"/>
    </w:lvl>
    <w:lvl w:ilvl="6" w:tplc="3B6875EE">
      <w:numFmt w:val="decimal"/>
      <w:lvlText w:val=""/>
      <w:lvlJc w:val="left"/>
    </w:lvl>
    <w:lvl w:ilvl="7" w:tplc="AE9064C2">
      <w:numFmt w:val="decimal"/>
      <w:lvlText w:val=""/>
      <w:lvlJc w:val="left"/>
    </w:lvl>
    <w:lvl w:ilvl="8" w:tplc="EEB6585A">
      <w:numFmt w:val="decimal"/>
      <w:lvlText w:val=""/>
      <w:lvlJc w:val="left"/>
    </w:lvl>
  </w:abstractNum>
  <w:abstractNum w:abstractNumId="35" w15:restartNumberingAfterBreak="0">
    <w:nsid w:val="5DEA1AD0"/>
    <w:multiLevelType w:val="hybridMultilevel"/>
    <w:tmpl w:val="E69EF590"/>
    <w:lvl w:ilvl="0" w:tplc="D4847D22">
      <w:start w:val="1"/>
      <w:numFmt w:val="lowerLetter"/>
      <w:lvlText w:val="%1)"/>
      <w:lvlJc w:val="left"/>
      <w:pPr>
        <w:ind w:left="1211" w:hanging="360"/>
      </w:pPr>
      <w:rPr>
        <w:rFonts w:hint="default"/>
      </w:rPr>
    </w:lvl>
    <w:lvl w:ilvl="1" w:tplc="04050019" w:tentative="1">
      <w:start w:val="1"/>
      <w:numFmt w:val="lowerLetter"/>
      <w:lvlText w:val="%2."/>
      <w:lvlJc w:val="left"/>
      <w:pPr>
        <w:ind w:left="1931" w:hanging="360"/>
      </w:pPr>
    </w:lvl>
    <w:lvl w:ilvl="2" w:tplc="0405001B" w:tentative="1">
      <w:start w:val="1"/>
      <w:numFmt w:val="lowerRoman"/>
      <w:lvlText w:val="%3."/>
      <w:lvlJc w:val="right"/>
      <w:pPr>
        <w:ind w:left="2651" w:hanging="180"/>
      </w:pPr>
    </w:lvl>
    <w:lvl w:ilvl="3" w:tplc="0405000F" w:tentative="1">
      <w:start w:val="1"/>
      <w:numFmt w:val="decimal"/>
      <w:lvlText w:val="%4."/>
      <w:lvlJc w:val="left"/>
      <w:pPr>
        <w:ind w:left="3371" w:hanging="360"/>
      </w:pPr>
    </w:lvl>
    <w:lvl w:ilvl="4" w:tplc="04050019" w:tentative="1">
      <w:start w:val="1"/>
      <w:numFmt w:val="lowerLetter"/>
      <w:lvlText w:val="%5."/>
      <w:lvlJc w:val="left"/>
      <w:pPr>
        <w:ind w:left="4091" w:hanging="360"/>
      </w:pPr>
    </w:lvl>
    <w:lvl w:ilvl="5" w:tplc="0405001B" w:tentative="1">
      <w:start w:val="1"/>
      <w:numFmt w:val="lowerRoman"/>
      <w:lvlText w:val="%6."/>
      <w:lvlJc w:val="right"/>
      <w:pPr>
        <w:ind w:left="4811" w:hanging="180"/>
      </w:pPr>
    </w:lvl>
    <w:lvl w:ilvl="6" w:tplc="0405000F" w:tentative="1">
      <w:start w:val="1"/>
      <w:numFmt w:val="decimal"/>
      <w:lvlText w:val="%7."/>
      <w:lvlJc w:val="left"/>
      <w:pPr>
        <w:ind w:left="5531" w:hanging="360"/>
      </w:pPr>
    </w:lvl>
    <w:lvl w:ilvl="7" w:tplc="04050019" w:tentative="1">
      <w:start w:val="1"/>
      <w:numFmt w:val="lowerLetter"/>
      <w:lvlText w:val="%8."/>
      <w:lvlJc w:val="left"/>
      <w:pPr>
        <w:ind w:left="6251" w:hanging="360"/>
      </w:pPr>
    </w:lvl>
    <w:lvl w:ilvl="8" w:tplc="0405001B" w:tentative="1">
      <w:start w:val="1"/>
      <w:numFmt w:val="lowerRoman"/>
      <w:lvlText w:val="%9."/>
      <w:lvlJc w:val="right"/>
      <w:pPr>
        <w:ind w:left="6971" w:hanging="180"/>
      </w:pPr>
    </w:lvl>
  </w:abstractNum>
  <w:abstractNum w:abstractNumId="36" w15:restartNumberingAfterBreak="0">
    <w:nsid w:val="5F14545E"/>
    <w:multiLevelType w:val="hybridMultilevel"/>
    <w:tmpl w:val="B6E053FA"/>
    <w:lvl w:ilvl="0" w:tplc="0405001B">
      <w:start w:val="1"/>
      <w:numFmt w:val="low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7" w15:restartNumberingAfterBreak="0">
    <w:nsid w:val="5F8D7291"/>
    <w:multiLevelType w:val="hybridMultilevel"/>
    <w:tmpl w:val="D8968D56"/>
    <w:lvl w:ilvl="0" w:tplc="54A6E49C">
      <w:start w:val="1"/>
      <w:numFmt w:val="lowerRoman"/>
      <w:lvlText w:val="%1."/>
      <w:lvlJc w:val="righ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8" w15:restartNumberingAfterBreak="0">
    <w:nsid w:val="62A92EA2"/>
    <w:multiLevelType w:val="hybridMultilevel"/>
    <w:tmpl w:val="93967A66"/>
    <w:lvl w:ilvl="0" w:tplc="04050003">
      <w:start w:val="1"/>
      <w:numFmt w:val="bullet"/>
      <w:lvlText w:val="o"/>
      <w:lvlJc w:val="left"/>
      <w:pPr>
        <w:ind w:left="1440" w:hanging="360"/>
      </w:pPr>
      <w:rPr>
        <w:rFonts w:ascii="Courier New" w:hAnsi="Courier New" w:cs="Courier New"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39" w15:restartNumberingAfterBreak="0">
    <w:nsid w:val="634D3F02"/>
    <w:multiLevelType w:val="hybridMultilevel"/>
    <w:tmpl w:val="DBD86DD0"/>
    <w:lvl w:ilvl="0" w:tplc="519AF26A">
      <w:start w:val="1"/>
      <w:numFmt w:val="decimal"/>
      <w:pStyle w:val="UZEIGraf"/>
      <w:lvlText w:val="Graf %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0" w15:restartNumberingAfterBreak="0">
    <w:nsid w:val="637D755D"/>
    <w:multiLevelType w:val="hybridMultilevel"/>
    <w:tmpl w:val="9DBCBC52"/>
    <w:lvl w:ilvl="0" w:tplc="04050003">
      <w:start w:val="1"/>
      <w:numFmt w:val="bullet"/>
      <w:lvlText w:val="o"/>
      <w:lvlJc w:val="left"/>
      <w:pPr>
        <w:ind w:left="1440" w:hanging="360"/>
      </w:pPr>
      <w:rPr>
        <w:rFonts w:ascii="Courier New" w:hAnsi="Courier New" w:cs="Courier New" w:hint="default"/>
      </w:rPr>
    </w:lvl>
    <w:lvl w:ilvl="1" w:tplc="04050003">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41" w15:restartNumberingAfterBreak="0">
    <w:nsid w:val="63A03A84"/>
    <w:multiLevelType w:val="multilevel"/>
    <w:tmpl w:val="8CD07CB2"/>
    <w:lvl w:ilvl="0">
      <w:start w:val="1"/>
      <w:numFmt w:val="decimal"/>
      <w:lvlText w:val="%1"/>
      <w:lvlJc w:val="left"/>
      <w:pPr>
        <w:ind w:left="922" w:hanging="432"/>
      </w:pPr>
      <w:rPr>
        <w:rFonts w:hint="default"/>
        <w:color w:val="auto"/>
      </w:rPr>
    </w:lvl>
    <w:lvl w:ilvl="1">
      <w:start w:val="1"/>
      <w:numFmt w:val="decimal"/>
      <w:pStyle w:val="UZEINadpis2st"/>
      <w:lvlText w:val="1.%2"/>
      <w:lvlJc w:val="left"/>
      <w:pPr>
        <w:ind w:left="1066" w:hanging="576"/>
      </w:pPr>
      <w:rPr>
        <w:rFonts w:hint="default"/>
        <w:color w:val="auto"/>
        <w:sz w:val="24"/>
      </w:rPr>
    </w:lvl>
    <w:lvl w:ilvl="2">
      <w:start w:val="1"/>
      <w:numFmt w:val="decimal"/>
      <w:lvlText w:val="%1.%2.%3"/>
      <w:lvlJc w:val="left"/>
      <w:pPr>
        <w:ind w:left="1210" w:hanging="720"/>
      </w:pPr>
    </w:lvl>
    <w:lvl w:ilvl="3">
      <w:start w:val="1"/>
      <w:numFmt w:val="decimal"/>
      <w:lvlText w:val="%1.%2.%3.%4"/>
      <w:lvlJc w:val="left"/>
      <w:pPr>
        <w:ind w:left="1354" w:hanging="864"/>
      </w:pPr>
    </w:lvl>
    <w:lvl w:ilvl="4">
      <w:start w:val="1"/>
      <w:numFmt w:val="decimal"/>
      <w:lvlText w:val="%1.%2.%3.%4.%5"/>
      <w:lvlJc w:val="left"/>
      <w:pPr>
        <w:ind w:left="1498" w:hanging="1008"/>
      </w:pPr>
    </w:lvl>
    <w:lvl w:ilvl="5">
      <w:start w:val="1"/>
      <w:numFmt w:val="decimal"/>
      <w:lvlText w:val="%1.%2.%3.%4.%5.%6"/>
      <w:lvlJc w:val="left"/>
      <w:pPr>
        <w:ind w:left="1642" w:hanging="1152"/>
      </w:pPr>
    </w:lvl>
    <w:lvl w:ilvl="6">
      <w:start w:val="1"/>
      <w:numFmt w:val="decimal"/>
      <w:lvlText w:val="%1.%2.%3.%4.%5.%6.%7"/>
      <w:lvlJc w:val="left"/>
      <w:pPr>
        <w:ind w:left="1786" w:hanging="1296"/>
      </w:pPr>
    </w:lvl>
    <w:lvl w:ilvl="7">
      <w:start w:val="1"/>
      <w:numFmt w:val="decimal"/>
      <w:lvlText w:val="%1.%2.%3.%4.%5.%6.%7.%8"/>
      <w:lvlJc w:val="left"/>
      <w:pPr>
        <w:ind w:left="1930" w:hanging="1440"/>
      </w:pPr>
    </w:lvl>
    <w:lvl w:ilvl="8">
      <w:start w:val="1"/>
      <w:numFmt w:val="decimal"/>
      <w:lvlText w:val="%1.%2.%3.%4.%5.%6.%7.%8.%9"/>
      <w:lvlJc w:val="left"/>
      <w:pPr>
        <w:ind w:left="2074" w:hanging="1584"/>
      </w:pPr>
    </w:lvl>
  </w:abstractNum>
  <w:abstractNum w:abstractNumId="42" w15:restartNumberingAfterBreak="0">
    <w:nsid w:val="664818BA"/>
    <w:multiLevelType w:val="hybridMultilevel"/>
    <w:tmpl w:val="0210802E"/>
    <w:lvl w:ilvl="0" w:tplc="D4545B6A">
      <w:start w:val="5"/>
      <w:numFmt w:val="lowerRoman"/>
      <w:lvlText w:val="%1."/>
      <w:lvlJc w:val="right"/>
      <w:pPr>
        <w:ind w:left="720" w:hanging="360"/>
      </w:pPr>
      <w:rPr>
        <w:rFonts w:hint="default"/>
        <w:b/>
        <w:i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3" w15:restartNumberingAfterBreak="0">
    <w:nsid w:val="756B5687"/>
    <w:multiLevelType w:val="hybridMultilevel"/>
    <w:tmpl w:val="7C02E05E"/>
    <w:lvl w:ilvl="0" w:tplc="04050003">
      <w:start w:val="1"/>
      <w:numFmt w:val="bullet"/>
      <w:lvlText w:val="o"/>
      <w:lvlJc w:val="left"/>
      <w:pPr>
        <w:ind w:left="1800" w:hanging="360"/>
      </w:pPr>
      <w:rPr>
        <w:rFonts w:ascii="Courier New" w:hAnsi="Courier New" w:cs="Courier New" w:hint="default"/>
      </w:rPr>
    </w:lvl>
    <w:lvl w:ilvl="1" w:tplc="04050003" w:tentative="1">
      <w:start w:val="1"/>
      <w:numFmt w:val="bullet"/>
      <w:lvlText w:val="o"/>
      <w:lvlJc w:val="left"/>
      <w:pPr>
        <w:ind w:left="2520" w:hanging="360"/>
      </w:pPr>
      <w:rPr>
        <w:rFonts w:ascii="Courier New" w:hAnsi="Courier New" w:cs="Courier New" w:hint="default"/>
      </w:rPr>
    </w:lvl>
    <w:lvl w:ilvl="2" w:tplc="04050005" w:tentative="1">
      <w:start w:val="1"/>
      <w:numFmt w:val="bullet"/>
      <w:lvlText w:val=""/>
      <w:lvlJc w:val="left"/>
      <w:pPr>
        <w:ind w:left="3240" w:hanging="360"/>
      </w:pPr>
      <w:rPr>
        <w:rFonts w:ascii="Wingdings" w:hAnsi="Wingdings" w:hint="default"/>
      </w:rPr>
    </w:lvl>
    <w:lvl w:ilvl="3" w:tplc="04050001" w:tentative="1">
      <w:start w:val="1"/>
      <w:numFmt w:val="bullet"/>
      <w:lvlText w:val=""/>
      <w:lvlJc w:val="left"/>
      <w:pPr>
        <w:ind w:left="3960" w:hanging="360"/>
      </w:pPr>
      <w:rPr>
        <w:rFonts w:ascii="Symbol" w:hAnsi="Symbol" w:hint="default"/>
      </w:rPr>
    </w:lvl>
    <w:lvl w:ilvl="4" w:tplc="04050003" w:tentative="1">
      <w:start w:val="1"/>
      <w:numFmt w:val="bullet"/>
      <w:lvlText w:val="o"/>
      <w:lvlJc w:val="left"/>
      <w:pPr>
        <w:ind w:left="4680" w:hanging="360"/>
      </w:pPr>
      <w:rPr>
        <w:rFonts w:ascii="Courier New" w:hAnsi="Courier New" w:cs="Courier New" w:hint="default"/>
      </w:rPr>
    </w:lvl>
    <w:lvl w:ilvl="5" w:tplc="04050005" w:tentative="1">
      <w:start w:val="1"/>
      <w:numFmt w:val="bullet"/>
      <w:lvlText w:val=""/>
      <w:lvlJc w:val="left"/>
      <w:pPr>
        <w:ind w:left="5400" w:hanging="360"/>
      </w:pPr>
      <w:rPr>
        <w:rFonts w:ascii="Wingdings" w:hAnsi="Wingdings" w:hint="default"/>
      </w:rPr>
    </w:lvl>
    <w:lvl w:ilvl="6" w:tplc="04050001" w:tentative="1">
      <w:start w:val="1"/>
      <w:numFmt w:val="bullet"/>
      <w:lvlText w:val=""/>
      <w:lvlJc w:val="left"/>
      <w:pPr>
        <w:ind w:left="6120" w:hanging="360"/>
      </w:pPr>
      <w:rPr>
        <w:rFonts w:ascii="Symbol" w:hAnsi="Symbol" w:hint="default"/>
      </w:rPr>
    </w:lvl>
    <w:lvl w:ilvl="7" w:tplc="04050003" w:tentative="1">
      <w:start w:val="1"/>
      <w:numFmt w:val="bullet"/>
      <w:lvlText w:val="o"/>
      <w:lvlJc w:val="left"/>
      <w:pPr>
        <w:ind w:left="6840" w:hanging="360"/>
      </w:pPr>
      <w:rPr>
        <w:rFonts w:ascii="Courier New" w:hAnsi="Courier New" w:cs="Courier New" w:hint="default"/>
      </w:rPr>
    </w:lvl>
    <w:lvl w:ilvl="8" w:tplc="04050005" w:tentative="1">
      <w:start w:val="1"/>
      <w:numFmt w:val="bullet"/>
      <w:lvlText w:val=""/>
      <w:lvlJc w:val="left"/>
      <w:pPr>
        <w:ind w:left="7560" w:hanging="360"/>
      </w:pPr>
      <w:rPr>
        <w:rFonts w:ascii="Wingdings" w:hAnsi="Wingdings" w:hint="default"/>
      </w:rPr>
    </w:lvl>
  </w:abstractNum>
  <w:abstractNum w:abstractNumId="44" w15:restartNumberingAfterBreak="0">
    <w:nsid w:val="7D172F4B"/>
    <w:multiLevelType w:val="hybridMultilevel"/>
    <w:tmpl w:val="26C81112"/>
    <w:lvl w:ilvl="0" w:tplc="97FE6C04">
      <w:numFmt w:val="bullet"/>
      <w:lvlText w:val="-"/>
      <w:lvlJc w:val="left"/>
      <w:pPr>
        <w:ind w:left="1440" w:hanging="360"/>
      </w:pPr>
      <w:rPr>
        <w:rFonts w:ascii="Times New Roman" w:eastAsia="Times New Roman" w:hAnsi="Times New Roman" w:hint="default"/>
        <w:color w:val="auto"/>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5" w15:restartNumberingAfterBreak="0">
    <w:nsid w:val="7DE03CB9"/>
    <w:multiLevelType w:val="hybridMultilevel"/>
    <w:tmpl w:val="7E7CDFB6"/>
    <w:lvl w:ilvl="0" w:tplc="CA46876E">
      <w:start w:val="1"/>
      <w:numFmt w:val="decimal"/>
      <w:pStyle w:val="UZEIObr"/>
      <w:lvlText w:val="Obrázek %1"/>
      <w:lvlJc w:val="left"/>
      <w:pPr>
        <w:ind w:left="7873" w:hanging="360"/>
      </w:pPr>
      <w:rPr>
        <w:rFonts w:hint="default"/>
      </w:rPr>
    </w:lvl>
    <w:lvl w:ilvl="1" w:tplc="04050019" w:tentative="1">
      <w:start w:val="1"/>
      <w:numFmt w:val="lowerLetter"/>
      <w:lvlText w:val="%2."/>
      <w:lvlJc w:val="left"/>
      <w:pPr>
        <w:ind w:left="8593" w:hanging="360"/>
      </w:pPr>
    </w:lvl>
    <w:lvl w:ilvl="2" w:tplc="0405001B" w:tentative="1">
      <w:start w:val="1"/>
      <w:numFmt w:val="lowerRoman"/>
      <w:lvlText w:val="%3."/>
      <w:lvlJc w:val="right"/>
      <w:pPr>
        <w:ind w:left="9313" w:hanging="180"/>
      </w:pPr>
    </w:lvl>
    <w:lvl w:ilvl="3" w:tplc="0405000F" w:tentative="1">
      <w:start w:val="1"/>
      <w:numFmt w:val="decimal"/>
      <w:lvlText w:val="%4."/>
      <w:lvlJc w:val="left"/>
      <w:pPr>
        <w:ind w:left="10033" w:hanging="360"/>
      </w:pPr>
    </w:lvl>
    <w:lvl w:ilvl="4" w:tplc="04050019" w:tentative="1">
      <w:start w:val="1"/>
      <w:numFmt w:val="lowerLetter"/>
      <w:lvlText w:val="%5."/>
      <w:lvlJc w:val="left"/>
      <w:pPr>
        <w:ind w:left="10753" w:hanging="360"/>
      </w:pPr>
    </w:lvl>
    <w:lvl w:ilvl="5" w:tplc="0405001B" w:tentative="1">
      <w:start w:val="1"/>
      <w:numFmt w:val="lowerRoman"/>
      <w:lvlText w:val="%6."/>
      <w:lvlJc w:val="right"/>
      <w:pPr>
        <w:ind w:left="11473" w:hanging="180"/>
      </w:pPr>
    </w:lvl>
    <w:lvl w:ilvl="6" w:tplc="0405000F" w:tentative="1">
      <w:start w:val="1"/>
      <w:numFmt w:val="decimal"/>
      <w:lvlText w:val="%7."/>
      <w:lvlJc w:val="left"/>
      <w:pPr>
        <w:ind w:left="12193" w:hanging="360"/>
      </w:pPr>
    </w:lvl>
    <w:lvl w:ilvl="7" w:tplc="04050019" w:tentative="1">
      <w:start w:val="1"/>
      <w:numFmt w:val="lowerLetter"/>
      <w:lvlText w:val="%8."/>
      <w:lvlJc w:val="left"/>
      <w:pPr>
        <w:ind w:left="12913" w:hanging="360"/>
      </w:pPr>
    </w:lvl>
    <w:lvl w:ilvl="8" w:tplc="0405001B" w:tentative="1">
      <w:start w:val="1"/>
      <w:numFmt w:val="lowerRoman"/>
      <w:lvlText w:val="%9."/>
      <w:lvlJc w:val="right"/>
      <w:pPr>
        <w:ind w:left="13633" w:hanging="180"/>
      </w:pPr>
    </w:lvl>
  </w:abstractNum>
  <w:abstractNum w:abstractNumId="46" w15:restartNumberingAfterBreak="0">
    <w:nsid w:val="7DFC7BE3"/>
    <w:multiLevelType w:val="multilevel"/>
    <w:tmpl w:val="3B161CD8"/>
    <w:lvl w:ilvl="0">
      <w:start w:val="1"/>
      <w:numFmt w:val="decimal"/>
      <w:lvlText w:val="%1."/>
      <w:lvlJc w:val="left"/>
      <w:pPr>
        <w:ind w:left="720" w:hanging="360"/>
      </w:pPr>
    </w:lvl>
    <w:lvl w:ilvl="1">
      <w:start w:val="1"/>
      <w:numFmt w:val="decimal"/>
      <w:lvlText w:val="%1.%2."/>
      <w:lvlJc w:val="left"/>
      <w:pPr>
        <w:ind w:left="1440" w:hanging="720"/>
      </w:p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num w:numId="1">
    <w:abstractNumId w:val="19"/>
  </w:num>
  <w:num w:numId="2">
    <w:abstractNumId w:val="18"/>
  </w:num>
  <w:num w:numId="3">
    <w:abstractNumId w:val="39"/>
  </w:num>
  <w:num w:numId="4">
    <w:abstractNumId w:val="26"/>
  </w:num>
  <w:num w:numId="5">
    <w:abstractNumId w:val="45"/>
  </w:num>
  <w:num w:numId="6">
    <w:abstractNumId w:val="4"/>
  </w:num>
  <w:num w:numId="7">
    <w:abstractNumId w:val="41"/>
  </w:num>
  <w:num w:numId="8">
    <w:abstractNumId w:val="5"/>
  </w:num>
  <w:num w:numId="9">
    <w:abstractNumId w:val="2"/>
  </w:num>
  <w:num w:numId="10">
    <w:abstractNumId w:val="28"/>
  </w:num>
  <w:num w:numId="11">
    <w:abstractNumId w:val="34"/>
  </w:num>
  <w:num w:numId="12">
    <w:abstractNumId w:val="0"/>
  </w:num>
  <w:num w:numId="13">
    <w:abstractNumId w:val="27"/>
  </w:num>
  <w:num w:numId="14">
    <w:abstractNumId w:val="23"/>
  </w:num>
  <w:num w:numId="15">
    <w:abstractNumId w:val="36"/>
  </w:num>
  <w:num w:numId="16">
    <w:abstractNumId w:val="24"/>
  </w:num>
  <w:num w:numId="17">
    <w:abstractNumId w:val="16"/>
  </w:num>
  <w:num w:numId="18">
    <w:abstractNumId w:val="13"/>
  </w:num>
  <w:num w:numId="19">
    <w:abstractNumId w:val="20"/>
  </w:num>
  <w:num w:numId="20">
    <w:abstractNumId w:val="33"/>
  </w:num>
  <w:num w:numId="21">
    <w:abstractNumId w:val="37"/>
  </w:num>
  <w:num w:numId="22">
    <w:abstractNumId w:val="44"/>
  </w:num>
  <w:num w:numId="23">
    <w:abstractNumId w:val="9"/>
  </w:num>
  <w:num w:numId="24">
    <w:abstractNumId w:val="21"/>
  </w:num>
  <w:num w:numId="25">
    <w:abstractNumId w:val="30"/>
  </w:num>
  <w:num w:numId="26">
    <w:abstractNumId w:val="12"/>
  </w:num>
  <w:num w:numId="27">
    <w:abstractNumId w:val="35"/>
  </w:num>
  <w:num w:numId="28">
    <w:abstractNumId w:val="17"/>
  </w:num>
  <w:num w:numId="29">
    <w:abstractNumId w:val="43"/>
  </w:num>
  <w:num w:numId="30">
    <w:abstractNumId w:val="14"/>
  </w:num>
  <w:num w:numId="31">
    <w:abstractNumId w:val="32"/>
  </w:num>
  <w:num w:numId="32">
    <w:abstractNumId w:val="46"/>
  </w:num>
  <w:num w:numId="33">
    <w:abstractNumId w:val="15"/>
  </w:num>
  <w:num w:numId="34">
    <w:abstractNumId w:val="10"/>
  </w:num>
  <w:num w:numId="35">
    <w:abstractNumId w:val="1"/>
  </w:num>
  <w:num w:numId="36">
    <w:abstractNumId w:val="8"/>
  </w:num>
  <w:num w:numId="37">
    <w:abstractNumId w:val="42"/>
  </w:num>
  <w:num w:numId="38">
    <w:abstractNumId w:val="31"/>
  </w:num>
  <w:num w:numId="39">
    <w:abstractNumId w:val="6"/>
  </w:num>
  <w:num w:numId="40">
    <w:abstractNumId w:val="11"/>
  </w:num>
  <w:num w:numId="41">
    <w:abstractNumId w:val="40"/>
  </w:num>
  <w:num w:numId="42">
    <w:abstractNumId w:val="38"/>
  </w:num>
  <w:num w:numId="43">
    <w:abstractNumId w:val="25"/>
  </w:num>
  <w:num w:numId="44">
    <w:abstractNumId w:val="3"/>
  </w:num>
  <w:num w:numId="45">
    <w:abstractNumId w:val="7"/>
  </w:num>
  <w:num w:numId="46">
    <w:abstractNumId w:val="22"/>
  </w:num>
  <w:num w:numId="47">
    <w:abstractNumId w:val="18"/>
  </w:num>
  <w:num w:numId="48">
    <w:abstractNumId w:val="18"/>
  </w:num>
  <w:num w:numId="49">
    <w:abstractNumId w:val="29"/>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hdrShapeDefaults>
    <o:shapedefaults v:ext="edit" spidmax="2087"/>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7E14"/>
    <w:rsid w:val="0000288B"/>
    <w:rsid w:val="0000432D"/>
    <w:rsid w:val="000120F7"/>
    <w:rsid w:val="0001445C"/>
    <w:rsid w:val="000157F3"/>
    <w:rsid w:val="00021744"/>
    <w:rsid w:val="00021B81"/>
    <w:rsid w:val="00022AAD"/>
    <w:rsid w:val="0002312F"/>
    <w:rsid w:val="0003417E"/>
    <w:rsid w:val="00034B70"/>
    <w:rsid w:val="000442AA"/>
    <w:rsid w:val="00044AFD"/>
    <w:rsid w:val="000563E5"/>
    <w:rsid w:val="0006094E"/>
    <w:rsid w:val="00062D0F"/>
    <w:rsid w:val="00064389"/>
    <w:rsid w:val="0007022C"/>
    <w:rsid w:val="00071BB5"/>
    <w:rsid w:val="00073C13"/>
    <w:rsid w:val="00076581"/>
    <w:rsid w:val="000952AD"/>
    <w:rsid w:val="000A1E5A"/>
    <w:rsid w:val="000A4E38"/>
    <w:rsid w:val="000B4470"/>
    <w:rsid w:val="000B44F1"/>
    <w:rsid w:val="000C297A"/>
    <w:rsid w:val="000C4C46"/>
    <w:rsid w:val="000C58EA"/>
    <w:rsid w:val="000D55E5"/>
    <w:rsid w:val="000E3988"/>
    <w:rsid w:val="000F1F84"/>
    <w:rsid w:val="000F241D"/>
    <w:rsid w:val="000F7485"/>
    <w:rsid w:val="0010726B"/>
    <w:rsid w:val="00114D89"/>
    <w:rsid w:val="00120054"/>
    <w:rsid w:val="00120330"/>
    <w:rsid w:val="001214E9"/>
    <w:rsid w:val="00127D64"/>
    <w:rsid w:val="00130FD1"/>
    <w:rsid w:val="001314DB"/>
    <w:rsid w:val="001335A4"/>
    <w:rsid w:val="001335A6"/>
    <w:rsid w:val="00141692"/>
    <w:rsid w:val="00142A9F"/>
    <w:rsid w:val="0015020D"/>
    <w:rsid w:val="001520C7"/>
    <w:rsid w:val="00154018"/>
    <w:rsid w:val="00154F16"/>
    <w:rsid w:val="00164CBE"/>
    <w:rsid w:val="0017024E"/>
    <w:rsid w:val="00172B5A"/>
    <w:rsid w:val="00183E05"/>
    <w:rsid w:val="00185EDD"/>
    <w:rsid w:val="0019408F"/>
    <w:rsid w:val="001B3346"/>
    <w:rsid w:val="001C5FDC"/>
    <w:rsid w:val="001D1976"/>
    <w:rsid w:val="001E083A"/>
    <w:rsid w:val="001E44F9"/>
    <w:rsid w:val="001E7906"/>
    <w:rsid w:val="001F16AC"/>
    <w:rsid w:val="001F7140"/>
    <w:rsid w:val="002017A1"/>
    <w:rsid w:val="0020191D"/>
    <w:rsid w:val="0020561F"/>
    <w:rsid w:val="002178CD"/>
    <w:rsid w:val="002222FD"/>
    <w:rsid w:val="00231F37"/>
    <w:rsid w:val="00235F3D"/>
    <w:rsid w:val="00237DFB"/>
    <w:rsid w:val="0024253B"/>
    <w:rsid w:val="002465FC"/>
    <w:rsid w:val="002659BB"/>
    <w:rsid w:val="0028471D"/>
    <w:rsid w:val="00285ECF"/>
    <w:rsid w:val="002966F3"/>
    <w:rsid w:val="00297CD8"/>
    <w:rsid w:val="002A021F"/>
    <w:rsid w:val="002A4C32"/>
    <w:rsid w:val="002A5EAD"/>
    <w:rsid w:val="002B411B"/>
    <w:rsid w:val="002B48E3"/>
    <w:rsid w:val="002B7246"/>
    <w:rsid w:val="002C00C9"/>
    <w:rsid w:val="002C3E3C"/>
    <w:rsid w:val="002C75BC"/>
    <w:rsid w:val="002D2FC9"/>
    <w:rsid w:val="002D33D2"/>
    <w:rsid w:val="002D37AD"/>
    <w:rsid w:val="002D3D3A"/>
    <w:rsid w:val="002D4AEA"/>
    <w:rsid w:val="002D5D15"/>
    <w:rsid w:val="002E0181"/>
    <w:rsid w:val="002E17B7"/>
    <w:rsid w:val="002E6D60"/>
    <w:rsid w:val="002F40B9"/>
    <w:rsid w:val="003005E5"/>
    <w:rsid w:val="00306FAA"/>
    <w:rsid w:val="0031504D"/>
    <w:rsid w:val="00315A11"/>
    <w:rsid w:val="003218A5"/>
    <w:rsid w:val="003257A4"/>
    <w:rsid w:val="00326A51"/>
    <w:rsid w:val="00326BA8"/>
    <w:rsid w:val="00331440"/>
    <w:rsid w:val="00332F1E"/>
    <w:rsid w:val="00335F26"/>
    <w:rsid w:val="00353CF0"/>
    <w:rsid w:val="00361F1E"/>
    <w:rsid w:val="00381FCE"/>
    <w:rsid w:val="00383E11"/>
    <w:rsid w:val="00397B18"/>
    <w:rsid w:val="003A1F35"/>
    <w:rsid w:val="003A3B75"/>
    <w:rsid w:val="003B0485"/>
    <w:rsid w:val="003B1F45"/>
    <w:rsid w:val="003B78F3"/>
    <w:rsid w:val="003C0166"/>
    <w:rsid w:val="003C257C"/>
    <w:rsid w:val="003C2914"/>
    <w:rsid w:val="003C48D3"/>
    <w:rsid w:val="003D3D8C"/>
    <w:rsid w:val="003D58EA"/>
    <w:rsid w:val="003E0F58"/>
    <w:rsid w:val="003E2323"/>
    <w:rsid w:val="003E2FB9"/>
    <w:rsid w:val="003F2F64"/>
    <w:rsid w:val="003F3C51"/>
    <w:rsid w:val="0040227B"/>
    <w:rsid w:val="00403034"/>
    <w:rsid w:val="0040456E"/>
    <w:rsid w:val="00405CA2"/>
    <w:rsid w:val="0041343D"/>
    <w:rsid w:val="00420F12"/>
    <w:rsid w:val="004324F0"/>
    <w:rsid w:val="00437724"/>
    <w:rsid w:val="00445C7A"/>
    <w:rsid w:val="004502EF"/>
    <w:rsid w:val="0045267F"/>
    <w:rsid w:val="004643E9"/>
    <w:rsid w:val="00465BAC"/>
    <w:rsid w:val="00467F54"/>
    <w:rsid w:val="004747F2"/>
    <w:rsid w:val="00477EC6"/>
    <w:rsid w:val="004829AE"/>
    <w:rsid w:val="004839C3"/>
    <w:rsid w:val="004A1EF0"/>
    <w:rsid w:val="004A5CFF"/>
    <w:rsid w:val="004A63A6"/>
    <w:rsid w:val="004A7243"/>
    <w:rsid w:val="004B1580"/>
    <w:rsid w:val="004B1F25"/>
    <w:rsid w:val="004B7B32"/>
    <w:rsid w:val="004C1517"/>
    <w:rsid w:val="004C4072"/>
    <w:rsid w:val="004C6086"/>
    <w:rsid w:val="004D2249"/>
    <w:rsid w:val="004E216F"/>
    <w:rsid w:val="004F16FD"/>
    <w:rsid w:val="004F257A"/>
    <w:rsid w:val="004F37D3"/>
    <w:rsid w:val="00500CAA"/>
    <w:rsid w:val="00511FA4"/>
    <w:rsid w:val="00527861"/>
    <w:rsid w:val="00531FDA"/>
    <w:rsid w:val="00534EA8"/>
    <w:rsid w:val="00541FD2"/>
    <w:rsid w:val="00551481"/>
    <w:rsid w:val="00556ADE"/>
    <w:rsid w:val="005602C0"/>
    <w:rsid w:val="00561985"/>
    <w:rsid w:val="00561D07"/>
    <w:rsid w:val="00572587"/>
    <w:rsid w:val="005753FE"/>
    <w:rsid w:val="00576C2B"/>
    <w:rsid w:val="00587535"/>
    <w:rsid w:val="005945D2"/>
    <w:rsid w:val="005A2A38"/>
    <w:rsid w:val="005B5895"/>
    <w:rsid w:val="005B5B5D"/>
    <w:rsid w:val="005C1C3F"/>
    <w:rsid w:val="005C2408"/>
    <w:rsid w:val="005C5AD9"/>
    <w:rsid w:val="005C67A8"/>
    <w:rsid w:val="005D1920"/>
    <w:rsid w:val="005D28F1"/>
    <w:rsid w:val="005D3D0A"/>
    <w:rsid w:val="005D7EA7"/>
    <w:rsid w:val="005E29C9"/>
    <w:rsid w:val="005F13AA"/>
    <w:rsid w:val="005F68F2"/>
    <w:rsid w:val="00601C1D"/>
    <w:rsid w:val="00603F60"/>
    <w:rsid w:val="00605A51"/>
    <w:rsid w:val="00610397"/>
    <w:rsid w:val="006105ED"/>
    <w:rsid w:val="0062006F"/>
    <w:rsid w:val="00621E54"/>
    <w:rsid w:val="00627641"/>
    <w:rsid w:val="00632BAA"/>
    <w:rsid w:val="00632CCA"/>
    <w:rsid w:val="00640914"/>
    <w:rsid w:val="00647056"/>
    <w:rsid w:val="0064752C"/>
    <w:rsid w:val="0065394F"/>
    <w:rsid w:val="00654CC5"/>
    <w:rsid w:val="00655E07"/>
    <w:rsid w:val="00660D6A"/>
    <w:rsid w:val="00661224"/>
    <w:rsid w:val="00664136"/>
    <w:rsid w:val="006660D2"/>
    <w:rsid w:val="00667FE3"/>
    <w:rsid w:val="006752D6"/>
    <w:rsid w:val="00676C5D"/>
    <w:rsid w:val="00676F47"/>
    <w:rsid w:val="006821AE"/>
    <w:rsid w:val="0068225B"/>
    <w:rsid w:val="006826AD"/>
    <w:rsid w:val="00685BB7"/>
    <w:rsid w:val="006861FA"/>
    <w:rsid w:val="00693A2B"/>
    <w:rsid w:val="00695207"/>
    <w:rsid w:val="00695CFF"/>
    <w:rsid w:val="006A027C"/>
    <w:rsid w:val="006A25DD"/>
    <w:rsid w:val="006A2D3B"/>
    <w:rsid w:val="006A458C"/>
    <w:rsid w:val="006B28F6"/>
    <w:rsid w:val="006B3018"/>
    <w:rsid w:val="006C0488"/>
    <w:rsid w:val="006C247D"/>
    <w:rsid w:val="006C727D"/>
    <w:rsid w:val="006E47F1"/>
    <w:rsid w:val="006E5E8A"/>
    <w:rsid w:val="006F19DD"/>
    <w:rsid w:val="006F1E2C"/>
    <w:rsid w:val="006F7C38"/>
    <w:rsid w:val="007012B3"/>
    <w:rsid w:val="0071129E"/>
    <w:rsid w:val="00712635"/>
    <w:rsid w:val="00733FC4"/>
    <w:rsid w:val="00737350"/>
    <w:rsid w:val="0074424D"/>
    <w:rsid w:val="007461F5"/>
    <w:rsid w:val="007506B1"/>
    <w:rsid w:val="00751773"/>
    <w:rsid w:val="007526BC"/>
    <w:rsid w:val="00755F54"/>
    <w:rsid w:val="007560F1"/>
    <w:rsid w:val="00763CE2"/>
    <w:rsid w:val="00764116"/>
    <w:rsid w:val="0078241C"/>
    <w:rsid w:val="0078394D"/>
    <w:rsid w:val="00784A04"/>
    <w:rsid w:val="00785725"/>
    <w:rsid w:val="00795015"/>
    <w:rsid w:val="00797E29"/>
    <w:rsid w:val="007A0B29"/>
    <w:rsid w:val="007C0619"/>
    <w:rsid w:val="007C2785"/>
    <w:rsid w:val="007C3100"/>
    <w:rsid w:val="007C4202"/>
    <w:rsid w:val="007C634C"/>
    <w:rsid w:val="007C705C"/>
    <w:rsid w:val="007D14F3"/>
    <w:rsid w:val="007D229D"/>
    <w:rsid w:val="007E6F6D"/>
    <w:rsid w:val="007E7D43"/>
    <w:rsid w:val="007F24B2"/>
    <w:rsid w:val="007F736A"/>
    <w:rsid w:val="008058E4"/>
    <w:rsid w:val="008106BF"/>
    <w:rsid w:val="00812975"/>
    <w:rsid w:val="008438BC"/>
    <w:rsid w:val="00856E96"/>
    <w:rsid w:val="00857CEB"/>
    <w:rsid w:val="0086054E"/>
    <w:rsid w:val="00860B6F"/>
    <w:rsid w:val="00861FAD"/>
    <w:rsid w:val="00864C5E"/>
    <w:rsid w:val="008660FE"/>
    <w:rsid w:val="00875ED7"/>
    <w:rsid w:val="0087790C"/>
    <w:rsid w:val="00883E5A"/>
    <w:rsid w:val="00890F29"/>
    <w:rsid w:val="00892B35"/>
    <w:rsid w:val="00892DB5"/>
    <w:rsid w:val="008947D7"/>
    <w:rsid w:val="008A1AE3"/>
    <w:rsid w:val="008A6639"/>
    <w:rsid w:val="008B546F"/>
    <w:rsid w:val="008C417F"/>
    <w:rsid w:val="008E1893"/>
    <w:rsid w:val="008E5D17"/>
    <w:rsid w:val="008F0213"/>
    <w:rsid w:val="008F1B21"/>
    <w:rsid w:val="008F38C9"/>
    <w:rsid w:val="008F75EA"/>
    <w:rsid w:val="009048BB"/>
    <w:rsid w:val="00904AE4"/>
    <w:rsid w:val="00907F0D"/>
    <w:rsid w:val="009114E7"/>
    <w:rsid w:val="00915818"/>
    <w:rsid w:val="009169B4"/>
    <w:rsid w:val="00926B0E"/>
    <w:rsid w:val="009305CE"/>
    <w:rsid w:val="00931039"/>
    <w:rsid w:val="0093556C"/>
    <w:rsid w:val="00936051"/>
    <w:rsid w:val="00944337"/>
    <w:rsid w:val="00956829"/>
    <w:rsid w:val="009569F4"/>
    <w:rsid w:val="00961B28"/>
    <w:rsid w:val="0096517C"/>
    <w:rsid w:val="00971B5E"/>
    <w:rsid w:val="0097226E"/>
    <w:rsid w:val="00973CBC"/>
    <w:rsid w:val="00974A6E"/>
    <w:rsid w:val="00980628"/>
    <w:rsid w:val="00985124"/>
    <w:rsid w:val="009963F3"/>
    <w:rsid w:val="009A2957"/>
    <w:rsid w:val="009A2967"/>
    <w:rsid w:val="009B7557"/>
    <w:rsid w:val="009D2725"/>
    <w:rsid w:val="009D66E5"/>
    <w:rsid w:val="009D7357"/>
    <w:rsid w:val="009E0DDD"/>
    <w:rsid w:val="009E3336"/>
    <w:rsid w:val="009E62EB"/>
    <w:rsid w:val="009F4727"/>
    <w:rsid w:val="009F7E68"/>
    <w:rsid w:val="00A0481C"/>
    <w:rsid w:val="00A12F9A"/>
    <w:rsid w:val="00A139F2"/>
    <w:rsid w:val="00A16ECF"/>
    <w:rsid w:val="00A3373B"/>
    <w:rsid w:val="00A35485"/>
    <w:rsid w:val="00A36BA9"/>
    <w:rsid w:val="00A37382"/>
    <w:rsid w:val="00A51001"/>
    <w:rsid w:val="00A56BB6"/>
    <w:rsid w:val="00A62FC4"/>
    <w:rsid w:val="00A63362"/>
    <w:rsid w:val="00A63563"/>
    <w:rsid w:val="00A771C4"/>
    <w:rsid w:val="00A82AF8"/>
    <w:rsid w:val="00A9027B"/>
    <w:rsid w:val="00A91275"/>
    <w:rsid w:val="00A947BC"/>
    <w:rsid w:val="00A95D44"/>
    <w:rsid w:val="00A96E2A"/>
    <w:rsid w:val="00AA0662"/>
    <w:rsid w:val="00AA124D"/>
    <w:rsid w:val="00AA2DA3"/>
    <w:rsid w:val="00AA3A5F"/>
    <w:rsid w:val="00AA593D"/>
    <w:rsid w:val="00AA63B9"/>
    <w:rsid w:val="00AA6FEF"/>
    <w:rsid w:val="00AB0F1F"/>
    <w:rsid w:val="00AB13D0"/>
    <w:rsid w:val="00AB39A0"/>
    <w:rsid w:val="00AB435B"/>
    <w:rsid w:val="00AB564E"/>
    <w:rsid w:val="00AB5B23"/>
    <w:rsid w:val="00AB79C2"/>
    <w:rsid w:val="00AD7D6B"/>
    <w:rsid w:val="00AE4B79"/>
    <w:rsid w:val="00B01CE9"/>
    <w:rsid w:val="00B029F9"/>
    <w:rsid w:val="00B125B8"/>
    <w:rsid w:val="00B3112E"/>
    <w:rsid w:val="00B36C72"/>
    <w:rsid w:val="00B41B70"/>
    <w:rsid w:val="00B431E0"/>
    <w:rsid w:val="00B516EA"/>
    <w:rsid w:val="00B52450"/>
    <w:rsid w:val="00B57720"/>
    <w:rsid w:val="00B6034F"/>
    <w:rsid w:val="00B644A3"/>
    <w:rsid w:val="00B660C5"/>
    <w:rsid w:val="00B72342"/>
    <w:rsid w:val="00B725A8"/>
    <w:rsid w:val="00B857FF"/>
    <w:rsid w:val="00B87E14"/>
    <w:rsid w:val="00B90F45"/>
    <w:rsid w:val="00B93032"/>
    <w:rsid w:val="00BA3002"/>
    <w:rsid w:val="00BA3366"/>
    <w:rsid w:val="00BA33FF"/>
    <w:rsid w:val="00BA39E1"/>
    <w:rsid w:val="00BB4FF8"/>
    <w:rsid w:val="00BC1449"/>
    <w:rsid w:val="00BC51CC"/>
    <w:rsid w:val="00BD44CA"/>
    <w:rsid w:val="00BE11B5"/>
    <w:rsid w:val="00BE5139"/>
    <w:rsid w:val="00BF5B98"/>
    <w:rsid w:val="00C01ED5"/>
    <w:rsid w:val="00C03E08"/>
    <w:rsid w:val="00C06675"/>
    <w:rsid w:val="00C073DE"/>
    <w:rsid w:val="00C104D5"/>
    <w:rsid w:val="00C11CEA"/>
    <w:rsid w:val="00C12022"/>
    <w:rsid w:val="00C152C4"/>
    <w:rsid w:val="00C2148F"/>
    <w:rsid w:val="00C228A5"/>
    <w:rsid w:val="00C23C3F"/>
    <w:rsid w:val="00C25690"/>
    <w:rsid w:val="00C2596B"/>
    <w:rsid w:val="00C2702D"/>
    <w:rsid w:val="00C32436"/>
    <w:rsid w:val="00C32636"/>
    <w:rsid w:val="00C35E53"/>
    <w:rsid w:val="00C4544F"/>
    <w:rsid w:val="00C51CF2"/>
    <w:rsid w:val="00C64A5C"/>
    <w:rsid w:val="00C65942"/>
    <w:rsid w:val="00C67A0F"/>
    <w:rsid w:val="00C77415"/>
    <w:rsid w:val="00C80140"/>
    <w:rsid w:val="00C80FE3"/>
    <w:rsid w:val="00C87045"/>
    <w:rsid w:val="00C91401"/>
    <w:rsid w:val="00CA30F8"/>
    <w:rsid w:val="00CA3E6F"/>
    <w:rsid w:val="00CB2594"/>
    <w:rsid w:val="00CC28EE"/>
    <w:rsid w:val="00CC4B63"/>
    <w:rsid w:val="00CD0469"/>
    <w:rsid w:val="00CD26E4"/>
    <w:rsid w:val="00CD28B0"/>
    <w:rsid w:val="00CD2E85"/>
    <w:rsid w:val="00CD739F"/>
    <w:rsid w:val="00CD7BC4"/>
    <w:rsid w:val="00CE05AE"/>
    <w:rsid w:val="00CE74C6"/>
    <w:rsid w:val="00CF4AEF"/>
    <w:rsid w:val="00CF692B"/>
    <w:rsid w:val="00CF6DF0"/>
    <w:rsid w:val="00D03038"/>
    <w:rsid w:val="00D11E3E"/>
    <w:rsid w:val="00D138F9"/>
    <w:rsid w:val="00D20D49"/>
    <w:rsid w:val="00D2190C"/>
    <w:rsid w:val="00D35880"/>
    <w:rsid w:val="00D45604"/>
    <w:rsid w:val="00D538FB"/>
    <w:rsid w:val="00D5500F"/>
    <w:rsid w:val="00D57541"/>
    <w:rsid w:val="00D726A3"/>
    <w:rsid w:val="00D751D3"/>
    <w:rsid w:val="00D7531D"/>
    <w:rsid w:val="00D75B9C"/>
    <w:rsid w:val="00D81379"/>
    <w:rsid w:val="00D818D6"/>
    <w:rsid w:val="00D8312B"/>
    <w:rsid w:val="00D832A5"/>
    <w:rsid w:val="00D84F23"/>
    <w:rsid w:val="00D8732F"/>
    <w:rsid w:val="00D87E86"/>
    <w:rsid w:val="00D96987"/>
    <w:rsid w:val="00DC6FCB"/>
    <w:rsid w:val="00DD15F0"/>
    <w:rsid w:val="00DD3B19"/>
    <w:rsid w:val="00DE364F"/>
    <w:rsid w:val="00DE509C"/>
    <w:rsid w:val="00DE560B"/>
    <w:rsid w:val="00DF2B9D"/>
    <w:rsid w:val="00DF7D2F"/>
    <w:rsid w:val="00E04264"/>
    <w:rsid w:val="00E27551"/>
    <w:rsid w:val="00E34AE4"/>
    <w:rsid w:val="00E36F7B"/>
    <w:rsid w:val="00E40087"/>
    <w:rsid w:val="00E44696"/>
    <w:rsid w:val="00E6614C"/>
    <w:rsid w:val="00E666BE"/>
    <w:rsid w:val="00E6701E"/>
    <w:rsid w:val="00E70C51"/>
    <w:rsid w:val="00E83544"/>
    <w:rsid w:val="00E842EA"/>
    <w:rsid w:val="00E95B82"/>
    <w:rsid w:val="00EA14E8"/>
    <w:rsid w:val="00EA4952"/>
    <w:rsid w:val="00EA4F04"/>
    <w:rsid w:val="00EB743D"/>
    <w:rsid w:val="00EC7259"/>
    <w:rsid w:val="00ED163C"/>
    <w:rsid w:val="00ED1960"/>
    <w:rsid w:val="00ED6797"/>
    <w:rsid w:val="00EE77F0"/>
    <w:rsid w:val="00EF108C"/>
    <w:rsid w:val="00F0724C"/>
    <w:rsid w:val="00F0743E"/>
    <w:rsid w:val="00F075AF"/>
    <w:rsid w:val="00F07FA9"/>
    <w:rsid w:val="00F12EBD"/>
    <w:rsid w:val="00F21CD7"/>
    <w:rsid w:val="00F35781"/>
    <w:rsid w:val="00F405FA"/>
    <w:rsid w:val="00F45B5D"/>
    <w:rsid w:val="00F520E8"/>
    <w:rsid w:val="00F53496"/>
    <w:rsid w:val="00F61290"/>
    <w:rsid w:val="00F65D3A"/>
    <w:rsid w:val="00F711DE"/>
    <w:rsid w:val="00F721F6"/>
    <w:rsid w:val="00F807F5"/>
    <w:rsid w:val="00F81C45"/>
    <w:rsid w:val="00F91191"/>
    <w:rsid w:val="00F94185"/>
    <w:rsid w:val="00F9691D"/>
    <w:rsid w:val="00FB3D34"/>
    <w:rsid w:val="00FC13F5"/>
    <w:rsid w:val="00FE1255"/>
    <w:rsid w:val="00FE1ED5"/>
    <w:rsid w:val="00FE2789"/>
    <w:rsid w:val="00FE7779"/>
    <w:rsid w:val="00FF31EB"/>
    <w:rsid w:val="1F26134E"/>
    <w:rsid w:val="63F241C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87"/>
    <o:shapelayout v:ext="edit">
      <o:idmap v:ext="edit" data="1"/>
    </o:shapelayout>
  </w:shapeDefaults>
  <w:decimalSymbol w:val=","/>
  <w:listSeparator w:val=";"/>
  <w14:docId w14:val="0FD0CF9A"/>
  <w15:chartTrackingRefBased/>
  <w15:docId w15:val="{013C613D-C564-FA4B-AE46-F10EBE18AA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BF5B98"/>
    <w:pPr>
      <w:spacing w:after="0" w:line="240" w:lineRule="auto"/>
      <w:jc w:val="both"/>
    </w:pPr>
    <w:rPr>
      <w:rFonts w:ascii="Times New Roman" w:hAnsi="Times New Roman"/>
      <w:sz w:val="24"/>
    </w:rPr>
  </w:style>
  <w:style w:type="paragraph" w:styleId="Nadpis1">
    <w:name w:val="heading 1"/>
    <w:aliases w:val="A Nadpis 1"/>
    <w:basedOn w:val="Normln"/>
    <w:next w:val="Normln"/>
    <w:link w:val="Nadpis1Char"/>
    <w:uiPriority w:val="9"/>
    <w:qFormat/>
    <w:rsid w:val="00A139F2"/>
    <w:pPr>
      <w:keepNext/>
      <w:keepLines/>
      <w:numPr>
        <w:numId w:val="1"/>
      </w:numPr>
      <w:spacing w:before="120" w:after="120"/>
      <w:ind w:left="431" w:hanging="431"/>
      <w:outlineLvl w:val="0"/>
    </w:pPr>
    <w:rPr>
      <w:rFonts w:eastAsiaTheme="majorEastAsia" w:cs="Times New Roman"/>
      <w:b/>
      <w:bCs/>
      <w:sz w:val="28"/>
      <w:szCs w:val="32"/>
      <w:lang w:val="cs-CZ"/>
    </w:rPr>
  </w:style>
  <w:style w:type="paragraph" w:styleId="Nadpis2">
    <w:name w:val="heading 2"/>
    <w:aliases w:val="A Nadpis 2"/>
    <w:basedOn w:val="Normln"/>
    <w:next w:val="Normln"/>
    <w:link w:val="Nadpis2Char"/>
    <w:uiPriority w:val="9"/>
    <w:unhideWhenUsed/>
    <w:qFormat/>
    <w:rsid w:val="00A139F2"/>
    <w:pPr>
      <w:keepNext/>
      <w:keepLines/>
      <w:numPr>
        <w:ilvl w:val="1"/>
        <w:numId w:val="1"/>
      </w:numPr>
      <w:spacing w:before="120" w:after="120"/>
      <w:ind w:left="578" w:hanging="578"/>
      <w:outlineLvl w:val="1"/>
    </w:pPr>
    <w:rPr>
      <w:rFonts w:eastAsiaTheme="majorEastAsia" w:cs="Times New Roman"/>
      <w:b/>
      <w:bCs/>
      <w:sz w:val="26"/>
      <w:szCs w:val="28"/>
      <w:lang w:val="cs-CZ"/>
    </w:rPr>
  </w:style>
  <w:style w:type="paragraph" w:styleId="Nadpis3">
    <w:name w:val="heading 3"/>
    <w:aliases w:val="A Nadpis 3"/>
    <w:basedOn w:val="Normln"/>
    <w:next w:val="Normln"/>
    <w:link w:val="Nadpis3Char"/>
    <w:uiPriority w:val="9"/>
    <w:unhideWhenUsed/>
    <w:qFormat/>
    <w:rsid w:val="00A139F2"/>
    <w:pPr>
      <w:keepNext/>
      <w:keepLines/>
      <w:numPr>
        <w:ilvl w:val="2"/>
        <w:numId w:val="1"/>
      </w:numPr>
      <w:spacing w:before="120" w:after="120"/>
      <w:outlineLvl w:val="2"/>
    </w:pPr>
    <w:rPr>
      <w:rFonts w:eastAsiaTheme="majorEastAsia" w:cstheme="majorBidi"/>
      <w:b/>
      <w:bCs/>
      <w:szCs w:val="26"/>
    </w:rPr>
  </w:style>
  <w:style w:type="paragraph" w:styleId="Nadpis4">
    <w:name w:val="heading 4"/>
    <w:basedOn w:val="Normln"/>
    <w:next w:val="Normln"/>
    <w:link w:val="Nadpis4Char"/>
    <w:uiPriority w:val="9"/>
    <w:unhideWhenUsed/>
    <w:qFormat/>
    <w:rsid w:val="006752D6"/>
    <w:pPr>
      <w:keepNext/>
      <w:keepLines/>
      <w:numPr>
        <w:ilvl w:val="3"/>
        <w:numId w:val="1"/>
      </w:numPr>
      <w:spacing w:before="40"/>
      <w:outlineLvl w:val="3"/>
    </w:pPr>
    <w:rPr>
      <w:rFonts w:asciiTheme="majorHAnsi" w:eastAsiaTheme="majorEastAsia" w:hAnsiTheme="majorHAnsi" w:cstheme="majorBidi"/>
      <w:i/>
      <w:iCs/>
      <w:color w:val="2F5496" w:themeColor="accent1" w:themeShade="BF"/>
    </w:rPr>
  </w:style>
  <w:style w:type="paragraph" w:styleId="Nadpis5">
    <w:name w:val="heading 5"/>
    <w:basedOn w:val="Normln"/>
    <w:next w:val="Normln"/>
    <w:link w:val="Nadpis5Char"/>
    <w:unhideWhenUsed/>
    <w:qFormat/>
    <w:rsid w:val="00B87E14"/>
    <w:pPr>
      <w:keepNext/>
      <w:keepLines/>
      <w:numPr>
        <w:ilvl w:val="4"/>
        <w:numId w:val="1"/>
      </w:numPr>
      <w:spacing w:before="40" w:after="120" w:line="276" w:lineRule="auto"/>
      <w:outlineLvl w:val="4"/>
    </w:pPr>
    <w:rPr>
      <w:rFonts w:ascii="Arial" w:eastAsiaTheme="majorEastAsia" w:hAnsi="Arial" w:cstheme="majorBidi"/>
      <w:sz w:val="28"/>
      <w:szCs w:val="24"/>
      <w:lang w:val="cs-CZ"/>
    </w:rPr>
  </w:style>
  <w:style w:type="paragraph" w:styleId="Nadpis6">
    <w:name w:val="heading 6"/>
    <w:basedOn w:val="Normln"/>
    <w:next w:val="Normln"/>
    <w:link w:val="Nadpis6Char"/>
    <w:uiPriority w:val="9"/>
    <w:semiHidden/>
    <w:unhideWhenUsed/>
    <w:qFormat/>
    <w:rsid w:val="00034B70"/>
    <w:pPr>
      <w:keepNext/>
      <w:keepLines/>
      <w:numPr>
        <w:ilvl w:val="5"/>
        <w:numId w:val="1"/>
      </w:numPr>
      <w:spacing w:before="40"/>
      <w:outlineLvl w:val="5"/>
    </w:pPr>
    <w:rPr>
      <w:rFonts w:eastAsiaTheme="majorEastAsia" w:cstheme="majorBidi"/>
      <w:b/>
      <w:i/>
      <w:color w:val="385623" w:themeColor="accent6" w:themeShade="80"/>
    </w:rPr>
  </w:style>
  <w:style w:type="paragraph" w:styleId="Nadpis7">
    <w:name w:val="heading 7"/>
    <w:basedOn w:val="Normln"/>
    <w:next w:val="Normln"/>
    <w:link w:val="Nadpis7Char"/>
    <w:unhideWhenUsed/>
    <w:qFormat/>
    <w:rsid w:val="00B87E14"/>
    <w:pPr>
      <w:keepNext/>
      <w:keepLines/>
      <w:numPr>
        <w:ilvl w:val="6"/>
        <w:numId w:val="1"/>
      </w:numPr>
      <w:spacing w:before="240" w:after="120" w:line="276" w:lineRule="auto"/>
      <w:jc w:val="center"/>
      <w:outlineLvl w:val="6"/>
    </w:pPr>
    <w:rPr>
      <w:rFonts w:eastAsiaTheme="majorEastAsia" w:cstheme="majorBidi"/>
      <w:i/>
      <w:iCs/>
      <w:color w:val="525252" w:themeColor="accent3" w:themeShade="80"/>
      <w:szCs w:val="24"/>
      <w:lang w:val="cs-CZ"/>
    </w:rPr>
  </w:style>
  <w:style w:type="paragraph" w:styleId="Nadpis8">
    <w:name w:val="heading 8"/>
    <w:basedOn w:val="Normln"/>
    <w:next w:val="Normln"/>
    <w:link w:val="Nadpis8Char"/>
    <w:uiPriority w:val="9"/>
    <w:semiHidden/>
    <w:unhideWhenUsed/>
    <w:qFormat/>
    <w:rsid w:val="006752D6"/>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semiHidden/>
    <w:unhideWhenUsed/>
    <w:qFormat/>
    <w:rsid w:val="006752D6"/>
    <w:pPr>
      <w:keepNext/>
      <w:keepLines/>
      <w:numPr>
        <w:ilvl w:val="8"/>
        <w:numId w:val="1"/>
      </w:numPr>
      <w:tabs>
        <w:tab w:val="num" w:pos="360"/>
      </w:tabs>
      <w:spacing w:before="40"/>
      <w:ind w:left="0" w:firstLine="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ormaltextrun">
    <w:name w:val="normaltextrun"/>
    <w:basedOn w:val="Standardnpsmoodstavce"/>
    <w:rsid w:val="00B87E14"/>
  </w:style>
  <w:style w:type="paragraph" w:styleId="Textbubliny">
    <w:name w:val="Balloon Text"/>
    <w:basedOn w:val="Normln"/>
    <w:link w:val="TextbublinyChar"/>
    <w:uiPriority w:val="99"/>
    <w:semiHidden/>
    <w:unhideWhenUsed/>
    <w:rsid w:val="00B87E14"/>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B87E14"/>
    <w:rPr>
      <w:rFonts w:ascii="Segoe UI" w:hAnsi="Segoe UI" w:cs="Segoe UI"/>
      <w:sz w:val="18"/>
      <w:szCs w:val="18"/>
    </w:rPr>
  </w:style>
  <w:style w:type="character" w:customStyle="1" w:styleId="Nadpis5Char">
    <w:name w:val="Nadpis 5 Char"/>
    <w:basedOn w:val="Standardnpsmoodstavce"/>
    <w:link w:val="Nadpis5"/>
    <w:rsid w:val="00B87E14"/>
    <w:rPr>
      <w:rFonts w:ascii="Arial" w:eastAsiaTheme="majorEastAsia" w:hAnsi="Arial" w:cstheme="majorBidi"/>
      <w:sz w:val="28"/>
      <w:szCs w:val="24"/>
      <w:lang w:val="cs-CZ"/>
    </w:rPr>
  </w:style>
  <w:style w:type="character" w:customStyle="1" w:styleId="Nadpis7Char">
    <w:name w:val="Nadpis 7 Char"/>
    <w:basedOn w:val="Standardnpsmoodstavce"/>
    <w:link w:val="Nadpis7"/>
    <w:rsid w:val="00B87E14"/>
    <w:rPr>
      <w:rFonts w:ascii="Times New Roman" w:eastAsiaTheme="majorEastAsia" w:hAnsi="Times New Roman" w:cstheme="majorBidi"/>
      <w:i/>
      <w:iCs/>
      <w:color w:val="525252" w:themeColor="accent3" w:themeShade="80"/>
      <w:sz w:val="24"/>
      <w:szCs w:val="24"/>
      <w:lang w:val="cs-CZ"/>
    </w:rPr>
  </w:style>
  <w:style w:type="paragraph" w:styleId="Odstavecseseznamem">
    <w:name w:val="List Paragraph"/>
    <w:aliases w:val="List Paragraph compact,Normal bullet 2,Paragraphe de liste 2,Reference list,Bullet list,Numbered List,List Paragraph1,1st level - Bullet List Paragraph,Lettre d'introduction,Paragraph,Bullet EY,List Paragraph11,Normal bullet 21,Nad"/>
    <w:basedOn w:val="Normln"/>
    <w:link w:val="OdstavecseseznamemChar"/>
    <w:uiPriority w:val="34"/>
    <w:qFormat/>
    <w:rsid w:val="00164CBE"/>
    <w:pPr>
      <w:spacing w:line="276" w:lineRule="auto"/>
      <w:ind w:left="720"/>
      <w:contextualSpacing/>
    </w:pPr>
    <w:rPr>
      <w:rFonts w:eastAsia="Calibri" w:cs="Times New Roman"/>
      <w:szCs w:val="24"/>
      <w:lang w:val="cs-CZ"/>
    </w:rPr>
  </w:style>
  <w:style w:type="paragraph" w:styleId="Textpoznpodarou">
    <w:name w:val="footnote text"/>
    <w:aliases w:val="Char1,Schriftart: 9 pt,Schriftart: 10 pt,Schriftart: 8 pt,Text poznámky pod čiarou 007,Footnote,Fußnotentextf,Geneva 9,Font: Geneva 9,Boston 10,f,pozn. pod čarou,Text pozn. pod čarou1,Char Char Char1,Footnote Text Char1,o, Char1,fn"/>
    <w:basedOn w:val="Normln"/>
    <w:link w:val="TextpoznpodarouChar"/>
    <w:uiPriority w:val="99"/>
    <w:qFormat/>
    <w:rsid w:val="00B87E14"/>
    <w:rPr>
      <w:rFonts w:eastAsia="Calibri" w:cs="Times New Roman"/>
      <w:sz w:val="20"/>
      <w:szCs w:val="20"/>
      <w:lang w:val="cs-CZ"/>
    </w:rPr>
  </w:style>
  <w:style w:type="character" w:customStyle="1" w:styleId="TextpoznpodarouChar">
    <w:name w:val="Text pozn. pod čarou Char"/>
    <w:aliases w:val="Char1 Char,Schriftart: 9 pt Char,Schriftart: 10 pt Char,Schriftart: 8 pt Char,Text poznámky pod čiarou 007 Char,Footnote Char,Fußnotentextf Char,Geneva 9 Char,Font: Geneva 9 Char,Boston 10 Char,f Char,pozn. pod čarou Char"/>
    <w:basedOn w:val="Standardnpsmoodstavce"/>
    <w:link w:val="Textpoznpodarou"/>
    <w:uiPriority w:val="99"/>
    <w:qFormat/>
    <w:rsid w:val="00B87E14"/>
    <w:rPr>
      <w:rFonts w:ascii="Times New Roman" w:eastAsia="Calibri" w:hAnsi="Times New Roman" w:cs="Times New Roman"/>
      <w:sz w:val="20"/>
      <w:szCs w:val="20"/>
      <w:lang w:val="cs-CZ"/>
    </w:rPr>
  </w:style>
  <w:style w:type="character" w:styleId="Znakapoznpodarou">
    <w:name w:val="footnote reference"/>
    <w:aliases w:val="PGI Fußnote Ziffer,BVI fnr,Footnote symbol,Footnote Reference Superscript,Appel note de bas de p,Appel note de bas de page,Légende,Char Car Car Car Car,Voetnootverwijzing,Légende;Char Car Car Car Car,Légende.Char Car Car Car Car"/>
    <w:basedOn w:val="Standardnpsmoodstavce"/>
    <w:uiPriority w:val="99"/>
    <w:qFormat/>
    <w:rsid w:val="00B87E14"/>
    <w:rPr>
      <w:rFonts w:cs="Times New Roman"/>
      <w:vertAlign w:val="superscript"/>
    </w:rPr>
  </w:style>
  <w:style w:type="character" w:styleId="Odkaznakoment">
    <w:name w:val="annotation reference"/>
    <w:basedOn w:val="Standardnpsmoodstavce"/>
    <w:uiPriority w:val="99"/>
    <w:unhideWhenUsed/>
    <w:rsid w:val="00B87E14"/>
    <w:rPr>
      <w:sz w:val="16"/>
      <w:szCs w:val="16"/>
    </w:rPr>
  </w:style>
  <w:style w:type="paragraph" w:styleId="Textkomente">
    <w:name w:val="annotation text"/>
    <w:basedOn w:val="Normln"/>
    <w:link w:val="TextkomenteChar"/>
    <w:uiPriority w:val="99"/>
    <w:unhideWhenUsed/>
    <w:rsid w:val="00B87E14"/>
    <w:pPr>
      <w:spacing w:after="120"/>
    </w:pPr>
    <w:rPr>
      <w:rFonts w:eastAsia="Calibri" w:cs="Times New Roman"/>
      <w:sz w:val="20"/>
      <w:szCs w:val="20"/>
      <w:lang w:val="cs-CZ"/>
    </w:rPr>
  </w:style>
  <w:style w:type="character" w:customStyle="1" w:styleId="TextkomenteChar">
    <w:name w:val="Text komentáře Char"/>
    <w:basedOn w:val="Standardnpsmoodstavce"/>
    <w:link w:val="Textkomente"/>
    <w:uiPriority w:val="99"/>
    <w:rsid w:val="00B87E14"/>
    <w:rPr>
      <w:rFonts w:ascii="Times New Roman" w:eastAsia="Calibri" w:hAnsi="Times New Roman" w:cs="Times New Roman"/>
      <w:sz w:val="20"/>
      <w:szCs w:val="20"/>
      <w:lang w:val="cs-CZ"/>
    </w:rPr>
  </w:style>
  <w:style w:type="paragraph" w:customStyle="1" w:styleId="ManualNumPar1">
    <w:name w:val="Manual NumPar 1"/>
    <w:basedOn w:val="Normln"/>
    <w:next w:val="Normln"/>
    <w:rsid w:val="00B87E14"/>
    <w:pPr>
      <w:spacing w:before="120" w:after="120"/>
      <w:ind w:left="850" w:hanging="850"/>
    </w:pPr>
    <w:rPr>
      <w:rFonts w:cs="Times New Roman"/>
      <w:lang w:val="cs-CZ"/>
    </w:rPr>
  </w:style>
  <w:style w:type="paragraph" w:customStyle="1" w:styleId="Titrearticle">
    <w:name w:val="Titre article"/>
    <w:basedOn w:val="Normln"/>
    <w:next w:val="Normln"/>
    <w:rsid w:val="00B87E14"/>
    <w:pPr>
      <w:keepNext/>
      <w:spacing w:before="360" w:after="120"/>
      <w:jc w:val="center"/>
    </w:pPr>
    <w:rPr>
      <w:rFonts w:cs="Times New Roman"/>
      <w:i/>
      <w:lang w:val="cs-CZ"/>
    </w:rPr>
  </w:style>
  <w:style w:type="paragraph" w:customStyle="1" w:styleId="Point1">
    <w:name w:val="Point 1"/>
    <w:basedOn w:val="Normln"/>
    <w:rsid w:val="00B87E14"/>
    <w:pPr>
      <w:spacing w:before="120" w:after="120"/>
      <w:ind w:left="1417" w:hanging="567"/>
    </w:pPr>
    <w:rPr>
      <w:rFonts w:cs="Times New Roman"/>
      <w:lang w:val="cs-CZ"/>
    </w:rPr>
  </w:style>
  <w:style w:type="paragraph" w:customStyle="1" w:styleId="ManualConsidrant">
    <w:name w:val="Manual Considérant"/>
    <w:basedOn w:val="Normln"/>
    <w:rsid w:val="00B87E14"/>
    <w:pPr>
      <w:spacing w:before="120" w:after="120"/>
      <w:ind w:left="709" w:hanging="709"/>
    </w:pPr>
    <w:rPr>
      <w:rFonts w:cs="Times New Roman"/>
      <w:lang w:val="cs-CZ"/>
    </w:rPr>
  </w:style>
  <w:style w:type="paragraph" w:customStyle="1" w:styleId="Point2">
    <w:name w:val="Point 2"/>
    <w:basedOn w:val="Normln"/>
    <w:rsid w:val="00B87E14"/>
    <w:pPr>
      <w:spacing w:before="120" w:after="120"/>
      <w:ind w:left="1984" w:hanging="567"/>
    </w:pPr>
    <w:rPr>
      <w:rFonts w:cs="Times New Roman"/>
      <w:lang w:val="cs-CZ"/>
    </w:rPr>
  </w:style>
  <w:style w:type="paragraph" w:customStyle="1" w:styleId="Text1">
    <w:name w:val="Text 1"/>
    <w:basedOn w:val="Normln"/>
    <w:rsid w:val="00B87E14"/>
    <w:pPr>
      <w:spacing w:before="120" w:after="120"/>
      <w:ind w:left="850"/>
    </w:pPr>
    <w:rPr>
      <w:rFonts w:cs="Times New Roman"/>
      <w:szCs w:val="24"/>
    </w:rPr>
  </w:style>
  <w:style w:type="character" w:styleId="Siln">
    <w:name w:val="Strong"/>
    <w:basedOn w:val="Standardnpsmoodstavce"/>
    <w:uiPriority w:val="22"/>
    <w:qFormat/>
    <w:rsid w:val="00B87E14"/>
    <w:rPr>
      <w:b/>
      <w:bCs/>
    </w:rPr>
  </w:style>
  <w:style w:type="character" w:customStyle="1" w:styleId="OdstavecseseznamemChar">
    <w:name w:val="Odstavec se seznamem Char"/>
    <w:aliases w:val="List Paragraph compact Char,Normal bullet 2 Char,Paragraphe de liste 2 Char,Reference list Char,Bullet list Char,Numbered List Char,List Paragraph1 Char,1st level - Bullet List Paragraph Char,Lettre d'introduction Char,Nad Char"/>
    <w:link w:val="Odstavecseseznamem"/>
    <w:uiPriority w:val="34"/>
    <w:qFormat/>
    <w:locked/>
    <w:rsid w:val="00164CBE"/>
    <w:rPr>
      <w:rFonts w:ascii="Times New Roman" w:eastAsia="Calibri" w:hAnsi="Times New Roman" w:cs="Times New Roman"/>
      <w:sz w:val="24"/>
      <w:szCs w:val="24"/>
      <w:lang w:val="cs-CZ"/>
    </w:rPr>
  </w:style>
  <w:style w:type="paragraph" w:styleId="Zhlav">
    <w:name w:val="header"/>
    <w:basedOn w:val="Normln"/>
    <w:link w:val="ZhlavChar"/>
    <w:uiPriority w:val="99"/>
    <w:unhideWhenUsed/>
    <w:rsid w:val="00B87E14"/>
    <w:pPr>
      <w:tabs>
        <w:tab w:val="center" w:pos="4513"/>
        <w:tab w:val="right" w:pos="9026"/>
      </w:tabs>
    </w:pPr>
  </w:style>
  <w:style w:type="character" w:customStyle="1" w:styleId="ZhlavChar">
    <w:name w:val="Záhlaví Char"/>
    <w:basedOn w:val="Standardnpsmoodstavce"/>
    <w:link w:val="Zhlav"/>
    <w:uiPriority w:val="99"/>
    <w:rsid w:val="00B87E14"/>
    <w:rPr>
      <w:rFonts w:ascii="Times New Roman" w:hAnsi="Times New Roman"/>
      <w:sz w:val="24"/>
    </w:rPr>
  </w:style>
  <w:style w:type="paragraph" w:styleId="Zpat">
    <w:name w:val="footer"/>
    <w:basedOn w:val="Normln"/>
    <w:link w:val="ZpatChar"/>
    <w:uiPriority w:val="99"/>
    <w:unhideWhenUsed/>
    <w:rsid w:val="00B87E14"/>
    <w:pPr>
      <w:tabs>
        <w:tab w:val="center" w:pos="4513"/>
        <w:tab w:val="right" w:pos="9026"/>
      </w:tabs>
    </w:pPr>
  </w:style>
  <w:style w:type="character" w:customStyle="1" w:styleId="ZpatChar">
    <w:name w:val="Zápatí Char"/>
    <w:basedOn w:val="Standardnpsmoodstavce"/>
    <w:link w:val="Zpat"/>
    <w:uiPriority w:val="99"/>
    <w:rsid w:val="00B87E14"/>
    <w:rPr>
      <w:rFonts w:ascii="Times New Roman" w:hAnsi="Times New Roman"/>
      <w:sz w:val="24"/>
    </w:rPr>
  </w:style>
  <w:style w:type="character" w:customStyle="1" w:styleId="Nadpis1Char">
    <w:name w:val="Nadpis 1 Char"/>
    <w:aliases w:val="A Nadpis 1 Char"/>
    <w:basedOn w:val="Standardnpsmoodstavce"/>
    <w:link w:val="Nadpis1"/>
    <w:uiPriority w:val="9"/>
    <w:rsid w:val="00A139F2"/>
    <w:rPr>
      <w:rFonts w:ascii="Times New Roman" w:eastAsiaTheme="majorEastAsia" w:hAnsi="Times New Roman" w:cs="Times New Roman"/>
      <w:b/>
      <w:bCs/>
      <w:sz w:val="28"/>
      <w:szCs w:val="32"/>
      <w:lang w:val="cs-CZ"/>
    </w:rPr>
  </w:style>
  <w:style w:type="character" w:customStyle="1" w:styleId="Nadpis2Char">
    <w:name w:val="Nadpis 2 Char"/>
    <w:aliases w:val="A Nadpis 2 Char"/>
    <w:basedOn w:val="Standardnpsmoodstavce"/>
    <w:link w:val="Nadpis2"/>
    <w:uiPriority w:val="9"/>
    <w:rsid w:val="00A139F2"/>
    <w:rPr>
      <w:rFonts w:ascii="Times New Roman" w:eastAsiaTheme="majorEastAsia" w:hAnsi="Times New Roman" w:cs="Times New Roman"/>
      <w:b/>
      <w:bCs/>
      <w:sz w:val="26"/>
      <w:szCs w:val="28"/>
      <w:lang w:val="cs-CZ"/>
    </w:rPr>
  </w:style>
  <w:style w:type="character" w:customStyle="1" w:styleId="Nadpis3Char">
    <w:name w:val="Nadpis 3 Char"/>
    <w:aliases w:val="A Nadpis 3 Char"/>
    <w:basedOn w:val="Standardnpsmoodstavce"/>
    <w:link w:val="Nadpis3"/>
    <w:uiPriority w:val="9"/>
    <w:rsid w:val="00A139F2"/>
    <w:rPr>
      <w:rFonts w:ascii="Times New Roman" w:eastAsiaTheme="majorEastAsia" w:hAnsi="Times New Roman" w:cstheme="majorBidi"/>
      <w:b/>
      <w:bCs/>
      <w:sz w:val="24"/>
      <w:szCs w:val="26"/>
    </w:rPr>
  </w:style>
  <w:style w:type="paragraph" w:styleId="Nadpisobsahu">
    <w:name w:val="TOC Heading"/>
    <w:basedOn w:val="Nadpis1"/>
    <w:next w:val="Normln"/>
    <w:uiPriority w:val="39"/>
    <w:unhideWhenUsed/>
    <w:qFormat/>
    <w:rsid w:val="0000288B"/>
    <w:pPr>
      <w:spacing w:line="259" w:lineRule="auto"/>
      <w:jc w:val="left"/>
      <w:outlineLvl w:val="9"/>
    </w:pPr>
    <w:rPr>
      <w:rFonts w:asciiTheme="majorHAnsi" w:hAnsiTheme="majorHAnsi" w:cstheme="majorBidi"/>
      <w:b w:val="0"/>
      <w:bCs w:val="0"/>
      <w:color w:val="2F5496" w:themeColor="accent1" w:themeShade="BF"/>
      <w:lang w:eastAsia="cs-CZ"/>
    </w:rPr>
  </w:style>
  <w:style w:type="paragraph" w:styleId="Obsah1">
    <w:name w:val="toc 1"/>
    <w:basedOn w:val="Normln"/>
    <w:next w:val="Normln"/>
    <w:autoRedefine/>
    <w:uiPriority w:val="39"/>
    <w:unhideWhenUsed/>
    <w:rsid w:val="00D03038"/>
    <w:pPr>
      <w:spacing w:before="120" w:after="120"/>
      <w:jc w:val="left"/>
    </w:pPr>
    <w:rPr>
      <w:b/>
      <w:bCs/>
      <w:caps/>
      <w:sz w:val="20"/>
      <w:szCs w:val="20"/>
    </w:rPr>
  </w:style>
  <w:style w:type="paragraph" w:styleId="Obsah3">
    <w:name w:val="toc 3"/>
    <w:basedOn w:val="Normln"/>
    <w:next w:val="Normln"/>
    <w:autoRedefine/>
    <w:uiPriority w:val="39"/>
    <w:unhideWhenUsed/>
    <w:rsid w:val="00D03038"/>
    <w:pPr>
      <w:ind w:left="480"/>
      <w:jc w:val="left"/>
    </w:pPr>
    <w:rPr>
      <w:iCs/>
      <w:sz w:val="20"/>
      <w:szCs w:val="20"/>
    </w:rPr>
  </w:style>
  <w:style w:type="character" w:styleId="Hypertextovodkaz">
    <w:name w:val="Hyperlink"/>
    <w:basedOn w:val="Standardnpsmoodstavce"/>
    <w:uiPriority w:val="99"/>
    <w:unhideWhenUsed/>
    <w:rsid w:val="0000288B"/>
    <w:rPr>
      <w:color w:val="0563C1" w:themeColor="hyperlink"/>
      <w:u w:val="single"/>
    </w:rPr>
  </w:style>
  <w:style w:type="character" w:customStyle="1" w:styleId="Nadpis6Char">
    <w:name w:val="Nadpis 6 Char"/>
    <w:basedOn w:val="Standardnpsmoodstavce"/>
    <w:link w:val="Nadpis6"/>
    <w:uiPriority w:val="9"/>
    <w:semiHidden/>
    <w:rsid w:val="00034B70"/>
    <w:rPr>
      <w:rFonts w:ascii="Times New Roman" w:eastAsiaTheme="majorEastAsia" w:hAnsi="Times New Roman" w:cstheme="majorBidi"/>
      <w:b/>
      <w:i/>
      <w:color w:val="385623" w:themeColor="accent6" w:themeShade="80"/>
      <w:sz w:val="24"/>
    </w:rPr>
  </w:style>
  <w:style w:type="paragraph" w:styleId="Titulek">
    <w:name w:val="caption"/>
    <w:basedOn w:val="Normln"/>
    <w:next w:val="Normln"/>
    <w:uiPriority w:val="35"/>
    <w:qFormat/>
    <w:rsid w:val="0000288B"/>
    <w:pPr>
      <w:keepNext/>
      <w:spacing w:after="120"/>
    </w:pPr>
    <w:rPr>
      <w:rFonts w:eastAsia="Calibri" w:cs="Times New Roman"/>
      <w:b/>
      <w:bCs/>
      <w:szCs w:val="20"/>
      <w:lang w:val="cs-CZ"/>
    </w:rPr>
  </w:style>
  <w:style w:type="paragraph" w:customStyle="1" w:styleId="Zdroj">
    <w:name w:val="Zdroj"/>
    <w:basedOn w:val="Normln"/>
    <w:qFormat/>
    <w:rsid w:val="0000288B"/>
    <w:pPr>
      <w:spacing w:after="120"/>
    </w:pPr>
    <w:rPr>
      <w:rFonts w:eastAsia="Calibri" w:cs="Times New Roman"/>
      <w:i/>
      <w:iCs/>
      <w:sz w:val="20"/>
      <w:szCs w:val="24"/>
      <w:lang w:val="cs-CZ"/>
    </w:rPr>
  </w:style>
  <w:style w:type="table" w:styleId="Tmavtabulkasmkou5zvraznn3">
    <w:name w:val="Grid Table 5 Dark Accent 3"/>
    <w:basedOn w:val="Normlntabulka"/>
    <w:uiPriority w:val="50"/>
    <w:rsid w:val="0000288B"/>
    <w:pPr>
      <w:spacing w:after="0" w:line="240" w:lineRule="auto"/>
    </w:pPr>
    <w:rPr>
      <w:rFonts w:ascii="Calibri" w:eastAsia="Calibri" w:hAnsi="Calibri" w:cs="Times New Roman"/>
      <w:lang w:val="cs-CZ" w:eastAsia="cs-CZ"/>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customStyle="1" w:styleId="Default">
    <w:name w:val="Default"/>
    <w:rsid w:val="0000288B"/>
    <w:pPr>
      <w:autoSpaceDE w:val="0"/>
      <w:autoSpaceDN w:val="0"/>
      <w:adjustRightInd w:val="0"/>
      <w:spacing w:after="0" w:line="240" w:lineRule="auto"/>
    </w:pPr>
    <w:rPr>
      <w:rFonts w:ascii="Times New Roman" w:eastAsiaTheme="minorEastAsia" w:hAnsi="Times New Roman" w:cs="Times New Roman"/>
      <w:color w:val="000000"/>
      <w:sz w:val="24"/>
      <w:szCs w:val="24"/>
      <w:lang w:val="cs-CZ"/>
    </w:rPr>
  </w:style>
  <w:style w:type="paragraph" w:styleId="Obsah2">
    <w:name w:val="toc 2"/>
    <w:basedOn w:val="Normln"/>
    <w:next w:val="Normln"/>
    <w:autoRedefine/>
    <w:uiPriority w:val="39"/>
    <w:unhideWhenUsed/>
    <w:rsid w:val="00381FCE"/>
    <w:pPr>
      <w:tabs>
        <w:tab w:val="left" w:pos="1200"/>
        <w:tab w:val="right" w:leader="dot" w:pos="9062"/>
      </w:tabs>
      <w:ind w:left="240"/>
      <w:jc w:val="left"/>
    </w:pPr>
    <w:rPr>
      <w:smallCaps/>
      <w:sz w:val="20"/>
      <w:szCs w:val="20"/>
    </w:rPr>
  </w:style>
  <w:style w:type="paragraph" w:styleId="Pedmtkomente">
    <w:name w:val="annotation subject"/>
    <w:basedOn w:val="Textkomente"/>
    <w:next w:val="Textkomente"/>
    <w:link w:val="PedmtkomenteChar"/>
    <w:uiPriority w:val="99"/>
    <w:semiHidden/>
    <w:unhideWhenUsed/>
    <w:rsid w:val="00CF4AEF"/>
    <w:pPr>
      <w:spacing w:after="0"/>
    </w:pPr>
    <w:rPr>
      <w:rFonts w:eastAsiaTheme="minorHAnsi" w:cstheme="minorBidi"/>
      <w:b/>
      <w:bCs/>
      <w:lang w:val="en-GB"/>
    </w:rPr>
  </w:style>
  <w:style w:type="character" w:customStyle="1" w:styleId="PedmtkomenteChar">
    <w:name w:val="Předmět komentáře Char"/>
    <w:basedOn w:val="TextkomenteChar"/>
    <w:link w:val="Pedmtkomente"/>
    <w:uiPriority w:val="99"/>
    <w:semiHidden/>
    <w:rsid w:val="00CF4AEF"/>
    <w:rPr>
      <w:rFonts w:ascii="Times New Roman" w:eastAsia="Calibri" w:hAnsi="Times New Roman" w:cs="Times New Roman"/>
      <w:b/>
      <w:bCs/>
      <w:sz w:val="20"/>
      <w:szCs w:val="20"/>
      <w:lang w:val="cs-CZ"/>
    </w:rPr>
  </w:style>
  <w:style w:type="character" w:customStyle="1" w:styleId="shorttext">
    <w:name w:val="short_text"/>
    <w:basedOn w:val="Standardnpsmoodstavce"/>
    <w:rsid w:val="00130FD1"/>
  </w:style>
  <w:style w:type="character" w:styleId="PromnnHTML">
    <w:name w:val="HTML Variable"/>
    <w:basedOn w:val="Standardnpsmoodstavce"/>
    <w:uiPriority w:val="99"/>
    <w:semiHidden/>
    <w:unhideWhenUsed/>
    <w:rsid w:val="00130FD1"/>
    <w:rPr>
      <w:i/>
      <w:iCs/>
    </w:rPr>
  </w:style>
  <w:style w:type="paragraph" w:customStyle="1" w:styleId="TabPramZprac">
    <w:name w:val="TabPramZprac"/>
    <w:basedOn w:val="Normln"/>
    <w:next w:val="Normln"/>
    <w:link w:val="TabPramZpracChar"/>
    <w:rsid w:val="00130FD1"/>
    <w:pPr>
      <w:keepNext/>
      <w:ind w:left="851" w:hanging="851"/>
    </w:pPr>
    <w:rPr>
      <w:rFonts w:ascii="Arial" w:eastAsia="Times New Roman" w:hAnsi="Arial" w:cs="Arial"/>
      <w:i/>
      <w:iCs/>
      <w:sz w:val="16"/>
      <w:szCs w:val="15"/>
      <w:lang w:val="x-none" w:eastAsia="x-none"/>
    </w:rPr>
  </w:style>
  <w:style w:type="character" w:customStyle="1" w:styleId="TabPramZpracChar">
    <w:name w:val="TabPramZprac Char"/>
    <w:link w:val="TabPramZprac"/>
    <w:rsid w:val="00130FD1"/>
    <w:rPr>
      <w:rFonts w:ascii="Arial" w:eastAsia="Times New Roman" w:hAnsi="Arial" w:cs="Arial"/>
      <w:i/>
      <w:iCs/>
      <w:sz w:val="16"/>
      <w:szCs w:val="15"/>
      <w:lang w:val="x-none" w:eastAsia="x-none"/>
    </w:rPr>
  </w:style>
  <w:style w:type="character" w:customStyle="1" w:styleId="Nadpis4Char">
    <w:name w:val="Nadpis 4 Char"/>
    <w:basedOn w:val="Standardnpsmoodstavce"/>
    <w:link w:val="Nadpis4"/>
    <w:uiPriority w:val="9"/>
    <w:rsid w:val="006752D6"/>
    <w:rPr>
      <w:rFonts w:asciiTheme="majorHAnsi" w:eastAsiaTheme="majorEastAsia" w:hAnsiTheme="majorHAnsi" w:cstheme="majorBidi"/>
      <w:i/>
      <w:iCs/>
      <w:color w:val="2F5496" w:themeColor="accent1" w:themeShade="BF"/>
      <w:sz w:val="24"/>
    </w:rPr>
  </w:style>
  <w:style w:type="character" w:customStyle="1" w:styleId="Nadpis8Char">
    <w:name w:val="Nadpis 8 Char"/>
    <w:basedOn w:val="Standardnpsmoodstavce"/>
    <w:link w:val="Nadpis8"/>
    <w:uiPriority w:val="9"/>
    <w:semiHidden/>
    <w:rsid w:val="006752D6"/>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Standardnpsmoodstavce"/>
    <w:link w:val="Nadpis9"/>
    <w:uiPriority w:val="9"/>
    <w:semiHidden/>
    <w:rsid w:val="006752D6"/>
    <w:rPr>
      <w:rFonts w:asciiTheme="majorHAnsi" w:eastAsiaTheme="majorEastAsia" w:hAnsiTheme="majorHAnsi" w:cstheme="majorBidi"/>
      <w:i/>
      <w:iCs/>
      <w:color w:val="272727" w:themeColor="text1" w:themeTint="D8"/>
      <w:sz w:val="21"/>
      <w:szCs w:val="21"/>
    </w:rPr>
  </w:style>
  <w:style w:type="paragraph" w:styleId="Podnadpis">
    <w:name w:val="Subtitle"/>
    <w:basedOn w:val="Normln"/>
    <w:next w:val="Normln"/>
    <w:link w:val="PodnadpisChar"/>
    <w:uiPriority w:val="11"/>
    <w:qFormat/>
    <w:rsid w:val="00C35E53"/>
    <w:pPr>
      <w:numPr>
        <w:ilvl w:val="1"/>
      </w:numPr>
      <w:spacing w:after="160"/>
      <w:jc w:val="center"/>
    </w:pPr>
    <w:rPr>
      <w:rFonts w:eastAsiaTheme="minorEastAsia"/>
      <w:i/>
      <w:noProof/>
      <w:color w:val="000000" w:themeColor="text1"/>
      <w:spacing w:val="15"/>
    </w:rPr>
  </w:style>
  <w:style w:type="character" w:customStyle="1" w:styleId="PodnadpisChar">
    <w:name w:val="Podnadpis Char"/>
    <w:basedOn w:val="Standardnpsmoodstavce"/>
    <w:link w:val="Podnadpis"/>
    <w:uiPriority w:val="11"/>
    <w:rsid w:val="00C35E53"/>
    <w:rPr>
      <w:rFonts w:ascii="Times New Roman" w:eastAsiaTheme="minorEastAsia" w:hAnsi="Times New Roman"/>
      <w:i/>
      <w:noProof/>
      <w:color w:val="000000" w:themeColor="text1"/>
      <w:spacing w:val="15"/>
      <w:sz w:val="24"/>
    </w:rPr>
  </w:style>
  <w:style w:type="paragraph" w:customStyle="1" w:styleId="UZEINadpis1st">
    <w:name w:val="UZEI Nadpis 1.st"/>
    <w:basedOn w:val="Nadpis1"/>
    <w:link w:val="UZEINadpis1stChar"/>
    <w:qFormat/>
    <w:rsid w:val="006660D2"/>
    <w:pPr>
      <w:spacing w:after="0" w:line="300" w:lineRule="atLeast"/>
    </w:pPr>
    <w:rPr>
      <w:rFonts w:cstheme="majorBidi"/>
      <w:bCs w:val="0"/>
      <w:color w:val="000000" w:themeColor="text1"/>
      <w:lang w:eastAsia="cs-CZ"/>
    </w:rPr>
  </w:style>
  <w:style w:type="paragraph" w:customStyle="1" w:styleId="UZEINadpis2st">
    <w:name w:val="UZEI Nadpis 2.st"/>
    <w:basedOn w:val="Nadpis2"/>
    <w:link w:val="UZEINadpis2stChar"/>
    <w:qFormat/>
    <w:rsid w:val="00784A04"/>
    <w:pPr>
      <w:numPr>
        <w:numId w:val="7"/>
      </w:numPr>
      <w:spacing w:line="300" w:lineRule="atLeast"/>
    </w:pPr>
    <w:rPr>
      <w:rFonts w:cstheme="majorBidi"/>
      <w:bCs w:val="0"/>
      <w:color w:val="000000" w:themeColor="text1"/>
      <w:szCs w:val="26"/>
      <w:lang w:eastAsia="cs-CZ"/>
    </w:rPr>
  </w:style>
  <w:style w:type="character" w:customStyle="1" w:styleId="UZEINadpis1stChar">
    <w:name w:val="UZEI Nadpis 1.st Char"/>
    <w:basedOn w:val="Nadpis1Char"/>
    <w:link w:val="UZEINadpis1st"/>
    <w:rsid w:val="006660D2"/>
    <w:rPr>
      <w:rFonts w:ascii="Times New Roman" w:eastAsiaTheme="majorEastAsia" w:hAnsi="Times New Roman" w:cstheme="majorBidi"/>
      <w:b/>
      <w:bCs w:val="0"/>
      <w:color w:val="000000" w:themeColor="text1"/>
      <w:sz w:val="28"/>
      <w:szCs w:val="32"/>
      <w:lang w:val="cs-CZ" w:eastAsia="cs-CZ"/>
    </w:rPr>
  </w:style>
  <w:style w:type="paragraph" w:customStyle="1" w:styleId="UZEINadpis3st">
    <w:name w:val="UZEI Nadpis 3.st"/>
    <w:basedOn w:val="Nadpis3"/>
    <w:link w:val="UZEINadpis3stChar"/>
    <w:qFormat/>
    <w:rsid w:val="006660D2"/>
    <w:pPr>
      <w:numPr>
        <w:ilvl w:val="0"/>
        <w:numId w:val="6"/>
      </w:numPr>
      <w:spacing w:line="300" w:lineRule="atLeast"/>
      <w:ind w:hanging="578"/>
    </w:pPr>
    <w:rPr>
      <w:bCs w:val="0"/>
      <w:i/>
      <w:color w:val="000000" w:themeColor="text1"/>
      <w:szCs w:val="24"/>
      <w:lang w:val="cs-CZ" w:eastAsia="cs-CZ"/>
    </w:rPr>
  </w:style>
  <w:style w:type="character" w:customStyle="1" w:styleId="UZEINadpis2stChar">
    <w:name w:val="UZEI Nadpis 2.st Char"/>
    <w:basedOn w:val="Nadpis2Char"/>
    <w:link w:val="UZEINadpis2st"/>
    <w:rsid w:val="006660D2"/>
    <w:rPr>
      <w:rFonts w:ascii="Times New Roman" w:eastAsiaTheme="majorEastAsia" w:hAnsi="Times New Roman" w:cstheme="majorBidi"/>
      <w:b/>
      <w:bCs w:val="0"/>
      <w:color w:val="000000" w:themeColor="text1"/>
      <w:sz w:val="26"/>
      <w:szCs w:val="26"/>
      <w:lang w:val="cs-CZ" w:eastAsia="cs-CZ"/>
    </w:rPr>
  </w:style>
  <w:style w:type="paragraph" w:customStyle="1" w:styleId="UZEINormaln">
    <w:name w:val="UZEI Normalní"/>
    <w:basedOn w:val="Normln"/>
    <w:link w:val="UZEINormalnChar"/>
    <w:qFormat/>
    <w:rsid w:val="0031504D"/>
    <w:pPr>
      <w:spacing w:before="120" w:after="120"/>
    </w:pPr>
    <w:rPr>
      <w:rFonts w:eastAsia="Times New Roman" w:cstheme="minorHAnsi"/>
      <w:szCs w:val="24"/>
      <w:lang w:val="cs-CZ" w:eastAsia="cs-CZ"/>
    </w:rPr>
  </w:style>
  <w:style w:type="character" w:customStyle="1" w:styleId="UZEINadpis3stChar">
    <w:name w:val="UZEI Nadpis 3.st Char"/>
    <w:basedOn w:val="Nadpis3Char"/>
    <w:link w:val="UZEINadpis3st"/>
    <w:rsid w:val="006660D2"/>
    <w:rPr>
      <w:rFonts w:ascii="Times New Roman" w:eastAsiaTheme="majorEastAsia" w:hAnsi="Times New Roman" w:cstheme="majorBidi"/>
      <w:b/>
      <w:bCs w:val="0"/>
      <w:i/>
      <w:color w:val="000000" w:themeColor="text1"/>
      <w:sz w:val="24"/>
      <w:szCs w:val="24"/>
      <w:lang w:val="cs-CZ" w:eastAsia="cs-CZ"/>
    </w:rPr>
  </w:style>
  <w:style w:type="paragraph" w:customStyle="1" w:styleId="UZEIOdrky">
    <w:name w:val="UZEI Odrážky"/>
    <w:basedOn w:val="Normln"/>
    <w:link w:val="UZEIOdrkyChar"/>
    <w:qFormat/>
    <w:rsid w:val="00BA3366"/>
    <w:pPr>
      <w:numPr>
        <w:numId w:val="2"/>
      </w:numPr>
      <w:autoSpaceDE w:val="0"/>
      <w:autoSpaceDN w:val="0"/>
      <w:spacing w:before="60" w:after="60"/>
    </w:pPr>
    <w:rPr>
      <w:rFonts w:eastAsia="Times New Roman" w:cs="Calibri"/>
      <w:color w:val="000000"/>
      <w:szCs w:val="24"/>
      <w:lang w:val="cs-CZ"/>
    </w:rPr>
  </w:style>
  <w:style w:type="character" w:customStyle="1" w:styleId="UZEINormalnChar">
    <w:name w:val="UZEI Normalní Char"/>
    <w:basedOn w:val="Standardnpsmoodstavce"/>
    <w:link w:val="UZEINormaln"/>
    <w:rsid w:val="0031504D"/>
    <w:rPr>
      <w:rFonts w:ascii="Times New Roman" w:eastAsia="Times New Roman" w:hAnsi="Times New Roman" w:cstheme="minorHAnsi"/>
      <w:sz w:val="24"/>
      <w:szCs w:val="24"/>
      <w:lang w:val="cs-CZ" w:eastAsia="cs-CZ"/>
    </w:rPr>
  </w:style>
  <w:style w:type="paragraph" w:customStyle="1" w:styleId="UZEINadpis4st">
    <w:name w:val="UZEI Nadpis 4.st"/>
    <w:basedOn w:val="Normln"/>
    <w:link w:val="UZEINadpis4stChar"/>
    <w:qFormat/>
    <w:rsid w:val="006660D2"/>
    <w:pPr>
      <w:spacing w:before="120" w:after="120" w:line="300" w:lineRule="atLeast"/>
    </w:pPr>
    <w:rPr>
      <w:rFonts w:eastAsia="Times New Roman" w:cs="Arial"/>
      <w:b/>
      <w:bCs/>
      <w:szCs w:val="24"/>
      <w:lang w:val="cs-CZ" w:eastAsia="cs-CZ"/>
    </w:rPr>
  </w:style>
  <w:style w:type="character" w:customStyle="1" w:styleId="UZEIOdrkyChar">
    <w:name w:val="UZEI Odrážky Char"/>
    <w:basedOn w:val="Standardnpsmoodstavce"/>
    <w:link w:val="UZEIOdrky"/>
    <w:rsid w:val="00BA3366"/>
    <w:rPr>
      <w:rFonts w:ascii="Times New Roman" w:eastAsia="Times New Roman" w:hAnsi="Times New Roman" w:cs="Calibri"/>
      <w:color w:val="000000"/>
      <w:sz w:val="24"/>
      <w:szCs w:val="24"/>
      <w:lang w:val="cs-CZ"/>
    </w:rPr>
  </w:style>
  <w:style w:type="character" w:customStyle="1" w:styleId="UZEINadpis4stChar">
    <w:name w:val="UZEI Nadpis 4.st Char"/>
    <w:basedOn w:val="Standardnpsmoodstavce"/>
    <w:link w:val="UZEINadpis4st"/>
    <w:rsid w:val="006660D2"/>
    <w:rPr>
      <w:rFonts w:ascii="Times New Roman" w:eastAsia="Times New Roman" w:hAnsi="Times New Roman" w:cs="Arial"/>
      <w:b/>
      <w:bCs/>
      <w:sz w:val="24"/>
      <w:szCs w:val="24"/>
      <w:lang w:val="cs-CZ" w:eastAsia="cs-CZ"/>
    </w:rPr>
  </w:style>
  <w:style w:type="paragraph" w:customStyle="1" w:styleId="UZEILiteratura">
    <w:name w:val="UZEI Literatura"/>
    <w:basedOn w:val="Normln"/>
    <w:link w:val="UZEILiteraturaChar"/>
    <w:qFormat/>
    <w:rsid w:val="006660D2"/>
    <w:pPr>
      <w:spacing w:before="120" w:after="180" w:line="300" w:lineRule="atLeast"/>
    </w:pPr>
    <w:rPr>
      <w:rFonts w:eastAsia="Times New Roman" w:cstheme="minorHAnsi"/>
      <w:sz w:val="20"/>
      <w:szCs w:val="20"/>
      <w:lang w:val="cs-CZ" w:eastAsia="cs-CZ"/>
    </w:rPr>
  </w:style>
  <w:style w:type="character" w:customStyle="1" w:styleId="UZEILiteraturaChar">
    <w:name w:val="UZEI Literatura Char"/>
    <w:basedOn w:val="Standardnpsmoodstavce"/>
    <w:link w:val="UZEILiteratura"/>
    <w:rsid w:val="006660D2"/>
    <w:rPr>
      <w:rFonts w:ascii="Times New Roman" w:eastAsia="Times New Roman" w:hAnsi="Times New Roman" w:cstheme="minorHAnsi"/>
      <w:sz w:val="20"/>
      <w:szCs w:val="20"/>
      <w:lang w:val="cs-CZ" w:eastAsia="cs-CZ"/>
    </w:rPr>
  </w:style>
  <w:style w:type="paragraph" w:customStyle="1" w:styleId="UZEIZdroj">
    <w:name w:val="UZEI Zdroj"/>
    <w:basedOn w:val="Normln"/>
    <w:qFormat/>
    <w:rsid w:val="006660D2"/>
    <w:pPr>
      <w:spacing w:after="120"/>
    </w:pPr>
    <w:rPr>
      <w:rFonts w:eastAsia="Calibri" w:cs="Times New Roman"/>
      <w:i/>
      <w:iCs/>
      <w:sz w:val="20"/>
      <w:szCs w:val="24"/>
      <w:lang w:val="cs-CZ"/>
    </w:rPr>
  </w:style>
  <w:style w:type="paragraph" w:customStyle="1" w:styleId="UZEIGraf">
    <w:name w:val="UZEI Graf"/>
    <w:basedOn w:val="Normln"/>
    <w:link w:val="UZEIGrafChar"/>
    <w:qFormat/>
    <w:rsid w:val="006660D2"/>
    <w:pPr>
      <w:numPr>
        <w:numId w:val="3"/>
      </w:numPr>
      <w:spacing w:before="60" w:line="300" w:lineRule="atLeast"/>
      <w:ind w:left="0" w:firstLine="0"/>
    </w:pPr>
    <w:rPr>
      <w:rFonts w:eastAsia="Times New Roman" w:cs="Arial"/>
      <w:b/>
      <w:sz w:val="20"/>
      <w:szCs w:val="20"/>
      <w:lang w:val="cs-CZ" w:eastAsia="cs-CZ"/>
    </w:rPr>
  </w:style>
  <w:style w:type="paragraph" w:customStyle="1" w:styleId="UZEINadpis1stbezsla">
    <w:name w:val="UZEI Nadpis 1. st.  bez čísla"/>
    <w:basedOn w:val="UZEINadpis1st"/>
    <w:link w:val="UZEINadpis1stbezslaChar"/>
    <w:autoRedefine/>
    <w:qFormat/>
    <w:rsid w:val="00647056"/>
    <w:pPr>
      <w:pageBreakBefore/>
      <w:numPr>
        <w:numId w:val="0"/>
      </w:numPr>
    </w:pPr>
  </w:style>
  <w:style w:type="character" w:customStyle="1" w:styleId="UZEIGrafChar">
    <w:name w:val="UZEI Graf Char"/>
    <w:basedOn w:val="UZEILiteraturaChar"/>
    <w:link w:val="UZEIGraf"/>
    <w:rsid w:val="006660D2"/>
    <w:rPr>
      <w:rFonts w:ascii="Times New Roman" w:eastAsia="Times New Roman" w:hAnsi="Times New Roman" w:cs="Arial"/>
      <w:b/>
      <w:sz w:val="20"/>
      <w:szCs w:val="20"/>
      <w:lang w:val="cs-CZ" w:eastAsia="cs-CZ"/>
    </w:rPr>
  </w:style>
  <w:style w:type="paragraph" w:customStyle="1" w:styleId="UZEINadpis2stbezsla">
    <w:name w:val="UZEI Nadpis 2. st bez čísla"/>
    <w:basedOn w:val="UZEINadpis2st"/>
    <w:link w:val="UZEINadpis2stbezslaChar"/>
    <w:qFormat/>
    <w:rsid w:val="006660D2"/>
    <w:pPr>
      <w:ind w:left="0" w:firstLine="0"/>
    </w:pPr>
  </w:style>
  <w:style w:type="character" w:customStyle="1" w:styleId="UZEINadpis1stbezslaChar">
    <w:name w:val="UZEI Nadpis 1. st.  bez čísla Char"/>
    <w:basedOn w:val="UZEIGrafChar"/>
    <w:link w:val="UZEINadpis1stbezsla"/>
    <w:rsid w:val="00647056"/>
    <w:rPr>
      <w:rFonts w:ascii="Times New Roman" w:eastAsiaTheme="majorEastAsia" w:hAnsi="Times New Roman" w:cstheme="majorBidi"/>
      <w:b/>
      <w:color w:val="000000" w:themeColor="text1"/>
      <w:sz w:val="28"/>
      <w:szCs w:val="32"/>
      <w:lang w:val="cs-CZ" w:eastAsia="cs-CZ"/>
    </w:rPr>
  </w:style>
  <w:style w:type="character" w:customStyle="1" w:styleId="UZEINadpis2stbezslaChar">
    <w:name w:val="UZEI Nadpis 2. st bez čísla Char"/>
    <w:basedOn w:val="Standardnpsmoodstavce"/>
    <w:link w:val="UZEINadpis2stbezsla"/>
    <w:rsid w:val="006660D2"/>
    <w:rPr>
      <w:rFonts w:ascii="Times New Roman" w:eastAsiaTheme="majorEastAsia" w:hAnsi="Times New Roman" w:cstheme="majorBidi"/>
      <w:b/>
      <w:color w:val="000000" w:themeColor="text1"/>
      <w:sz w:val="26"/>
      <w:szCs w:val="26"/>
      <w:lang w:val="cs-CZ" w:eastAsia="cs-CZ"/>
    </w:rPr>
  </w:style>
  <w:style w:type="paragraph" w:customStyle="1" w:styleId="UZEITaB">
    <w:name w:val="UZEI TaB"/>
    <w:basedOn w:val="UZEIGraf"/>
    <w:link w:val="UZEITaBChar"/>
    <w:qFormat/>
    <w:rsid w:val="0087790C"/>
    <w:pPr>
      <w:numPr>
        <w:numId w:val="4"/>
      </w:numPr>
      <w:ind w:left="993" w:hanging="993"/>
      <w:jc w:val="left"/>
    </w:pPr>
    <w:rPr>
      <w:color w:val="000000" w:themeColor="text1"/>
    </w:rPr>
  </w:style>
  <w:style w:type="paragraph" w:customStyle="1" w:styleId="UZEIObr">
    <w:name w:val="UZEI Obr"/>
    <w:basedOn w:val="UZEIGraf"/>
    <w:link w:val="UZEIObrChar"/>
    <w:qFormat/>
    <w:rsid w:val="00E04264"/>
    <w:pPr>
      <w:numPr>
        <w:numId w:val="5"/>
      </w:numPr>
    </w:pPr>
    <w:rPr>
      <w:noProof/>
    </w:rPr>
  </w:style>
  <w:style w:type="character" w:customStyle="1" w:styleId="UZEITaBChar">
    <w:name w:val="UZEI TaB Char"/>
    <w:basedOn w:val="UZEINadpis2stbezslaChar"/>
    <w:link w:val="UZEITaB"/>
    <w:rsid w:val="0087790C"/>
    <w:rPr>
      <w:rFonts w:ascii="Times New Roman" w:eastAsia="Times New Roman" w:hAnsi="Times New Roman" w:cs="Arial"/>
      <w:b/>
      <w:color w:val="000000" w:themeColor="text1"/>
      <w:sz w:val="20"/>
      <w:szCs w:val="20"/>
      <w:lang w:val="cs-CZ" w:eastAsia="cs-CZ"/>
    </w:rPr>
  </w:style>
  <w:style w:type="character" w:customStyle="1" w:styleId="UZEIObrChar">
    <w:name w:val="UZEI Obr Char"/>
    <w:basedOn w:val="UZEINormalnChar"/>
    <w:link w:val="UZEIObr"/>
    <w:rsid w:val="00E04264"/>
    <w:rPr>
      <w:rFonts w:ascii="Times New Roman" w:eastAsia="Times New Roman" w:hAnsi="Times New Roman" w:cs="Arial"/>
      <w:b/>
      <w:noProof/>
      <w:sz w:val="20"/>
      <w:szCs w:val="20"/>
      <w:lang w:val="cs-CZ" w:eastAsia="cs-CZ"/>
    </w:rPr>
  </w:style>
  <w:style w:type="paragraph" w:customStyle="1" w:styleId="st-nazev">
    <w:name w:val="st-nazev"/>
    <w:basedOn w:val="Normln"/>
    <w:next w:val="Normln"/>
    <w:rsid w:val="00D81379"/>
    <w:pPr>
      <w:spacing w:before="5640"/>
      <w:jc w:val="center"/>
    </w:pPr>
    <w:rPr>
      <w:rFonts w:ascii="Arial" w:eastAsia="Times New Roman" w:hAnsi="Arial" w:cs="Times New Roman"/>
      <w:b/>
      <w:sz w:val="32"/>
      <w:szCs w:val="23"/>
      <w:lang w:val="cs-CZ" w:eastAsia="cs-CZ"/>
    </w:rPr>
  </w:style>
  <w:style w:type="paragraph" w:customStyle="1" w:styleId="st-rok">
    <w:name w:val="st-rok"/>
    <w:basedOn w:val="Normln"/>
    <w:rsid w:val="00D81379"/>
    <w:pPr>
      <w:spacing w:before="6000"/>
      <w:jc w:val="center"/>
    </w:pPr>
    <w:rPr>
      <w:rFonts w:eastAsia="Times New Roman" w:cs="Times New Roman"/>
      <w:b/>
      <w:szCs w:val="23"/>
      <w:lang w:val="cs-CZ" w:eastAsia="cs-CZ"/>
    </w:rPr>
  </w:style>
  <w:style w:type="paragraph" w:customStyle="1" w:styleId="UZEI">
    <w:name w:val="UZEI"/>
    <w:basedOn w:val="Normln"/>
    <w:next w:val="Normln"/>
    <w:qFormat/>
    <w:rsid w:val="00D81379"/>
    <w:pPr>
      <w:keepNext/>
      <w:spacing w:before="120"/>
      <w:jc w:val="center"/>
    </w:pPr>
    <w:rPr>
      <w:rFonts w:ascii="Arial" w:eastAsia="Times New Roman" w:hAnsi="Arial" w:cs="Times New Roman"/>
      <w:b/>
      <w:caps/>
      <w:kern w:val="28"/>
      <w:szCs w:val="24"/>
      <w:lang w:val="x-none" w:eastAsia="x-none"/>
    </w:rPr>
  </w:style>
  <w:style w:type="paragraph" w:styleId="Obsah4">
    <w:name w:val="toc 4"/>
    <w:basedOn w:val="Normln"/>
    <w:next w:val="Normln"/>
    <w:autoRedefine/>
    <w:uiPriority w:val="39"/>
    <w:unhideWhenUsed/>
    <w:rsid w:val="005D1920"/>
    <w:pPr>
      <w:tabs>
        <w:tab w:val="left" w:pos="1920"/>
        <w:tab w:val="right" w:leader="dot" w:pos="9062"/>
      </w:tabs>
      <w:ind w:left="1276" w:hanging="1276"/>
      <w:jc w:val="left"/>
    </w:pPr>
    <w:rPr>
      <w:sz w:val="20"/>
      <w:szCs w:val="18"/>
    </w:rPr>
  </w:style>
  <w:style w:type="paragraph" w:styleId="Obsah5">
    <w:name w:val="toc 5"/>
    <w:basedOn w:val="Normln"/>
    <w:next w:val="Normln"/>
    <w:autoRedefine/>
    <w:uiPriority w:val="39"/>
    <w:unhideWhenUsed/>
    <w:rsid w:val="00DF2B9D"/>
    <w:pPr>
      <w:ind w:left="960"/>
      <w:jc w:val="left"/>
    </w:pPr>
    <w:rPr>
      <w:rFonts w:asciiTheme="minorHAnsi" w:hAnsiTheme="minorHAnsi"/>
      <w:sz w:val="18"/>
      <w:szCs w:val="18"/>
    </w:rPr>
  </w:style>
  <w:style w:type="paragraph" w:styleId="Obsah6">
    <w:name w:val="toc 6"/>
    <w:basedOn w:val="Normln"/>
    <w:next w:val="Normln"/>
    <w:autoRedefine/>
    <w:uiPriority w:val="39"/>
    <w:unhideWhenUsed/>
    <w:rsid w:val="00DF2B9D"/>
    <w:pPr>
      <w:ind w:left="1200"/>
      <w:jc w:val="left"/>
    </w:pPr>
    <w:rPr>
      <w:rFonts w:asciiTheme="minorHAnsi" w:hAnsiTheme="minorHAnsi"/>
      <w:sz w:val="18"/>
      <w:szCs w:val="18"/>
    </w:rPr>
  </w:style>
  <w:style w:type="paragraph" w:styleId="Obsah7">
    <w:name w:val="toc 7"/>
    <w:basedOn w:val="Normln"/>
    <w:next w:val="Normln"/>
    <w:autoRedefine/>
    <w:uiPriority w:val="39"/>
    <w:unhideWhenUsed/>
    <w:rsid w:val="00DF2B9D"/>
    <w:pPr>
      <w:ind w:left="1440"/>
      <w:jc w:val="left"/>
    </w:pPr>
    <w:rPr>
      <w:rFonts w:asciiTheme="minorHAnsi" w:hAnsiTheme="minorHAnsi"/>
      <w:sz w:val="18"/>
      <w:szCs w:val="18"/>
    </w:rPr>
  </w:style>
  <w:style w:type="paragraph" w:styleId="Obsah8">
    <w:name w:val="toc 8"/>
    <w:basedOn w:val="Normln"/>
    <w:next w:val="Normln"/>
    <w:autoRedefine/>
    <w:uiPriority w:val="39"/>
    <w:unhideWhenUsed/>
    <w:rsid w:val="00DF2B9D"/>
    <w:pPr>
      <w:ind w:left="1680"/>
      <w:jc w:val="left"/>
    </w:pPr>
    <w:rPr>
      <w:rFonts w:asciiTheme="minorHAnsi" w:hAnsiTheme="minorHAnsi"/>
      <w:sz w:val="18"/>
      <w:szCs w:val="18"/>
    </w:rPr>
  </w:style>
  <w:style w:type="paragraph" w:styleId="Obsah9">
    <w:name w:val="toc 9"/>
    <w:basedOn w:val="Normln"/>
    <w:next w:val="Normln"/>
    <w:autoRedefine/>
    <w:uiPriority w:val="39"/>
    <w:unhideWhenUsed/>
    <w:rsid w:val="00DF2B9D"/>
    <w:pPr>
      <w:ind w:left="1920"/>
      <w:jc w:val="left"/>
    </w:pPr>
    <w:rPr>
      <w:rFonts w:asciiTheme="minorHAnsi" w:hAnsiTheme="minorHAnsi"/>
      <w:sz w:val="18"/>
      <w:szCs w:val="18"/>
    </w:rPr>
  </w:style>
  <w:style w:type="table" w:styleId="Mkatabulky">
    <w:name w:val="Table Grid"/>
    <w:basedOn w:val="Normlntabulka"/>
    <w:uiPriority w:val="39"/>
    <w:rsid w:val="00CB2594"/>
    <w:pPr>
      <w:spacing w:after="0" w:line="240" w:lineRule="auto"/>
    </w:pPr>
    <w:rPr>
      <w:rFonts w:ascii="Calibri" w:eastAsia="Calibri" w:hAnsi="Calibri" w:cs="Times New Roman"/>
      <w:sz w:val="20"/>
      <w:szCs w:val="20"/>
      <w:lang w:val="cs-CZ"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ogo">
    <w:name w:val="logo"/>
    <w:basedOn w:val="Normln"/>
    <w:rsid w:val="00CB2594"/>
    <w:pPr>
      <w:keepNext/>
      <w:jc w:val="center"/>
    </w:pPr>
    <w:rPr>
      <w:rFonts w:ascii="Arial" w:eastAsia="Times New Roman" w:hAnsi="Arial" w:cs="Times New Roman"/>
      <w:b/>
      <w:bCs/>
      <w:caps/>
      <w:kern w:val="28"/>
      <w:sz w:val="28"/>
      <w:szCs w:val="20"/>
      <w:lang w:val="x-none" w:eastAsia="x-none"/>
    </w:rPr>
  </w:style>
  <w:style w:type="paragraph" w:styleId="Bezmezer">
    <w:name w:val="No Spacing"/>
    <w:uiPriority w:val="1"/>
    <w:qFormat/>
    <w:rsid w:val="00CB2594"/>
    <w:pPr>
      <w:spacing w:after="0" w:line="240" w:lineRule="auto"/>
      <w:jc w:val="center"/>
    </w:pPr>
    <w:rPr>
      <w:rFonts w:ascii="Calibri" w:eastAsia="Calibri" w:hAnsi="Calibri" w:cs="Times New Roman"/>
      <w:lang w:val="cs-CZ"/>
    </w:rPr>
  </w:style>
  <w:style w:type="character" w:customStyle="1" w:styleId="notranslate">
    <w:name w:val="notranslate"/>
    <w:basedOn w:val="Standardnpsmoodstavce"/>
    <w:rsid w:val="00CB2594"/>
  </w:style>
  <w:style w:type="paragraph" w:styleId="Normlnweb">
    <w:name w:val="Normal (Web)"/>
    <w:basedOn w:val="Normln"/>
    <w:uiPriority w:val="99"/>
    <w:unhideWhenUsed/>
    <w:rsid w:val="00CB2594"/>
    <w:pPr>
      <w:spacing w:before="100" w:beforeAutospacing="1" w:after="100" w:afterAutospacing="1"/>
      <w:jc w:val="left"/>
    </w:pPr>
    <w:rPr>
      <w:rFonts w:eastAsia="Times New Roman" w:cs="Times New Roman"/>
      <w:szCs w:val="24"/>
      <w:lang w:val="cs-CZ" w:eastAsia="cs-CZ"/>
    </w:rPr>
  </w:style>
  <w:style w:type="character" w:styleId="Zdraznnjemn">
    <w:name w:val="Subtle Emphasis"/>
    <w:uiPriority w:val="19"/>
    <w:qFormat/>
    <w:rsid w:val="00CB2594"/>
    <w:rPr>
      <w:i/>
      <w:iCs/>
      <w:color w:val="404040"/>
    </w:rPr>
  </w:style>
  <w:style w:type="character" w:styleId="Zdraznn">
    <w:name w:val="Emphasis"/>
    <w:uiPriority w:val="20"/>
    <w:qFormat/>
    <w:rsid w:val="00CB2594"/>
    <w:rPr>
      <w:i/>
      <w:iCs/>
    </w:rPr>
  </w:style>
  <w:style w:type="character" w:styleId="Zdraznnintenzivn">
    <w:name w:val="Intense Emphasis"/>
    <w:uiPriority w:val="21"/>
    <w:qFormat/>
    <w:rsid w:val="00CB2594"/>
    <w:rPr>
      <w:i/>
      <w:iCs/>
      <w:color w:val="5B9BD5"/>
    </w:rPr>
  </w:style>
  <w:style w:type="paragraph" w:styleId="Revize">
    <w:name w:val="Revision"/>
    <w:hidden/>
    <w:uiPriority w:val="99"/>
    <w:semiHidden/>
    <w:rsid w:val="00CB2594"/>
    <w:pPr>
      <w:spacing w:after="0" w:line="240" w:lineRule="auto"/>
    </w:pPr>
    <w:rPr>
      <w:rFonts w:ascii="Calibri" w:eastAsia="Calibri" w:hAnsi="Calibri" w:cs="Times New Roman"/>
      <w:lang w:val="cs-CZ"/>
    </w:rPr>
  </w:style>
  <w:style w:type="paragraph" w:customStyle="1" w:styleId="article-perex">
    <w:name w:val="article-perex"/>
    <w:basedOn w:val="Normln"/>
    <w:rsid w:val="00CB2594"/>
    <w:pPr>
      <w:spacing w:before="100" w:beforeAutospacing="1" w:after="100" w:afterAutospacing="1"/>
      <w:jc w:val="left"/>
    </w:pPr>
    <w:rPr>
      <w:rFonts w:eastAsia="Times New Roman" w:cs="Times New Roman"/>
      <w:szCs w:val="24"/>
      <w:lang w:val="cs-CZ" w:eastAsia="cs-CZ"/>
    </w:rPr>
  </w:style>
  <w:style w:type="paragraph" w:customStyle="1" w:styleId="Tabulka">
    <w:name w:val="Tabulka"/>
    <w:basedOn w:val="Normln"/>
    <w:rsid w:val="00CB2594"/>
    <w:pPr>
      <w:spacing w:before="60" w:line="300" w:lineRule="atLeast"/>
      <w:jc w:val="left"/>
    </w:pPr>
    <w:rPr>
      <w:rFonts w:eastAsia="Times New Roman" w:cs="Times New Roman"/>
      <w:szCs w:val="23"/>
      <w:lang w:val="cs-CZ" w:eastAsia="cs-CZ"/>
    </w:rPr>
  </w:style>
  <w:style w:type="paragraph" w:customStyle="1" w:styleId="BodytextAgency">
    <w:name w:val="Body text (Agency)"/>
    <w:basedOn w:val="Normln"/>
    <w:link w:val="BodytextAgencyChar"/>
    <w:qFormat/>
    <w:rsid w:val="00CB2594"/>
    <w:pPr>
      <w:spacing w:after="140" w:line="280" w:lineRule="atLeast"/>
      <w:jc w:val="left"/>
    </w:pPr>
    <w:rPr>
      <w:rFonts w:ascii="Verdana" w:eastAsia="Verdana" w:hAnsi="Verdana" w:cs="Verdana"/>
      <w:sz w:val="18"/>
      <w:szCs w:val="18"/>
      <w:lang w:eastAsia="en-GB"/>
    </w:rPr>
  </w:style>
  <w:style w:type="character" w:customStyle="1" w:styleId="BodytextAgencyChar">
    <w:name w:val="Body text (Agency) Char"/>
    <w:link w:val="BodytextAgency"/>
    <w:rsid w:val="00CB2594"/>
    <w:rPr>
      <w:rFonts w:ascii="Verdana" w:eastAsia="Verdana" w:hAnsi="Verdana" w:cs="Verdana"/>
      <w:sz w:val="18"/>
      <w:szCs w:val="18"/>
      <w:lang w:eastAsia="en-GB"/>
    </w:rPr>
  </w:style>
  <w:style w:type="character" w:customStyle="1" w:styleId="FootnotereferenceAgency">
    <w:name w:val="Footnote reference (Agency)"/>
    <w:rsid w:val="00CB2594"/>
    <w:rPr>
      <w:rFonts w:ascii="Verdana" w:hAnsi="Verdana"/>
      <w:color w:val="auto"/>
      <w:vertAlign w:val="superscript"/>
    </w:rPr>
  </w:style>
  <w:style w:type="paragraph" w:customStyle="1" w:styleId="FootnotetextAgency">
    <w:name w:val="Footnote text (Agency)"/>
    <w:basedOn w:val="Normln"/>
    <w:rsid w:val="00CB2594"/>
    <w:pPr>
      <w:jc w:val="left"/>
    </w:pPr>
    <w:rPr>
      <w:rFonts w:ascii="Verdana" w:eastAsia="Verdana" w:hAnsi="Verdana" w:cs="Verdana"/>
      <w:sz w:val="15"/>
      <w:szCs w:val="18"/>
      <w:lang w:eastAsia="en-GB"/>
    </w:rPr>
  </w:style>
  <w:style w:type="paragraph" w:customStyle="1" w:styleId="TableheadingAgency">
    <w:name w:val="Table heading (Agency)"/>
    <w:basedOn w:val="Normln"/>
    <w:next w:val="BodytextAgency"/>
    <w:rsid w:val="00CB2594"/>
    <w:pPr>
      <w:keepNext/>
      <w:numPr>
        <w:numId w:val="9"/>
      </w:numPr>
      <w:spacing w:before="240" w:after="120"/>
      <w:jc w:val="left"/>
    </w:pPr>
    <w:rPr>
      <w:rFonts w:ascii="Verdana" w:eastAsia="SimSun" w:hAnsi="Verdana" w:cs="Verdana"/>
      <w:sz w:val="18"/>
      <w:szCs w:val="18"/>
      <w:lang w:eastAsia="en-GB"/>
    </w:rPr>
  </w:style>
  <w:style w:type="paragraph" w:customStyle="1" w:styleId="Podnadpis1">
    <w:name w:val="Podnadpis1"/>
    <w:uiPriority w:val="99"/>
    <w:rsid w:val="00CB2594"/>
    <w:pPr>
      <w:spacing w:before="72" w:after="72" w:line="240" w:lineRule="auto"/>
      <w:jc w:val="center"/>
    </w:pPr>
    <w:rPr>
      <w:rFonts w:ascii="Arial" w:eastAsia="Times New Roman" w:hAnsi="Arial" w:cs="Times New Roman"/>
      <w:b/>
      <w:color w:val="000000"/>
      <w:sz w:val="26"/>
      <w:szCs w:val="20"/>
      <w:lang w:val="cs-CZ" w:eastAsia="cs-CZ"/>
    </w:rPr>
  </w:style>
  <w:style w:type="character" w:customStyle="1" w:styleId="Nevyeenzmnka1">
    <w:name w:val="Nevyřešená zmínka1"/>
    <w:basedOn w:val="Standardnpsmoodstavce"/>
    <w:uiPriority w:val="99"/>
    <w:semiHidden/>
    <w:unhideWhenUsed/>
    <w:rsid w:val="00CB2594"/>
    <w:rPr>
      <w:color w:val="808080"/>
      <w:shd w:val="clear" w:color="auto" w:fill="E6E6E6"/>
    </w:rPr>
  </w:style>
  <w:style w:type="paragraph" w:customStyle="1" w:styleId="Footno">
    <w:name w:val="Footno"/>
    <w:basedOn w:val="Normln"/>
    <w:rsid w:val="00CB2594"/>
    <w:rPr>
      <w:rFonts w:eastAsia="Arial Unicode MS" w:cs="Times New Roman"/>
      <w:color w:val="000000"/>
      <w:sz w:val="20"/>
      <w:szCs w:val="20"/>
      <w:lang w:val="cs-CZ" w:eastAsia="cs-CZ" w:bidi="cs-CZ"/>
    </w:rPr>
  </w:style>
  <w:style w:type="paragraph" w:styleId="Seznamobrzk">
    <w:name w:val="table of figures"/>
    <w:basedOn w:val="Normln"/>
    <w:next w:val="Normln"/>
    <w:uiPriority w:val="99"/>
    <w:unhideWhenUsed/>
    <w:rsid w:val="00CB2594"/>
    <w:pPr>
      <w:spacing w:before="120"/>
    </w:pPr>
    <w:rPr>
      <w:rFonts w:cs="Times New Roman"/>
      <w:lang w:val="cs-CZ" w:eastAsia="cs-CZ" w:bidi="cs-CZ"/>
    </w:rPr>
  </w:style>
  <w:style w:type="paragraph" w:customStyle="1" w:styleId="Bullet0">
    <w:name w:val="Bullet 0"/>
    <w:basedOn w:val="Normln"/>
    <w:rsid w:val="00CB2594"/>
    <w:pPr>
      <w:numPr>
        <w:numId w:val="10"/>
      </w:numPr>
      <w:spacing w:before="120" w:after="120"/>
    </w:pPr>
    <w:rPr>
      <w:rFonts w:cs="Times New Roman"/>
      <w:lang w:val="cs-CZ" w:eastAsia="cs-CZ" w:bidi="cs-CZ"/>
    </w:rPr>
  </w:style>
  <w:style w:type="paragraph" w:customStyle="1" w:styleId="Bullet2">
    <w:name w:val="Bullet 2"/>
    <w:basedOn w:val="Normln"/>
    <w:rsid w:val="00CB2594"/>
    <w:pPr>
      <w:numPr>
        <w:numId w:val="11"/>
      </w:numPr>
      <w:spacing w:before="120" w:after="120"/>
    </w:pPr>
    <w:rPr>
      <w:rFonts w:cs="Times New Roman"/>
      <w:lang w:val="cs-CZ" w:eastAsia="cs-CZ" w:bidi="cs-CZ"/>
    </w:rPr>
  </w:style>
  <w:style w:type="character" w:styleId="Sledovanodkaz">
    <w:name w:val="FollowedHyperlink"/>
    <w:basedOn w:val="Standardnpsmoodstavce"/>
    <w:uiPriority w:val="99"/>
    <w:semiHidden/>
    <w:unhideWhenUsed/>
    <w:rsid w:val="00CB2594"/>
    <w:rPr>
      <w:color w:val="954F72" w:themeColor="followedHyperlink"/>
      <w:u w:val="single"/>
    </w:rPr>
  </w:style>
  <w:style w:type="character" w:customStyle="1" w:styleId="Nevyeenzmnka2">
    <w:name w:val="Nevyřešená zmínka2"/>
    <w:basedOn w:val="Standardnpsmoodstavce"/>
    <w:uiPriority w:val="99"/>
    <w:semiHidden/>
    <w:unhideWhenUsed/>
    <w:rsid w:val="00CB2594"/>
    <w:rPr>
      <w:color w:val="808080"/>
      <w:shd w:val="clear" w:color="auto" w:fill="E6E6E6"/>
    </w:rPr>
  </w:style>
  <w:style w:type="paragraph" w:customStyle="1" w:styleId="Point0">
    <w:name w:val="Point 0"/>
    <w:basedOn w:val="Normln"/>
    <w:rsid w:val="00CB2594"/>
    <w:pPr>
      <w:spacing w:before="120" w:after="120"/>
      <w:ind w:left="850" w:hanging="850"/>
    </w:pPr>
    <w:rPr>
      <w:rFonts w:cs="Times New Roman"/>
      <w:lang w:val="cs-CZ"/>
    </w:rPr>
  </w:style>
  <w:style w:type="character" w:customStyle="1" w:styleId="st">
    <w:name w:val="st"/>
    <w:basedOn w:val="Standardnpsmoodstavce"/>
    <w:rsid w:val="00CB2594"/>
  </w:style>
  <w:style w:type="character" w:customStyle="1" w:styleId="Nevyeenzmnka3">
    <w:name w:val="Nevyřešená zmínka3"/>
    <w:basedOn w:val="Standardnpsmoodstavce"/>
    <w:uiPriority w:val="99"/>
    <w:semiHidden/>
    <w:unhideWhenUsed/>
    <w:rsid w:val="00CB2594"/>
    <w:rPr>
      <w:color w:val="605E5C"/>
      <w:shd w:val="clear" w:color="auto" w:fill="E1DFDD"/>
    </w:rPr>
  </w:style>
  <w:style w:type="paragraph" w:styleId="FormtovanvHTML">
    <w:name w:val="HTML Preformatted"/>
    <w:basedOn w:val="Normln"/>
    <w:link w:val="FormtovanvHTMLChar"/>
    <w:uiPriority w:val="99"/>
    <w:semiHidden/>
    <w:unhideWhenUsed/>
    <w:rsid w:val="00CB25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lang w:val="cs-CZ" w:eastAsia="cs-CZ"/>
    </w:rPr>
  </w:style>
  <w:style w:type="character" w:customStyle="1" w:styleId="FormtovanvHTMLChar">
    <w:name w:val="Formátovaný v HTML Char"/>
    <w:basedOn w:val="Standardnpsmoodstavce"/>
    <w:link w:val="FormtovanvHTML"/>
    <w:uiPriority w:val="99"/>
    <w:semiHidden/>
    <w:rsid w:val="00CB2594"/>
    <w:rPr>
      <w:rFonts w:ascii="Courier New" w:eastAsia="Times New Roman" w:hAnsi="Courier New" w:cs="Courier New"/>
      <w:sz w:val="20"/>
      <w:szCs w:val="20"/>
      <w:lang w:val="cs-CZ" w:eastAsia="cs-CZ"/>
    </w:rPr>
  </w:style>
  <w:style w:type="character" w:customStyle="1" w:styleId="Nevyeenzmnka4">
    <w:name w:val="Nevyřešená zmínka4"/>
    <w:basedOn w:val="Standardnpsmoodstavce"/>
    <w:uiPriority w:val="99"/>
    <w:semiHidden/>
    <w:unhideWhenUsed/>
    <w:rsid w:val="00CB2594"/>
    <w:rPr>
      <w:color w:val="605E5C"/>
      <w:shd w:val="clear" w:color="auto" w:fill="E1DFDD"/>
    </w:rPr>
  </w:style>
  <w:style w:type="paragraph" w:styleId="z-Zatekformule">
    <w:name w:val="HTML Top of Form"/>
    <w:basedOn w:val="Normln"/>
    <w:next w:val="Normln"/>
    <w:link w:val="z-ZatekformuleChar"/>
    <w:hidden/>
    <w:uiPriority w:val="99"/>
    <w:semiHidden/>
    <w:unhideWhenUsed/>
    <w:rsid w:val="00CB2594"/>
    <w:pPr>
      <w:pBdr>
        <w:bottom w:val="single" w:sz="6" w:space="1" w:color="auto"/>
      </w:pBdr>
      <w:jc w:val="center"/>
    </w:pPr>
    <w:rPr>
      <w:rFonts w:ascii="Arial" w:eastAsia="Times New Roman" w:hAnsi="Arial" w:cs="Arial"/>
      <w:vanish/>
      <w:sz w:val="16"/>
      <w:szCs w:val="16"/>
      <w:lang w:val="cs-CZ" w:eastAsia="cs-CZ"/>
    </w:rPr>
  </w:style>
  <w:style w:type="character" w:customStyle="1" w:styleId="z-ZatekformuleChar">
    <w:name w:val="z-Začátek formuláře Char"/>
    <w:basedOn w:val="Standardnpsmoodstavce"/>
    <w:link w:val="z-Zatekformule"/>
    <w:uiPriority w:val="99"/>
    <w:semiHidden/>
    <w:rsid w:val="00CB2594"/>
    <w:rPr>
      <w:rFonts w:ascii="Arial" w:eastAsia="Times New Roman" w:hAnsi="Arial" w:cs="Arial"/>
      <w:vanish/>
      <w:sz w:val="16"/>
      <w:szCs w:val="16"/>
      <w:lang w:val="cs-CZ" w:eastAsia="cs-CZ"/>
    </w:rPr>
  </w:style>
  <w:style w:type="paragraph" w:styleId="z-Konecformule">
    <w:name w:val="HTML Bottom of Form"/>
    <w:basedOn w:val="Normln"/>
    <w:next w:val="Normln"/>
    <w:link w:val="z-KonecformuleChar"/>
    <w:hidden/>
    <w:uiPriority w:val="99"/>
    <w:semiHidden/>
    <w:unhideWhenUsed/>
    <w:rsid w:val="00CB2594"/>
    <w:pPr>
      <w:pBdr>
        <w:top w:val="single" w:sz="6" w:space="1" w:color="auto"/>
      </w:pBdr>
      <w:jc w:val="center"/>
    </w:pPr>
    <w:rPr>
      <w:rFonts w:ascii="Arial" w:eastAsia="Times New Roman" w:hAnsi="Arial" w:cs="Arial"/>
      <w:vanish/>
      <w:sz w:val="16"/>
      <w:szCs w:val="16"/>
      <w:lang w:val="cs-CZ" w:eastAsia="cs-CZ"/>
    </w:rPr>
  </w:style>
  <w:style w:type="character" w:customStyle="1" w:styleId="z-KonecformuleChar">
    <w:name w:val="z-Konec formuláře Char"/>
    <w:basedOn w:val="Standardnpsmoodstavce"/>
    <w:link w:val="z-Konecformule"/>
    <w:uiPriority w:val="99"/>
    <w:semiHidden/>
    <w:rsid w:val="00CB2594"/>
    <w:rPr>
      <w:rFonts w:ascii="Arial" w:eastAsia="Times New Roman" w:hAnsi="Arial" w:cs="Arial"/>
      <w:vanish/>
      <w:sz w:val="16"/>
      <w:szCs w:val="16"/>
      <w:lang w:val="cs-CZ" w:eastAsia="cs-CZ"/>
    </w:rPr>
  </w:style>
  <w:style w:type="character" w:customStyle="1" w:styleId="UnresolvedMention">
    <w:name w:val="Unresolved Mention"/>
    <w:basedOn w:val="Standardnpsmoodstavce"/>
    <w:uiPriority w:val="99"/>
    <w:semiHidden/>
    <w:unhideWhenUsed/>
    <w:rsid w:val="00CB2594"/>
    <w:rPr>
      <w:color w:val="605E5C"/>
      <w:shd w:val="clear" w:color="auto" w:fill="E1DFDD"/>
    </w:rPr>
  </w:style>
  <w:style w:type="table" w:customStyle="1" w:styleId="Tabulkasmkou21">
    <w:name w:val="Tabulka s mřížkou 21"/>
    <w:basedOn w:val="Normlntabulka"/>
    <w:uiPriority w:val="47"/>
    <w:rsid w:val="00AA3A5F"/>
    <w:pPr>
      <w:spacing w:after="0" w:line="240" w:lineRule="auto"/>
    </w:pPr>
    <w:rPr>
      <w:lang w:val="cs-CZ"/>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Barevntabulkasmkou61">
    <w:name w:val="Barevná tabulka s mřížkou 61"/>
    <w:basedOn w:val="Normlntabulka"/>
    <w:uiPriority w:val="51"/>
    <w:rsid w:val="00AA3A5F"/>
    <w:pPr>
      <w:spacing w:after="0" w:line="240" w:lineRule="auto"/>
    </w:pPr>
    <w:rPr>
      <w:color w:val="000000" w:themeColor="text1"/>
      <w:lang w:val="cs-CZ"/>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T-spolueitel1">
    <w:name w:val="TÚ - spoluřešitel1"/>
    <w:basedOn w:val="Normln"/>
    <w:qFormat/>
    <w:rsid w:val="00AA3A5F"/>
    <w:pPr>
      <w:spacing w:before="240"/>
      <w:ind w:left="2268" w:hanging="2268"/>
      <w:jc w:val="left"/>
    </w:pPr>
    <w:rPr>
      <w:rFonts w:ascii="Arial" w:eastAsia="Times New Roman" w:hAnsi="Arial" w:cs="Times New Roman"/>
      <w:sz w:val="20"/>
      <w:szCs w:val="24"/>
      <w:lang w:val="cs-CZ" w:eastAsia="cs-CZ"/>
    </w:rPr>
  </w:style>
  <w:style w:type="paragraph" w:customStyle="1" w:styleId="Nadpis30">
    <w:name w:val="Nadpis3"/>
    <w:basedOn w:val="Nadpis3"/>
    <w:link w:val="Nadpis3Char0"/>
    <w:qFormat/>
    <w:rsid w:val="00AA3A5F"/>
    <w:pPr>
      <w:numPr>
        <w:ilvl w:val="0"/>
        <w:numId w:val="0"/>
      </w:numPr>
      <w:spacing w:line="300" w:lineRule="atLeast"/>
      <w:jc w:val="left"/>
    </w:pPr>
    <w:rPr>
      <w:rFonts w:asciiTheme="majorHAnsi" w:hAnsiTheme="majorHAnsi"/>
      <w:b w:val="0"/>
      <w:bCs w:val="0"/>
      <w:i/>
      <w:color w:val="1F3763" w:themeColor="accent1" w:themeShade="7F"/>
      <w:szCs w:val="24"/>
      <w:lang w:val="cs-CZ" w:eastAsia="cs-CZ"/>
    </w:rPr>
  </w:style>
  <w:style w:type="character" w:customStyle="1" w:styleId="Nadpis3Char0">
    <w:name w:val="Nadpis3 Char"/>
    <w:basedOn w:val="Nadpis3Char"/>
    <w:link w:val="Nadpis30"/>
    <w:rsid w:val="00AA3A5F"/>
    <w:rPr>
      <w:rFonts w:asciiTheme="majorHAnsi" w:eastAsiaTheme="majorEastAsia" w:hAnsiTheme="majorHAnsi" w:cstheme="majorBidi"/>
      <w:b w:val="0"/>
      <w:bCs w:val="0"/>
      <w:i/>
      <w:color w:val="1F3763" w:themeColor="accent1" w:themeShade="7F"/>
      <w:sz w:val="24"/>
      <w:szCs w:val="24"/>
      <w:lang w:val="cs-CZ" w:eastAsia="cs-CZ"/>
    </w:rPr>
  </w:style>
  <w:style w:type="character" w:customStyle="1" w:styleId="h1a">
    <w:name w:val="h1a"/>
    <w:basedOn w:val="Standardnpsmoodstavce"/>
    <w:rsid w:val="00AA3A5F"/>
  </w:style>
  <w:style w:type="table" w:customStyle="1" w:styleId="TableGridLight1">
    <w:name w:val="Table Grid Light1"/>
    <w:basedOn w:val="Normlntabulka"/>
    <w:uiPriority w:val="40"/>
    <w:rsid w:val="00AA3A5F"/>
    <w:pPr>
      <w:spacing w:after="0" w:line="240" w:lineRule="auto"/>
    </w:pPr>
    <w:rPr>
      <w:lang w:val="cs-CZ" w:eastAsia="cs-CZ" w:bidi="cs-CZ"/>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nnexetitre">
    <w:name w:val="Annexe titre"/>
    <w:basedOn w:val="Normln"/>
    <w:next w:val="Normln"/>
    <w:rsid w:val="00AA3A5F"/>
    <w:pPr>
      <w:spacing w:before="120" w:after="120"/>
      <w:jc w:val="center"/>
    </w:pPr>
    <w:rPr>
      <w:rFonts w:cs="Times New Roman"/>
      <w:b/>
      <w:u w:val="single"/>
      <w:lang w:val="cs-CZ" w:eastAsia="cs-CZ" w:bidi="cs-CZ"/>
    </w:rPr>
  </w:style>
  <w:style w:type="paragraph" w:customStyle="1" w:styleId="Norm-Bold">
    <w:name w:val="Norm-Bold"/>
    <w:basedOn w:val="Normln"/>
    <w:next w:val="Normln"/>
    <w:link w:val="Norm-BoldChar"/>
    <w:rsid w:val="00AA3A5F"/>
    <w:pPr>
      <w:keepNext/>
      <w:suppressAutoHyphens/>
      <w:spacing w:before="240" w:line="360" w:lineRule="atLeast"/>
      <w:outlineLvl w:val="4"/>
    </w:pPr>
    <w:rPr>
      <w:rFonts w:eastAsia="Times New Roman" w:cs="Calibri"/>
      <w:b/>
      <w:szCs w:val="23"/>
      <w:lang w:val="cs-CZ" w:eastAsia="ar-SA"/>
    </w:rPr>
  </w:style>
  <w:style w:type="character" w:customStyle="1" w:styleId="Norm-BoldChar">
    <w:name w:val="Norm-Bold Char"/>
    <w:link w:val="Norm-Bold"/>
    <w:rsid w:val="00AA3A5F"/>
    <w:rPr>
      <w:rFonts w:ascii="Times New Roman" w:eastAsia="Times New Roman" w:hAnsi="Times New Roman" w:cs="Calibri"/>
      <w:b/>
      <w:sz w:val="24"/>
      <w:szCs w:val="23"/>
      <w:lang w:val="cs-CZ" w:eastAsia="ar-SA"/>
    </w:rPr>
  </w:style>
  <w:style w:type="paragraph" w:customStyle="1" w:styleId="Norm-Ital">
    <w:name w:val="Norm-Ital"/>
    <w:basedOn w:val="Normln"/>
    <w:rsid w:val="00AA3A5F"/>
    <w:pPr>
      <w:keepNext/>
      <w:keepLines/>
      <w:widowControl w:val="0"/>
      <w:suppressAutoHyphens/>
      <w:adjustRightInd w:val="0"/>
      <w:spacing w:before="240" w:line="300" w:lineRule="atLeast"/>
      <w:textAlignment w:val="baseline"/>
      <w:outlineLvl w:val="6"/>
    </w:pPr>
    <w:rPr>
      <w:rFonts w:eastAsia="Times New Roman" w:cs="Calibri"/>
      <w:bCs/>
      <w:i/>
      <w:iCs/>
      <w:szCs w:val="23"/>
      <w:lang w:val="cs-CZ" w:eastAsia="ar-SA"/>
    </w:rPr>
  </w:style>
  <w:style w:type="paragraph" w:customStyle="1" w:styleId="mezera">
    <w:name w:val="mezera"/>
    <w:basedOn w:val="Normln"/>
    <w:link w:val="mezeraChar"/>
    <w:qFormat/>
    <w:rsid w:val="00AA3A5F"/>
    <w:pPr>
      <w:suppressAutoHyphens/>
    </w:pPr>
    <w:rPr>
      <w:rFonts w:eastAsia="Times New Roman" w:cs="Calibri"/>
      <w:sz w:val="16"/>
      <w:szCs w:val="23"/>
      <w:lang w:val="cs-CZ" w:eastAsia="ar-SA"/>
    </w:rPr>
  </w:style>
  <w:style w:type="character" w:customStyle="1" w:styleId="mezeraChar">
    <w:name w:val="mezera Char"/>
    <w:link w:val="mezera"/>
    <w:rsid w:val="00AA3A5F"/>
    <w:rPr>
      <w:rFonts w:ascii="Times New Roman" w:eastAsia="Times New Roman" w:hAnsi="Times New Roman" w:cs="Calibri"/>
      <w:sz w:val="16"/>
      <w:szCs w:val="23"/>
      <w:lang w:val="cs-CZ" w:eastAsia="ar-SA"/>
    </w:rPr>
  </w:style>
  <w:style w:type="character" w:customStyle="1" w:styleId="h1a5">
    <w:name w:val="h1a5"/>
    <w:basedOn w:val="Standardnpsmoodstavce"/>
    <w:rsid w:val="00AA3A5F"/>
    <w:rPr>
      <w:rFonts w:ascii="Arial" w:hAnsi="Arial" w:cs="Arial" w:hint="default"/>
      <w:i/>
      <w:iCs/>
      <w:vanish w:val="0"/>
      <w:webHidden w:val="0"/>
      <w:sz w:val="26"/>
      <w:szCs w:val="26"/>
      <w:specVanish w:val="0"/>
    </w:rPr>
  </w:style>
  <w:style w:type="paragraph" w:styleId="Seznamsodrkami3">
    <w:name w:val="List Bullet 3"/>
    <w:basedOn w:val="Normln"/>
    <w:rsid w:val="00AA3A5F"/>
    <w:pPr>
      <w:numPr>
        <w:numId w:val="12"/>
      </w:numPr>
      <w:spacing w:after="240"/>
    </w:pPr>
    <w:rPr>
      <w:rFonts w:eastAsia="Times New Roman" w:cs="Times New Roman"/>
      <w:szCs w:val="20"/>
      <w:lang w:val="cs-CZ"/>
    </w:rPr>
  </w:style>
  <w:style w:type="paragraph" w:styleId="slovanseznam">
    <w:name w:val="List Number"/>
    <w:basedOn w:val="Normln"/>
    <w:rsid w:val="00AA3A5F"/>
    <w:pPr>
      <w:numPr>
        <w:numId w:val="13"/>
      </w:numPr>
      <w:spacing w:after="240"/>
    </w:pPr>
    <w:rPr>
      <w:rFonts w:eastAsia="Times New Roman" w:cs="Times New Roman"/>
      <w:szCs w:val="20"/>
      <w:lang w:val="cs-CZ"/>
    </w:rPr>
  </w:style>
  <w:style w:type="paragraph" w:customStyle="1" w:styleId="ListNumberLevel2">
    <w:name w:val="List Number (Level 2)"/>
    <w:basedOn w:val="Normln"/>
    <w:rsid w:val="00AA3A5F"/>
    <w:pPr>
      <w:numPr>
        <w:ilvl w:val="1"/>
        <w:numId w:val="13"/>
      </w:numPr>
      <w:spacing w:after="240"/>
    </w:pPr>
    <w:rPr>
      <w:rFonts w:eastAsia="Times New Roman" w:cs="Times New Roman"/>
      <w:szCs w:val="20"/>
      <w:lang w:val="cs-CZ"/>
    </w:rPr>
  </w:style>
  <w:style w:type="paragraph" w:customStyle="1" w:styleId="ListNumberLevel3">
    <w:name w:val="List Number (Level 3)"/>
    <w:basedOn w:val="Normln"/>
    <w:rsid w:val="00AA3A5F"/>
    <w:pPr>
      <w:numPr>
        <w:ilvl w:val="2"/>
        <w:numId w:val="13"/>
      </w:numPr>
      <w:spacing w:after="240"/>
    </w:pPr>
    <w:rPr>
      <w:rFonts w:eastAsia="Times New Roman" w:cs="Times New Roman"/>
      <w:szCs w:val="20"/>
      <w:lang w:val="cs-CZ"/>
    </w:rPr>
  </w:style>
  <w:style w:type="paragraph" w:customStyle="1" w:styleId="ListNumberLevel4">
    <w:name w:val="List Number (Level 4)"/>
    <w:basedOn w:val="Normln"/>
    <w:rsid w:val="00AA3A5F"/>
    <w:pPr>
      <w:numPr>
        <w:ilvl w:val="3"/>
        <w:numId w:val="13"/>
      </w:numPr>
      <w:spacing w:after="240"/>
    </w:pPr>
    <w:rPr>
      <w:rFonts w:eastAsia="Times New Roman" w:cs="Times New Roman"/>
      <w:szCs w:val="20"/>
      <w:lang w:val="cs-CZ"/>
    </w:rPr>
  </w:style>
  <w:style w:type="paragraph" w:customStyle="1" w:styleId="TabPoz">
    <w:name w:val="TabPoz"/>
    <w:basedOn w:val="Normln"/>
    <w:rsid w:val="00AA3A5F"/>
    <w:pPr>
      <w:keepNext/>
      <w:spacing w:before="60"/>
      <w:ind w:left="284" w:hanging="284"/>
    </w:pPr>
    <w:rPr>
      <w:rFonts w:ascii="Arial" w:eastAsia="Calibri" w:hAnsi="Arial" w:cs="Times New Roman"/>
      <w:i/>
      <w:sz w:val="16"/>
      <w:lang w:val="cs-CZ"/>
    </w:rPr>
  </w:style>
  <w:style w:type="paragraph" w:styleId="Textvysvtlivek">
    <w:name w:val="endnote text"/>
    <w:basedOn w:val="Normln"/>
    <w:link w:val="TextvysvtlivekChar"/>
    <w:uiPriority w:val="99"/>
    <w:semiHidden/>
    <w:unhideWhenUsed/>
    <w:rsid w:val="00AA3A5F"/>
    <w:pPr>
      <w:ind w:firstLine="567"/>
    </w:pPr>
    <w:rPr>
      <w:rFonts w:eastAsia="Times New Roman" w:cs="Times New Roman"/>
      <w:sz w:val="20"/>
      <w:szCs w:val="20"/>
      <w:lang w:val="cs-CZ" w:eastAsia="cs-CZ"/>
    </w:rPr>
  </w:style>
  <w:style w:type="character" w:customStyle="1" w:styleId="TextvysvtlivekChar">
    <w:name w:val="Text vysvětlivek Char"/>
    <w:basedOn w:val="Standardnpsmoodstavce"/>
    <w:link w:val="Textvysvtlivek"/>
    <w:uiPriority w:val="99"/>
    <w:semiHidden/>
    <w:rsid w:val="00AA3A5F"/>
    <w:rPr>
      <w:rFonts w:ascii="Times New Roman" w:eastAsia="Times New Roman" w:hAnsi="Times New Roman" w:cs="Times New Roman"/>
      <w:sz w:val="20"/>
      <w:szCs w:val="20"/>
      <w:lang w:val="cs-CZ" w:eastAsia="cs-CZ"/>
    </w:rPr>
  </w:style>
  <w:style w:type="character" w:styleId="Odkaznavysvtlivky">
    <w:name w:val="endnote reference"/>
    <w:basedOn w:val="Standardnpsmoodstavce"/>
    <w:uiPriority w:val="99"/>
    <w:semiHidden/>
    <w:unhideWhenUsed/>
    <w:rsid w:val="00AA3A5F"/>
    <w:rPr>
      <w:vertAlign w:val="superscript"/>
    </w:rPr>
  </w:style>
  <w:style w:type="paragraph" w:customStyle="1" w:styleId="xmsolistparagraph">
    <w:name w:val="x_msolistparagraph"/>
    <w:basedOn w:val="Normln"/>
    <w:rsid w:val="00AA3A5F"/>
    <w:pPr>
      <w:spacing w:before="100" w:beforeAutospacing="1" w:after="100" w:afterAutospacing="1"/>
      <w:jc w:val="left"/>
    </w:pPr>
    <w:rPr>
      <w:rFonts w:eastAsia="Times New Roman" w:cs="Times New Roman"/>
      <w:szCs w:val="24"/>
      <w:lang w:val="cs-CZ" w:eastAsia="cs-CZ"/>
    </w:rPr>
  </w:style>
  <w:style w:type="paragraph" w:customStyle="1" w:styleId="xpoint1">
    <w:name w:val="x_point1"/>
    <w:basedOn w:val="Normln"/>
    <w:rsid w:val="00AA3A5F"/>
    <w:pPr>
      <w:spacing w:before="100" w:beforeAutospacing="1" w:after="100" w:afterAutospacing="1"/>
      <w:jc w:val="left"/>
    </w:pPr>
    <w:rPr>
      <w:rFonts w:eastAsia="Times New Roman" w:cs="Times New Roman"/>
      <w:szCs w:val="24"/>
      <w:lang w:val="cs-CZ" w:eastAsia="cs-CZ"/>
    </w:rPr>
  </w:style>
  <w:style w:type="table" w:customStyle="1" w:styleId="Svtltabulkasmkou1zvraznn11">
    <w:name w:val="Světlá tabulka s mřížkou 1 – zvýraznění 11"/>
    <w:basedOn w:val="Normlntabulka"/>
    <w:next w:val="Svtltabulkasmkou1zvraznn12"/>
    <w:uiPriority w:val="46"/>
    <w:rsid w:val="003E0F58"/>
    <w:pPr>
      <w:spacing w:after="0" w:line="240" w:lineRule="auto"/>
    </w:pPr>
    <w:rPr>
      <w:lang w:val="cs-CZ"/>
    </w:r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Svtltabulkasmkou1zvraznn12">
    <w:name w:val="Světlá tabulka s mřížkou 1 – zvýraznění 12"/>
    <w:basedOn w:val="Normlntabulka"/>
    <w:uiPriority w:val="46"/>
    <w:rsid w:val="003E0F58"/>
    <w:pPr>
      <w:spacing w:after="0" w:line="240" w:lineRule="auto"/>
    </w:pPr>
    <w:rPr>
      <w:lang w:val="cs-CZ"/>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customStyle="1" w:styleId="Mkatabulky1">
    <w:name w:val="Mřížka tabulky1"/>
    <w:basedOn w:val="Normlntabulka"/>
    <w:next w:val="Mkatabulky"/>
    <w:uiPriority w:val="39"/>
    <w:rsid w:val="003E0F58"/>
    <w:pPr>
      <w:spacing w:after="0" w:line="240" w:lineRule="auto"/>
    </w:pPr>
    <w:rPr>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2">
    <w:name w:val="Mřížka tabulky2"/>
    <w:basedOn w:val="Normlntabulka"/>
    <w:next w:val="Mkatabulky"/>
    <w:uiPriority w:val="39"/>
    <w:rsid w:val="003E0F58"/>
    <w:pPr>
      <w:spacing w:after="0" w:line="240" w:lineRule="auto"/>
    </w:pPr>
    <w:rPr>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3">
    <w:name w:val="Mřížka tabulky3"/>
    <w:basedOn w:val="Normlntabulka"/>
    <w:next w:val="Mkatabulky"/>
    <w:uiPriority w:val="39"/>
    <w:rsid w:val="003E0F58"/>
    <w:pPr>
      <w:spacing w:after="0" w:line="240" w:lineRule="auto"/>
    </w:pPr>
    <w:rPr>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dekPoznamka">
    <w:name w:val="Radek_Poznamka"/>
    <w:basedOn w:val="Normln"/>
    <w:link w:val="RadekPoznamkaChar"/>
    <w:rsid w:val="003E0F58"/>
    <w:pPr>
      <w:jc w:val="left"/>
    </w:pPr>
    <w:rPr>
      <w:rFonts w:ascii="Arial" w:eastAsia="Calibri" w:hAnsi="Arial" w:cs="Times New Roman"/>
      <w:sz w:val="20"/>
      <w:lang w:val="cs-CZ"/>
    </w:rPr>
  </w:style>
  <w:style w:type="character" w:customStyle="1" w:styleId="RadekPoznamkaChar">
    <w:name w:val="Radek_Poznamka Char"/>
    <w:link w:val="RadekPoznamka"/>
    <w:locked/>
    <w:rsid w:val="003E0F58"/>
    <w:rPr>
      <w:rFonts w:ascii="Arial" w:eastAsia="Calibri" w:hAnsi="Arial" w:cs="Times New Roman"/>
      <w:sz w:val="20"/>
      <w:lang w:val="cs-CZ"/>
    </w:rPr>
  </w:style>
  <w:style w:type="paragraph" w:styleId="Seznamsodrkami">
    <w:name w:val="List Bullet"/>
    <w:basedOn w:val="Normln"/>
    <w:uiPriority w:val="99"/>
    <w:unhideWhenUsed/>
    <w:rsid w:val="003E0F58"/>
    <w:pPr>
      <w:numPr>
        <w:numId w:val="35"/>
      </w:numPr>
      <w:spacing w:before="60" w:line="360" w:lineRule="atLeast"/>
      <w:contextualSpacing/>
    </w:pPr>
    <w:rPr>
      <w:rFonts w:eastAsia="Times New Roman" w:cs="Times New Roman"/>
      <w:szCs w:val="23"/>
      <w:lang w:val="cs-CZ"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51069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ceip.at" TargetMode="External"/><Relationship Id="rId21" Type="http://schemas.openxmlformats.org/officeDocument/2006/relationships/hyperlink" Target="http://www.vuzt.cz/index.php?I=A91" TargetMode="External"/><Relationship Id="rId34" Type="http://schemas.openxmlformats.org/officeDocument/2006/relationships/image" Target="media/image11.png"/><Relationship Id="rId42" Type="http://schemas.openxmlformats.org/officeDocument/2006/relationships/footer" Target="footer2.xml"/><Relationship Id="rId47" Type="http://schemas.openxmlformats.org/officeDocument/2006/relationships/image" Target="media/image16.png"/><Relationship Id="rId50" Type="http://schemas.openxmlformats.org/officeDocument/2006/relationships/hyperlink" Target="http://www.agropress.cz/snizovani-amoniaku-ve-staji/" TargetMode="External"/><Relationship Id="rId55" Type="http://schemas.openxmlformats.org/officeDocument/2006/relationships/hyperlink" Target="https://www.esrl.noaa.gov/gmd/ccgg/trends/index.html" TargetMode="External"/><Relationship Id="rId63" Type="http://schemas.openxmlformats.org/officeDocument/2006/relationships/header" Target="header9.xml"/><Relationship Id="rId68" Type="http://schemas.openxmlformats.org/officeDocument/2006/relationships/footer" Target="footer6.xml"/><Relationship Id="rId76" Type="http://schemas.openxmlformats.org/officeDocument/2006/relationships/footer" Target="footer8.xml"/><Relationship Id="rId84" Type="http://schemas.openxmlformats.org/officeDocument/2006/relationships/image" Target="media/image24.png"/><Relationship Id="rId89" Type="http://schemas.openxmlformats.org/officeDocument/2006/relationships/header" Target="header21.xml"/><Relationship Id="rId7" Type="http://schemas.openxmlformats.org/officeDocument/2006/relationships/endnotes" Target="endnotes.xml"/><Relationship Id="rId71" Type="http://schemas.openxmlformats.org/officeDocument/2006/relationships/header" Target="header15.xml"/><Relationship Id="rId92" Type="http://schemas.openxmlformats.org/officeDocument/2006/relationships/header" Target="header23.xml"/><Relationship Id="rId2" Type="http://schemas.openxmlformats.org/officeDocument/2006/relationships/numbering" Target="numbering.xml"/><Relationship Id="rId16" Type="http://schemas.openxmlformats.org/officeDocument/2006/relationships/hyperlink" Target="https://www.spucr.cz/voda-sucho/generel-vodniho-hospodarstvi-krajiny-ceske-republiky" TargetMode="External"/><Relationship Id="rId29" Type="http://schemas.openxmlformats.org/officeDocument/2006/relationships/image" Target="media/image6.emf"/><Relationship Id="rId11" Type="http://schemas.openxmlformats.org/officeDocument/2006/relationships/hyperlink" Target="http://www.ceip.at/ms/ceip_home1/ceip_home/status_reporting/2018_submissions/" TargetMode="External"/><Relationship Id="rId24" Type="http://schemas.openxmlformats.org/officeDocument/2006/relationships/image" Target="media/image3.png"/><Relationship Id="rId32" Type="http://schemas.openxmlformats.org/officeDocument/2006/relationships/image" Target="media/image9.emf"/><Relationship Id="rId37" Type="http://schemas.openxmlformats.org/officeDocument/2006/relationships/image" Target="media/image14.png"/><Relationship Id="rId40" Type="http://schemas.openxmlformats.org/officeDocument/2006/relationships/header" Target="header2.xml"/><Relationship Id="rId45" Type="http://schemas.openxmlformats.org/officeDocument/2006/relationships/chart" Target="charts/chart2.xml"/><Relationship Id="rId53" Type="http://schemas.openxmlformats.org/officeDocument/2006/relationships/hyperlink" Target="https://1url.cz/@CSU_hnojiva" TargetMode="External"/><Relationship Id="rId58" Type="http://schemas.openxmlformats.org/officeDocument/2006/relationships/header" Target="header5.xml"/><Relationship Id="rId66" Type="http://schemas.openxmlformats.org/officeDocument/2006/relationships/header" Target="header11.xml"/><Relationship Id="rId74" Type="http://schemas.openxmlformats.org/officeDocument/2006/relationships/header" Target="header17.xml"/><Relationship Id="rId79" Type="http://schemas.openxmlformats.org/officeDocument/2006/relationships/image" Target="media/image19.png"/><Relationship Id="rId87" Type="http://schemas.openxmlformats.org/officeDocument/2006/relationships/header" Target="header19.xml"/><Relationship Id="rId5" Type="http://schemas.openxmlformats.org/officeDocument/2006/relationships/webSettings" Target="webSettings.xml"/><Relationship Id="rId61" Type="http://schemas.openxmlformats.org/officeDocument/2006/relationships/header" Target="header7.xml"/><Relationship Id="rId82" Type="http://schemas.openxmlformats.org/officeDocument/2006/relationships/image" Target="media/image22.emf"/><Relationship Id="rId90" Type="http://schemas.openxmlformats.org/officeDocument/2006/relationships/footer" Target="footer9.xml"/><Relationship Id="rId95" Type="http://schemas.openxmlformats.org/officeDocument/2006/relationships/fontTable" Target="fontTable.xml"/><Relationship Id="rId19" Type="http://schemas.openxmlformats.org/officeDocument/2006/relationships/hyperlink" Target="http://www.klimatickazmena.cz" TargetMode="External"/><Relationship Id="rId14" Type="http://schemas.openxmlformats.org/officeDocument/2006/relationships/image" Target="media/image2.png"/><Relationship Id="rId22" Type="http://schemas.openxmlformats.org/officeDocument/2006/relationships/hyperlink" Target="https://unfccc.int/" TargetMode="External"/><Relationship Id="rId27" Type="http://schemas.openxmlformats.org/officeDocument/2006/relationships/image" Target="media/image4.emf"/><Relationship Id="rId30" Type="http://schemas.openxmlformats.org/officeDocument/2006/relationships/image" Target="media/image7.emf"/><Relationship Id="rId35" Type="http://schemas.openxmlformats.org/officeDocument/2006/relationships/image" Target="media/image12.png"/><Relationship Id="rId43" Type="http://schemas.openxmlformats.org/officeDocument/2006/relationships/header" Target="header3.xml"/><Relationship Id="rId48" Type="http://schemas.openxmlformats.org/officeDocument/2006/relationships/hyperlink" Target="https://www.vumop.cz/nove-mapy-hydrologickych-funkci-pud" TargetMode="External"/><Relationship Id="rId56" Type="http://schemas.openxmlformats.org/officeDocument/2006/relationships/hyperlink" Target="http://portal.chmi.cz/historicka-data/pocasi/uzemni-teploty" TargetMode="External"/><Relationship Id="rId64" Type="http://schemas.openxmlformats.org/officeDocument/2006/relationships/footer" Target="footer5.xml"/><Relationship Id="rId69" Type="http://schemas.openxmlformats.org/officeDocument/2006/relationships/header" Target="header13.xml"/><Relationship Id="rId77" Type="http://schemas.openxmlformats.org/officeDocument/2006/relationships/image" Target="media/image17.png"/><Relationship Id="rId100" Type="http://schemas.microsoft.com/office/2016/09/relationships/commentsIds" Target="commentsIds.xml"/><Relationship Id="rId8" Type="http://schemas.openxmlformats.org/officeDocument/2006/relationships/image" Target="media/image1.png"/><Relationship Id="rId51" Type="http://schemas.openxmlformats.org/officeDocument/2006/relationships/hyperlink" Target="http://www.vuzt.cz/index.php?I=A91" TargetMode="External"/><Relationship Id="rId72" Type="http://schemas.openxmlformats.org/officeDocument/2006/relationships/footer" Target="footer7.xml"/><Relationship Id="rId80" Type="http://schemas.openxmlformats.org/officeDocument/2006/relationships/image" Target="media/image20.png"/><Relationship Id="rId85" Type="http://schemas.openxmlformats.org/officeDocument/2006/relationships/image" Target="media/image25.png"/><Relationship Id="rId93" Type="http://schemas.openxmlformats.org/officeDocument/2006/relationships/footer" Target="footer10.xml"/><Relationship Id="rId3" Type="http://schemas.openxmlformats.org/officeDocument/2006/relationships/styles" Target="styles.xml"/><Relationship Id="rId12" Type="http://schemas.openxmlformats.org/officeDocument/2006/relationships/hyperlink" Target="http://www.ceip.at/ms/ceip_home1/ceip_home/status_reporting/2018_submissions/" TargetMode="External"/><Relationship Id="rId17" Type="http://schemas.openxmlformats.org/officeDocument/2006/relationships/hyperlink" Target="http://www.ceip.at" TargetMode="External"/><Relationship Id="rId25" Type="http://schemas.openxmlformats.org/officeDocument/2006/relationships/hyperlink" Target="http://www.ceip.at" TargetMode="External"/><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hyperlink" Target="http://eagri.cz/public/web/mze/puda/ochrana-pudy-a-krajiny/degradace-pud/vodni-eroze-pudy/" TargetMode="External"/><Relationship Id="rId59" Type="http://schemas.openxmlformats.org/officeDocument/2006/relationships/header" Target="header6.xml"/><Relationship Id="rId67" Type="http://schemas.openxmlformats.org/officeDocument/2006/relationships/header" Target="header12.xml"/><Relationship Id="rId20" Type="http://schemas.openxmlformats.org/officeDocument/2006/relationships/hyperlink" Target="http://www.ceip.at" TargetMode="External"/><Relationship Id="rId41" Type="http://schemas.openxmlformats.org/officeDocument/2006/relationships/footer" Target="footer1.xml"/><Relationship Id="rId54" Type="http://schemas.openxmlformats.org/officeDocument/2006/relationships/hyperlink" Target="https://www.zscr.cz/clanek/zemedelci-si-rekli-zhruba-o-pulku-sumy-na-odskodneni-za-sucho-3842" TargetMode="External"/><Relationship Id="rId62" Type="http://schemas.openxmlformats.org/officeDocument/2006/relationships/header" Target="header8.xml"/><Relationship Id="rId70" Type="http://schemas.openxmlformats.org/officeDocument/2006/relationships/header" Target="header14.xml"/><Relationship Id="rId75" Type="http://schemas.openxmlformats.org/officeDocument/2006/relationships/header" Target="header18.xml"/><Relationship Id="rId83" Type="http://schemas.openxmlformats.org/officeDocument/2006/relationships/image" Target="media/image23.emf"/><Relationship Id="rId88" Type="http://schemas.openxmlformats.org/officeDocument/2006/relationships/header" Target="header20.xml"/><Relationship Id="rId91" Type="http://schemas.openxmlformats.org/officeDocument/2006/relationships/header" Target="header22.xm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klimatickazmena.cz" TargetMode="External"/><Relationship Id="rId23" Type="http://schemas.openxmlformats.org/officeDocument/2006/relationships/hyperlink" Target="http://portal.chmi.cz/" TargetMode="External"/><Relationship Id="rId28" Type="http://schemas.openxmlformats.org/officeDocument/2006/relationships/image" Target="media/image5.emf"/><Relationship Id="rId36" Type="http://schemas.openxmlformats.org/officeDocument/2006/relationships/image" Target="media/image13.png"/><Relationship Id="rId49" Type="http://schemas.openxmlformats.org/officeDocument/2006/relationships/hyperlink" Target="https://1url.cz/@NIS_2019" TargetMode="External"/><Relationship Id="rId57" Type="http://schemas.openxmlformats.org/officeDocument/2006/relationships/header" Target="header4.xml"/><Relationship Id="rId10" Type="http://schemas.openxmlformats.org/officeDocument/2006/relationships/chart" Target="charts/chart1.xml"/><Relationship Id="rId31" Type="http://schemas.openxmlformats.org/officeDocument/2006/relationships/image" Target="media/image8.emf"/><Relationship Id="rId44" Type="http://schemas.openxmlformats.org/officeDocument/2006/relationships/footer" Target="footer3.xml"/><Relationship Id="rId52" Type="http://schemas.openxmlformats.org/officeDocument/2006/relationships/hyperlink" Target="https://1url.cz/@CSU_soupis_HZ" TargetMode="External"/><Relationship Id="rId60" Type="http://schemas.openxmlformats.org/officeDocument/2006/relationships/footer" Target="footer4.xml"/><Relationship Id="rId65" Type="http://schemas.openxmlformats.org/officeDocument/2006/relationships/header" Target="header10.xml"/><Relationship Id="rId73" Type="http://schemas.openxmlformats.org/officeDocument/2006/relationships/header" Target="header16.xml"/><Relationship Id="rId78" Type="http://schemas.openxmlformats.org/officeDocument/2006/relationships/image" Target="media/image18.png"/><Relationship Id="rId81" Type="http://schemas.openxmlformats.org/officeDocument/2006/relationships/image" Target="media/image21.emf"/><Relationship Id="rId86" Type="http://schemas.openxmlformats.org/officeDocument/2006/relationships/image" Target="media/image26.png"/><Relationship Id="rId94" Type="http://schemas.openxmlformats.org/officeDocument/2006/relationships/header" Target="header24.xml"/><Relationship Id="rId101"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hyperlink" Target="file:///C:\Users\capkova\Downloads\kr&#225;tk&#233;%20anal&#253;zy\D_Klima_leden2022_FINAL.docx" TargetMode="External"/><Relationship Id="rId13" Type="http://schemas.openxmlformats.org/officeDocument/2006/relationships/hyperlink" Target="https://www.eea.europa.eu/data-and-maps/dashboards/necd-directive-data-viewer-3" TargetMode="External"/><Relationship Id="rId18" Type="http://schemas.openxmlformats.org/officeDocument/2006/relationships/hyperlink" Target="http://www.klimatickazmena.cz" TargetMode="External"/><Relationship Id="rId39" Type="http://schemas.openxmlformats.org/officeDocument/2006/relationships/header" Target="header1.xml"/></Relationships>
</file>

<file path=word/charts/_rels/chart1.xml.rels><?xml version="1.0" encoding="UTF-8" standalone="yes"?>
<Relationships xmlns="http://schemas.openxmlformats.org/package/2006/relationships"><Relationship Id="rId3" Type="http://schemas.openxmlformats.org/officeDocument/2006/relationships/oleObject" Target="https://d.docs.live.net/2e8723f6506bb197/Dokumenty/3.%20&#218;ZEI/2.%20&#218;koly/2021/T&#218;%2013%20(4136)%20P&#345;&#237;prava%20strategick&#233;ho%20pl&#225;nu%20SZP%20(Jel&#237;nek)/zdroje/Kultury%20LPIS%202014-2021%20(002)%20&#8211;%20kopie.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nesnal\AppData\Local\Microsoft\Windows\INetCache\Content.Outlook\TCU3NK8W\zachovani%20TTP%20(002).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1"/>
          <c:tx>
            <c:strRef>
              <c:f>'[Kultury LPIS 2014-2021 (002) – kopie.xlsx]List1'!$K$11</c:f>
              <c:strCache>
                <c:ptCount val="1"/>
                <c:pt idx="0">
                  <c:v>T</c:v>
                </c:pt>
              </c:strCache>
            </c:strRef>
          </c:tx>
          <c:spPr>
            <a:solidFill>
              <a:schemeClr val="accent6">
                <a:lumMod val="60000"/>
                <a:lumOff val="40000"/>
              </a:schemeClr>
            </a:solidFill>
            <a:ln>
              <a:noFill/>
            </a:ln>
            <a:effectLst/>
          </c:spPr>
          <c:invertIfNegative val="0"/>
          <c:cat>
            <c:numRef>
              <c:f>'[Kultury LPIS 2014-2021 (002) – kopie.xlsx]List1'!$L$9:$R$9</c:f>
              <c:numCache>
                <c:formatCode>General</c:formatCode>
                <c:ptCount val="7"/>
                <c:pt idx="0">
                  <c:v>2014</c:v>
                </c:pt>
                <c:pt idx="1">
                  <c:v>2015</c:v>
                </c:pt>
                <c:pt idx="2">
                  <c:v>2016</c:v>
                </c:pt>
                <c:pt idx="3">
                  <c:v>2017</c:v>
                </c:pt>
                <c:pt idx="4">
                  <c:v>2018</c:v>
                </c:pt>
                <c:pt idx="5">
                  <c:v>2019</c:v>
                </c:pt>
                <c:pt idx="6">
                  <c:v>2020</c:v>
                </c:pt>
              </c:numCache>
            </c:numRef>
          </c:cat>
          <c:val>
            <c:numRef>
              <c:f>'[Kultury LPIS 2014-2021 (002) – kopie.xlsx]List1'!$L$11:$R$11</c:f>
              <c:numCache>
                <c:formatCode>#,##0.00</c:formatCode>
                <c:ptCount val="7"/>
                <c:pt idx="0">
                  <c:v>925436.34</c:v>
                </c:pt>
                <c:pt idx="1">
                  <c:v>978717.51</c:v>
                </c:pt>
                <c:pt idx="2">
                  <c:v>989967.35</c:v>
                </c:pt>
                <c:pt idx="3">
                  <c:v>997511.81</c:v>
                </c:pt>
                <c:pt idx="4">
                  <c:v>1001203.04</c:v>
                </c:pt>
                <c:pt idx="5">
                  <c:v>1004524.52</c:v>
                </c:pt>
                <c:pt idx="6">
                  <c:v>1005783.47</c:v>
                </c:pt>
              </c:numCache>
            </c:numRef>
          </c:val>
          <c:extLst>
            <c:ext xmlns:c16="http://schemas.microsoft.com/office/drawing/2014/chart" uri="{C3380CC4-5D6E-409C-BE32-E72D297353CC}">
              <c16:uniqueId val="{00000000-1682-7D49-A77A-D89631792618}"/>
            </c:ext>
          </c:extLst>
        </c:ser>
        <c:ser>
          <c:idx val="2"/>
          <c:order val="2"/>
          <c:tx>
            <c:strRef>
              <c:f>'[Kultury LPIS 2014-2021 (002) – kopie.xlsx]List1'!$K$12</c:f>
              <c:strCache>
                <c:ptCount val="1"/>
                <c:pt idx="0">
                  <c:v>G</c:v>
                </c:pt>
              </c:strCache>
            </c:strRef>
          </c:tx>
          <c:spPr>
            <a:solidFill>
              <a:schemeClr val="accent6">
                <a:lumMod val="75000"/>
              </a:schemeClr>
            </a:solidFill>
            <a:ln>
              <a:noFill/>
            </a:ln>
            <a:effectLst/>
          </c:spPr>
          <c:invertIfNegative val="0"/>
          <c:cat>
            <c:numRef>
              <c:f>'[Kultury LPIS 2014-2021 (002) – kopie.xlsx]List1'!$L$9:$R$9</c:f>
              <c:numCache>
                <c:formatCode>General</c:formatCode>
                <c:ptCount val="7"/>
                <c:pt idx="0">
                  <c:v>2014</c:v>
                </c:pt>
                <c:pt idx="1">
                  <c:v>2015</c:v>
                </c:pt>
                <c:pt idx="2">
                  <c:v>2016</c:v>
                </c:pt>
                <c:pt idx="3">
                  <c:v>2017</c:v>
                </c:pt>
                <c:pt idx="4">
                  <c:v>2018</c:v>
                </c:pt>
                <c:pt idx="5">
                  <c:v>2019</c:v>
                </c:pt>
                <c:pt idx="6">
                  <c:v>2020</c:v>
                </c:pt>
              </c:numCache>
            </c:numRef>
          </c:cat>
          <c:val>
            <c:numRef>
              <c:f>'[Kultury LPIS 2014-2021 (002) – kopie.xlsx]List1'!$L$12:$R$12</c:f>
              <c:numCache>
                <c:formatCode>#,##0.00</c:formatCode>
                <c:ptCount val="7"/>
                <c:pt idx="0">
                  <c:v>69905.27</c:v>
                </c:pt>
                <c:pt idx="1">
                  <c:v>24994.26</c:v>
                </c:pt>
                <c:pt idx="2">
                  <c:v>24761.11</c:v>
                </c:pt>
                <c:pt idx="3">
                  <c:v>29262.17</c:v>
                </c:pt>
                <c:pt idx="4">
                  <c:v>31811.71</c:v>
                </c:pt>
                <c:pt idx="5">
                  <c:v>35945.43</c:v>
                </c:pt>
                <c:pt idx="6">
                  <c:v>39078.06</c:v>
                </c:pt>
              </c:numCache>
            </c:numRef>
          </c:val>
          <c:extLst>
            <c:ext xmlns:c16="http://schemas.microsoft.com/office/drawing/2014/chart" uri="{C3380CC4-5D6E-409C-BE32-E72D297353CC}">
              <c16:uniqueId val="{00000001-1682-7D49-A77A-D89631792618}"/>
            </c:ext>
          </c:extLst>
        </c:ser>
        <c:ser>
          <c:idx val="3"/>
          <c:order val="3"/>
          <c:tx>
            <c:strRef>
              <c:f>'[Kultury LPIS 2014-2021 (002) – kopie.xlsx]List1'!$K$13</c:f>
              <c:strCache>
                <c:ptCount val="1"/>
                <c:pt idx="0">
                  <c:v>R</c:v>
                </c:pt>
              </c:strCache>
            </c:strRef>
          </c:tx>
          <c:spPr>
            <a:solidFill>
              <a:schemeClr val="accent2">
                <a:lumMod val="75000"/>
              </a:schemeClr>
            </a:solidFill>
            <a:ln>
              <a:noFill/>
            </a:ln>
            <a:effectLst/>
          </c:spPr>
          <c:invertIfNegative val="0"/>
          <c:cat>
            <c:numRef>
              <c:f>'[Kultury LPIS 2014-2021 (002) – kopie.xlsx]List1'!$L$9:$R$9</c:f>
              <c:numCache>
                <c:formatCode>General</c:formatCode>
                <c:ptCount val="7"/>
                <c:pt idx="0">
                  <c:v>2014</c:v>
                </c:pt>
                <c:pt idx="1">
                  <c:v>2015</c:v>
                </c:pt>
                <c:pt idx="2">
                  <c:v>2016</c:v>
                </c:pt>
                <c:pt idx="3">
                  <c:v>2017</c:v>
                </c:pt>
                <c:pt idx="4">
                  <c:v>2018</c:v>
                </c:pt>
                <c:pt idx="5">
                  <c:v>2019</c:v>
                </c:pt>
                <c:pt idx="6">
                  <c:v>2020</c:v>
                </c:pt>
              </c:numCache>
            </c:numRef>
          </c:cat>
          <c:val>
            <c:numRef>
              <c:f>'[Kultury LPIS 2014-2021 (002) – kopie.xlsx]List1'!$L$13:$R$13</c:f>
              <c:numCache>
                <c:formatCode>#,##0.00</c:formatCode>
                <c:ptCount val="7"/>
                <c:pt idx="0">
                  <c:v>2502943.85</c:v>
                </c:pt>
                <c:pt idx="1">
                  <c:v>2486675.3199999998</c:v>
                </c:pt>
                <c:pt idx="2">
                  <c:v>2483018.27</c:v>
                </c:pt>
                <c:pt idx="3">
                  <c:v>2467516.44</c:v>
                </c:pt>
                <c:pt idx="4">
                  <c:v>2459621.14</c:v>
                </c:pt>
                <c:pt idx="5">
                  <c:v>2451141.94</c:v>
                </c:pt>
                <c:pt idx="6">
                  <c:v>2446792.19</c:v>
                </c:pt>
              </c:numCache>
            </c:numRef>
          </c:val>
          <c:extLst>
            <c:ext xmlns:c16="http://schemas.microsoft.com/office/drawing/2014/chart" uri="{C3380CC4-5D6E-409C-BE32-E72D297353CC}">
              <c16:uniqueId val="{00000002-1682-7D49-A77A-D89631792618}"/>
            </c:ext>
          </c:extLst>
        </c:ser>
        <c:dLbls>
          <c:showLegendKey val="0"/>
          <c:showVal val="0"/>
          <c:showCatName val="0"/>
          <c:showSerName val="0"/>
          <c:showPercent val="0"/>
          <c:showBubbleSize val="0"/>
        </c:dLbls>
        <c:gapWidth val="219"/>
        <c:overlap val="-27"/>
        <c:axId val="527967600"/>
        <c:axId val="468844112"/>
        <c:extLst>
          <c:ext xmlns:c15="http://schemas.microsoft.com/office/drawing/2012/chart" uri="{02D57815-91ED-43cb-92C2-25804820EDAC}">
            <c15:filteredBarSeries>
              <c15:ser>
                <c:idx val="0"/>
                <c:order val="0"/>
                <c:tx>
                  <c:strRef>
                    <c:extLst>
                      <c:ext uri="{02D57815-91ED-43cb-92C2-25804820EDAC}">
                        <c15:formulaRef>
                          <c15:sqref>'[Kultury LPIS 2014-2021 (002) – kopie.xlsx]List1'!$K$10</c15:sqref>
                        </c15:formulaRef>
                      </c:ext>
                    </c:extLst>
                    <c:strCache>
                      <c:ptCount val="1"/>
                    </c:strCache>
                  </c:strRef>
                </c:tx>
                <c:spPr>
                  <a:solidFill>
                    <a:schemeClr val="accent1"/>
                  </a:solidFill>
                  <a:ln>
                    <a:noFill/>
                  </a:ln>
                  <a:effectLst/>
                </c:spPr>
                <c:invertIfNegative val="0"/>
                <c:cat>
                  <c:numRef>
                    <c:extLst>
                      <c:ext uri="{02D57815-91ED-43cb-92C2-25804820EDAC}">
                        <c15:formulaRef>
                          <c15:sqref>'[Kultury LPIS 2014-2021 (002) – kopie.xlsx]List1'!$L$9:$R$9</c15:sqref>
                        </c15:formulaRef>
                      </c:ext>
                    </c:extLst>
                    <c:numCache>
                      <c:formatCode>General</c:formatCode>
                      <c:ptCount val="7"/>
                      <c:pt idx="0">
                        <c:v>2014</c:v>
                      </c:pt>
                      <c:pt idx="1">
                        <c:v>2015</c:v>
                      </c:pt>
                      <c:pt idx="2">
                        <c:v>2016</c:v>
                      </c:pt>
                      <c:pt idx="3">
                        <c:v>2017</c:v>
                      </c:pt>
                      <c:pt idx="4">
                        <c:v>2018</c:v>
                      </c:pt>
                      <c:pt idx="5">
                        <c:v>2019</c:v>
                      </c:pt>
                      <c:pt idx="6">
                        <c:v>2020</c:v>
                      </c:pt>
                    </c:numCache>
                  </c:numRef>
                </c:cat>
                <c:val>
                  <c:numRef>
                    <c:extLst>
                      <c:ext uri="{02D57815-91ED-43cb-92C2-25804820EDAC}">
                        <c15:formulaRef>
                          <c15:sqref>'[Kultury LPIS 2014-2021 (002) – kopie.xlsx]List1'!$L$10:$R$10</c15:sqref>
                        </c15:formulaRef>
                      </c:ext>
                    </c:extLst>
                    <c:numCache>
                      <c:formatCode>General</c:formatCode>
                      <c:ptCount val="7"/>
                    </c:numCache>
                  </c:numRef>
                </c:val>
                <c:extLst>
                  <c:ext xmlns:c16="http://schemas.microsoft.com/office/drawing/2014/chart" uri="{C3380CC4-5D6E-409C-BE32-E72D297353CC}">
                    <c16:uniqueId val="{00000003-1682-7D49-A77A-D89631792618}"/>
                  </c:ext>
                </c:extLst>
              </c15:ser>
            </c15:filteredBarSeries>
          </c:ext>
        </c:extLst>
      </c:barChart>
      <c:catAx>
        <c:axId val="5279676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68844112"/>
        <c:crosses val="autoZero"/>
        <c:auto val="1"/>
        <c:lblAlgn val="ctr"/>
        <c:lblOffset val="100"/>
        <c:noMultiLvlLbl val="0"/>
      </c:catAx>
      <c:valAx>
        <c:axId val="46884411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2796760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List1!$C$12</c:f>
              <c:strCache>
                <c:ptCount val="1"/>
                <c:pt idx="0">
                  <c:v>plocha [ha]</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0"/>
                  <c:y val="-4.166666666666666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1304-A143-AEB4-DACD238D548C}"/>
                </c:ext>
              </c:extLst>
            </c:dLbl>
            <c:dLbl>
              <c:idx val="1"/>
              <c:layout>
                <c:manualLayout>
                  <c:x val="2.7777777777777676E-2"/>
                  <c:y val="5.555555555555555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1304-A143-AEB4-DACD238D548C}"/>
                </c:ext>
              </c:extLst>
            </c:dLbl>
            <c:dLbl>
              <c:idx val="2"/>
              <c:layout>
                <c:manualLayout>
                  <c:x val="-6.3888888888888995E-2"/>
                  <c:y val="-0.14351851851851855"/>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1304-A143-AEB4-DACD238D548C}"/>
                </c:ext>
              </c:extLst>
            </c:dLbl>
            <c:dLbl>
              <c:idx val="3"/>
              <c:layout>
                <c:manualLayout>
                  <c:x val="6.1111111111111109E-2"/>
                  <c:y val="0.20833333333333334"/>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1304-A143-AEB4-DACD238D548C}"/>
                </c:ext>
              </c:extLst>
            </c:dLbl>
            <c:dLbl>
              <c:idx val="4"/>
              <c:layout>
                <c:manualLayout>
                  <c:x val="-0.21666666666666673"/>
                  <c:y val="-6.018518518518519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1304-A143-AEB4-DACD238D548C}"/>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15:layout/>
                <c15:showLeaderLines val="0"/>
              </c:ext>
            </c:extLst>
          </c:dLbls>
          <c:xVal>
            <c:numRef>
              <c:f>List1!$B$13:$B$19</c:f>
              <c:numCache>
                <c:formatCode>General</c:formatCode>
                <c:ptCount val="7"/>
                <c:pt idx="0">
                  <c:v>2021</c:v>
                </c:pt>
                <c:pt idx="1">
                  <c:v>2020</c:v>
                </c:pt>
                <c:pt idx="2">
                  <c:v>2019</c:v>
                </c:pt>
                <c:pt idx="3">
                  <c:v>2018</c:v>
                </c:pt>
                <c:pt idx="4">
                  <c:v>2017</c:v>
                </c:pt>
                <c:pt idx="5">
                  <c:v>2016</c:v>
                </c:pt>
                <c:pt idx="6">
                  <c:v>2015</c:v>
                </c:pt>
              </c:numCache>
            </c:numRef>
          </c:xVal>
          <c:yVal>
            <c:numRef>
              <c:f>List1!$C$13:$C$19</c:f>
              <c:numCache>
                <c:formatCode>_(* #,##0.00_);_(* \(#,##0.00\);_(* "-"??_);_(@_)</c:formatCode>
                <c:ptCount val="7"/>
                <c:pt idx="0">
                  <c:v>1352268.01</c:v>
                </c:pt>
                <c:pt idx="1">
                  <c:v>1348721.46</c:v>
                </c:pt>
                <c:pt idx="2">
                  <c:v>1347339.78</c:v>
                </c:pt>
                <c:pt idx="3">
                  <c:v>1348435.47</c:v>
                </c:pt>
                <c:pt idx="4">
                  <c:v>1349069.65</c:v>
                </c:pt>
                <c:pt idx="5">
                  <c:v>1333374.73</c:v>
                </c:pt>
                <c:pt idx="6">
                  <c:v>1323196.58</c:v>
                </c:pt>
              </c:numCache>
            </c:numRef>
          </c:yVal>
          <c:smooth val="0"/>
          <c:extLst>
            <c:ext xmlns:c16="http://schemas.microsoft.com/office/drawing/2014/chart" uri="{C3380CC4-5D6E-409C-BE32-E72D297353CC}">
              <c16:uniqueId val="{00000005-1304-A143-AEB4-DACD238D548C}"/>
            </c:ext>
          </c:extLst>
        </c:ser>
        <c:dLbls>
          <c:showLegendKey val="0"/>
          <c:showVal val="0"/>
          <c:showCatName val="0"/>
          <c:showSerName val="0"/>
          <c:showPercent val="0"/>
          <c:showBubbleSize val="0"/>
        </c:dLbls>
        <c:axId val="1842576863"/>
        <c:axId val="1568168943"/>
      </c:scatterChart>
      <c:valAx>
        <c:axId val="1842576863"/>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568168943"/>
        <c:crosses val="autoZero"/>
        <c:crossBetween val="midCat"/>
      </c:valAx>
      <c:valAx>
        <c:axId val="1568168943"/>
        <c:scaling>
          <c:orientation val="minMax"/>
        </c:scaling>
        <c:delete val="0"/>
        <c:axPos val="l"/>
        <c:majorGridlines>
          <c:spPr>
            <a:ln w="9525" cap="flat" cmpd="sng" algn="ctr">
              <a:solidFill>
                <a:schemeClr val="tx1">
                  <a:lumMod val="15000"/>
                  <a:lumOff val="85000"/>
                </a:schemeClr>
              </a:solidFill>
              <a:round/>
            </a:ln>
            <a:effectLst/>
          </c:spPr>
        </c:majorGridlines>
        <c:numFmt formatCode="_(* #,##0.00_);_(* \(#,##0.00\);_(* &quot;-&quot;??_);_(@_)"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842576863"/>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02E55D-BED4-4BFC-A47E-F3EB537112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132</TotalTime>
  <Pages>178</Pages>
  <Words>63524</Words>
  <Characters>374792</Characters>
  <Application>Microsoft Office Word</Application>
  <DocSecurity>0</DocSecurity>
  <Lines>3123</Lines>
  <Paragraphs>874</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437442</CharactersWithSpaces>
  <SharedDoc>false</SharedDoc>
  <HLinks>
    <vt:vector size="378" baseType="variant">
      <vt:variant>
        <vt:i4>1900595</vt:i4>
      </vt:variant>
      <vt:variant>
        <vt:i4>374</vt:i4>
      </vt:variant>
      <vt:variant>
        <vt:i4>0</vt:i4>
      </vt:variant>
      <vt:variant>
        <vt:i4>5</vt:i4>
      </vt:variant>
      <vt:variant>
        <vt:lpwstr/>
      </vt:variant>
      <vt:variant>
        <vt:lpwstr>_Toc80798340</vt:lpwstr>
      </vt:variant>
      <vt:variant>
        <vt:i4>1310772</vt:i4>
      </vt:variant>
      <vt:variant>
        <vt:i4>368</vt:i4>
      </vt:variant>
      <vt:variant>
        <vt:i4>0</vt:i4>
      </vt:variant>
      <vt:variant>
        <vt:i4>5</vt:i4>
      </vt:variant>
      <vt:variant>
        <vt:lpwstr/>
      </vt:variant>
      <vt:variant>
        <vt:lpwstr>_Toc80798339</vt:lpwstr>
      </vt:variant>
      <vt:variant>
        <vt:i4>1376308</vt:i4>
      </vt:variant>
      <vt:variant>
        <vt:i4>362</vt:i4>
      </vt:variant>
      <vt:variant>
        <vt:i4>0</vt:i4>
      </vt:variant>
      <vt:variant>
        <vt:i4>5</vt:i4>
      </vt:variant>
      <vt:variant>
        <vt:lpwstr/>
      </vt:variant>
      <vt:variant>
        <vt:lpwstr>_Toc80798338</vt:lpwstr>
      </vt:variant>
      <vt:variant>
        <vt:i4>1703988</vt:i4>
      </vt:variant>
      <vt:variant>
        <vt:i4>356</vt:i4>
      </vt:variant>
      <vt:variant>
        <vt:i4>0</vt:i4>
      </vt:variant>
      <vt:variant>
        <vt:i4>5</vt:i4>
      </vt:variant>
      <vt:variant>
        <vt:lpwstr/>
      </vt:variant>
      <vt:variant>
        <vt:lpwstr>_Toc80798337</vt:lpwstr>
      </vt:variant>
      <vt:variant>
        <vt:i4>1769524</vt:i4>
      </vt:variant>
      <vt:variant>
        <vt:i4>350</vt:i4>
      </vt:variant>
      <vt:variant>
        <vt:i4>0</vt:i4>
      </vt:variant>
      <vt:variant>
        <vt:i4>5</vt:i4>
      </vt:variant>
      <vt:variant>
        <vt:lpwstr/>
      </vt:variant>
      <vt:variant>
        <vt:lpwstr>_Toc80798336</vt:lpwstr>
      </vt:variant>
      <vt:variant>
        <vt:i4>1572916</vt:i4>
      </vt:variant>
      <vt:variant>
        <vt:i4>344</vt:i4>
      </vt:variant>
      <vt:variant>
        <vt:i4>0</vt:i4>
      </vt:variant>
      <vt:variant>
        <vt:i4>5</vt:i4>
      </vt:variant>
      <vt:variant>
        <vt:lpwstr/>
      </vt:variant>
      <vt:variant>
        <vt:lpwstr>_Toc80798335</vt:lpwstr>
      </vt:variant>
      <vt:variant>
        <vt:i4>1638452</vt:i4>
      </vt:variant>
      <vt:variant>
        <vt:i4>338</vt:i4>
      </vt:variant>
      <vt:variant>
        <vt:i4>0</vt:i4>
      </vt:variant>
      <vt:variant>
        <vt:i4>5</vt:i4>
      </vt:variant>
      <vt:variant>
        <vt:lpwstr/>
      </vt:variant>
      <vt:variant>
        <vt:lpwstr>_Toc80798334</vt:lpwstr>
      </vt:variant>
      <vt:variant>
        <vt:i4>1966132</vt:i4>
      </vt:variant>
      <vt:variant>
        <vt:i4>332</vt:i4>
      </vt:variant>
      <vt:variant>
        <vt:i4>0</vt:i4>
      </vt:variant>
      <vt:variant>
        <vt:i4>5</vt:i4>
      </vt:variant>
      <vt:variant>
        <vt:lpwstr/>
      </vt:variant>
      <vt:variant>
        <vt:lpwstr>_Toc80798333</vt:lpwstr>
      </vt:variant>
      <vt:variant>
        <vt:i4>2031668</vt:i4>
      </vt:variant>
      <vt:variant>
        <vt:i4>326</vt:i4>
      </vt:variant>
      <vt:variant>
        <vt:i4>0</vt:i4>
      </vt:variant>
      <vt:variant>
        <vt:i4>5</vt:i4>
      </vt:variant>
      <vt:variant>
        <vt:lpwstr/>
      </vt:variant>
      <vt:variant>
        <vt:lpwstr>_Toc80798332</vt:lpwstr>
      </vt:variant>
      <vt:variant>
        <vt:i4>1835060</vt:i4>
      </vt:variant>
      <vt:variant>
        <vt:i4>320</vt:i4>
      </vt:variant>
      <vt:variant>
        <vt:i4>0</vt:i4>
      </vt:variant>
      <vt:variant>
        <vt:i4>5</vt:i4>
      </vt:variant>
      <vt:variant>
        <vt:lpwstr/>
      </vt:variant>
      <vt:variant>
        <vt:lpwstr>_Toc80798331</vt:lpwstr>
      </vt:variant>
      <vt:variant>
        <vt:i4>1900596</vt:i4>
      </vt:variant>
      <vt:variant>
        <vt:i4>314</vt:i4>
      </vt:variant>
      <vt:variant>
        <vt:i4>0</vt:i4>
      </vt:variant>
      <vt:variant>
        <vt:i4>5</vt:i4>
      </vt:variant>
      <vt:variant>
        <vt:lpwstr/>
      </vt:variant>
      <vt:variant>
        <vt:lpwstr>_Toc80798330</vt:lpwstr>
      </vt:variant>
      <vt:variant>
        <vt:i4>1310773</vt:i4>
      </vt:variant>
      <vt:variant>
        <vt:i4>308</vt:i4>
      </vt:variant>
      <vt:variant>
        <vt:i4>0</vt:i4>
      </vt:variant>
      <vt:variant>
        <vt:i4>5</vt:i4>
      </vt:variant>
      <vt:variant>
        <vt:lpwstr/>
      </vt:variant>
      <vt:variant>
        <vt:lpwstr>_Toc80798329</vt:lpwstr>
      </vt:variant>
      <vt:variant>
        <vt:i4>1376309</vt:i4>
      </vt:variant>
      <vt:variant>
        <vt:i4>302</vt:i4>
      </vt:variant>
      <vt:variant>
        <vt:i4>0</vt:i4>
      </vt:variant>
      <vt:variant>
        <vt:i4>5</vt:i4>
      </vt:variant>
      <vt:variant>
        <vt:lpwstr/>
      </vt:variant>
      <vt:variant>
        <vt:lpwstr>_Toc80798328</vt:lpwstr>
      </vt:variant>
      <vt:variant>
        <vt:i4>1703989</vt:i4>
      </vt:variant>
      <vt:variant>
        <vt:i4>296</vt:i4>
      </vt:variant>
      <vt:variant>
        <vt:i4>0</vt:i4>
      </vt:variant>
      <vt:variant>
        <vt:i4>5</vt:i4>
      </vt:variant>
      <vt:variant>
        <vt:lpwstr/>
      </vt:variant>
      <vt:variant>
        <vt:lpwstr>_Toc80798327</vt:lpwstr>
      </vt:variant>
      <vt:variant>
        <vt:i4>1769525</vt:i4>
      </vt:variant>
      <vt:variant>
        <vt:i4>290</vt:i4>
      </vt:variant>
      <vt:variant>
        <vt:i4>0</vt:i4>
      </vt:variant>
      <vt:variant>
        <vt:i4>5</vt:i4>
      </vt:variant>
      <vt:variant>
        <vt:lpwstr/>
      </vt:variant>
      <vt:variant>
        <vt:lpwstr>_Toc80798326</vt:lpwstr>
      </vt:variant>
      <vt:variant>
        <vt:i4>1572917</vt:i4>
      </vt:variant>
      <vt:variant>
        <vt:i4>284</vt:i4>
      </vt:variant>
      <vt:variant>
        <vt:i4>0</vt:i4>
      </vt:variant>
      <vt:variant>
        <vt:i4>5</vt:i4>
      </vt:variant>
      <vt:variant>
        <vt:lpwstr/>
      </vt:variant>
      <vt:variant>
        <vt:lpwstr>_Toc80798325</vt:lpwstr>
      </vt:variant>
      <vt:variant>
        <vt:i4>1638453</vt:i4>
      </vt:variant>
      <vt:variant>
        <vt:i4>278</vt:i4>
      </vt:variant>
      <vt:variant>
        <vt:i4>0</vt:i4>
      </vt:variant>
      <vt:variant>
        <vt:i4>5</vt:i4>
      </vt:variant>
      <vt:variant>
        <vt:lpwstr/>
      </vt:variant>
      <vt:variant>
        <vt:lpwstr>_Toc80798324</vt:lpwstr>
      </vt:variant>
      <vt:variant>
        <vt:i4>1966133</vt:i4>
      </vt:variant>
      <vt:variant>
        <vt:i4>272</vt:i4>
      </vt:variant>
      <vt:variant>
        <vt:i4>0</vt:i4>
      </vt:variant>
      <vt:variant>
        <vt:i4>5</vt:i4>
      </vt:variant>
      <vt:variant>
        <vt:lpwstr/>
      </vt:variant>
      <vt:variant>
        <vt:lpwstr>_Toc80798323</vt:lpwstr>
      </vt:variant>
      <vt:variant>
        <vt:i4>2031669</vt:i4>
      </vt:variant>
      <vt:variant>
        <vt:i4>266</vt:i4>
      </vt:variant>
      <vt:variant>
        <vt:i4>0</vt:i4>
      </vt:variant>
      <vt:variant>
        <vt:i4>5</vt:i4>
      </vt:variant>
      <vt:variant>
        <vt:lpwstr/>
      </vt:variant>
      <vt:variant>
        <vt:lpwstr>_Toc80798322</vt:lpwstr>
      </vt:variant>
      <vt:variant>
        <vt:i4>1835061</vt:i4>
      </vt:variant>
      <vt:variant>
        <vt:i4>260</vt:i4>
      </vt:variant>
      <vt:variant>
        <vt:i4>0</vt:i4>
      </vt:variant>
      <vt:variant>
        <vt:i4>5</vt:i4>
      </vt:variant>
      <vt:variant>
        <vt:lpwstr/>
      </vt:variant>
      <vt:variant>
        <vt:lpwstr>_Toc80798321</vt:lpwstr>
      </vt:variant>
      <vt:variant>
        <vt:i4>1900597</vt:i4>
      </vt:variant>
      <vt:variant>
        <vt:i4>254</vt:i4>
      </vt:variant>
      <vt:variant>
        <vt:i4>0</vt:i4>
      </vt:variant>
      <vt:variant>
        <vt:i4>5</vt:i4>
      </vt:variant>
      <vt:variant>
        <vt:lpwstr/>
      </vt:variant>
      <vt:variant>
        <vt:lpwstr>_Toc80798320</vt:lpwstr>
      </vt:variant>
      <vt:variant>
        <vt:i4>1310774</vt:i4>
      </vt:variant>
      <vt:variant>
        <vt:i4>248</vt:i4>
      </vt:variant>
      <vt:variant>
        <vt:i4>0</vt:i4>
      </vt:variant>
      <vt:variant>
        <vt:i4>5</vt:i4>
      </vt:variant>
      <vt:variant>
        <vt:lpwstr/>
      </vt:variant>
      <vt:variant>
        <vt:lpwstr>_Toc80798319</vt:lpwstr>
      </vt:variant>
      <vt:variant>
        <vt:i4>1376310</vt:i4>
      </vt:variant>
      <vt:variant>
        <vt:i4>242</vt:i4>
      </vt:variant>
      <vt:variant>
        <vt:i4>0</vt:i4>
      </vt:variant>
      <vt:variant>
        <vt:i4>5</vt:i4>
      </vt:variant>
      <vt:variant>
        <vt:lpwstr/>
      </vt:variant>
      <vt:variant>
        <vt:lpwstr>_Toc80798318</vt:lpwstr>
      </vt:variant>
      <vt:variant>
        <vt:i4>1703990</vt:i4>
      </vt:variant>
      <vt:variant>
        <vt:i4>236</vt:i4>
      </vt:variant>
      <vt:variant>
        <vt:i4>0</vt:i4>
      </vt:variant>
      <vt:variant>
        <vt:i4>5</vt:i4>
      </vt:variant>
      <vt:variant>
        <vt:lpwstr/>
      </vt:variant>
      <vt:variant>
        <vt:lpwstr>_Toc80798317</vt:lpwstr>
      </vt:variant>
      <vt:variant>
        <vt:i4>1769526</vt:i4>
      </vt:variant>
      <vt:variant>
        <vt:i4>230</vt:i4>
      </vt:variant>
      <vt:variant>
        <vt:i4>0</vt:i4>
      </vt:variant>
      <vt:variant>
        <vt:i4>5</vt:i4>
      </vt:variant>
      <vt:variant>
        <vt:lpwstr/>
      </vt:variant>
      <vt:variant>
        <vt:lpwstr>_Toc80798316</vt:lpwstr>
      </vt:variant>
      <vt:variant>
        <vt:i4>1572918</vt:i4>
      </vt:variant>
      <vt:variant>
        <vt:i4>224</vt:i4>
      </vt:variant>
      <vt:variant>
        <vt:i4>0</vt:i4>
      </vt:variant>
      <vt:variant>
        <vt:i4>5</vt:i4>
      </vt:variant>
      <vt:variant>
        <vt:lpwstr/>
      </vt:variant>
      <vt:variant>
        <vt:lpwstr>_Toc80798315</vt:lpwstr>
      </vt:variant>
      <vt:variant>
        <vt:i4>1638454</vt:i4>
      </vt:variant>
      <vt:variant>
        <vt:i4>218</vt:i4>
      </vt:variant>
      <vt:variant>
        <vt:i4>0</vt:i4>
      </vt:variant>
      <vt:variant>
        <vt:i4>5</vt:i4>
      </vt:variant>
      <vt:variant>
        <vt:lpwstr/>
      </vt:variant>
      <vt:variant>
        <vt:lpwstr>_Toc80798314</vt:lpwstr>
      </vt:variant>
      <vt:variant>
        <vt:i4>1966134</vt:i4>
      </vt:variant>
      <vt:variant>
        <vt:i4>212</vt:i4>
      </vt:variant>
      <vt:variant>
        <vt:i4>0</vt:i4>
      </vt:variant>
      <vt:variant>
        <vt:i4>5</vt:i4>
      </vt:variant>
      <vt:variant>
        <vt:lpwstr/>
      </vt:variant>
      <vt:variant>
        <vt:lpwstr>_Toc80798313</vt:lpwstr>
      </vt:variant>
      <vt:variant>
        <vt:i4>2031670</vt:i4>
      </vt:variant>
      <vt:variant>
        <vt:i4>206</vt:i4>
      </vt:variant>
      <vt:variant>
        <vt:i4>0</vt:i4>
      </vt:variant>
      <vt:variant>
        <vt:i4>5</vt:i4>
      </vt:variant>
      <vt:variant>
        <vt:lpwstr/>
      </vt:variant>
      <vt:variant>
        <vt:lpwstr>_Toc80798312</vt:lpwstr>
      </vt:variant>
      <vt:variant>
        <vt:i4>1835062</vt:i4>
      </vt:variant>
      <vt:variant>
        <vt:i4>200</vt:i4>
      </vt:variant>
      <vt:variant>
        <vt:i4>0</vt:i4>
      </vt:variant>
      <vt:variant>
        <vt:i4>5</vt:i4>
      </vt:variant>
      <vt:variant>
        <vt:lpwstr/>
      </vt:variant>
      <vt:variant>
        <vt:lpwstr>_Toc80798311</vt:lpwstr>
      </vt:variant>
      <vt:variant>
        <vt:i4>1900598</vt:i4>
      </vt:variant>
      <vt:variant>
        <vt:i4>194</vt:i4>
      </vt:variant>
      <vt:variant>
        <vt:i4>0</vt:i4>
      </vt:variant>
      <vt:variant>
        <vt:i4>5</vt:i4>
      </vt:variant>
      <vt:variant>
        <vt:lpwstr/>
      </vt:variant>
      <vt:variant>
        <vt:lpwstr>_Toc80798310</vt:lpwstr>
      </vt:variant>
      <vt:variant>
        <vt:i4>1310775</vt:i4>
      </vt:variant>
      <vt:variant>
        <vt:i4>188</vt:i4>
      </vt:variant>
      <vt:variant>
        <vt:i4>0</vt:i4>
      </vt:variant>
      <vt:variant>
        <vt:i4>5</vt:i4>
      </vt:variant>
      <vt:variant>
        <vt:lpwstr/>
      </vt:variant>
      <vt:variant>
        <vt:lpwstr>_Toc80798309</vt:lpwstr>
      </vt:variant>
      <vt:variant>
        <vt:i4>1376311</vt:i4>
      </vt:variant>
      <vt:variant>
        <vt:i4>182</vt:i4>
      </vt:variant>
      <vt:variant>
        <vt:i4>0</vt:i4>
      </vt:variant>
      <vt:variant>
        <vt:i4>5</vt:i4>
      </vt:variant>
      <vt:variant>
        <vt:lpwstr/>
      </vt:variant>
      <vt:variant>
        <vt:lpwstr>_Toc80798308</vt:lpwstr>
      </vt:variant>
      <vt:variant>
        <vt:i4>1703991</vt:i4>
      </vt:variant>
      <vt:variant>
        <vt:i4>176</vt:i4>
      </vt:variant>
      <vt:variant>
        <vt:i4>0</vt:i4>
      </vt:variant>
      <vt:variant>
        <vt:i4>5</vt:i4>
      </vt:variant>
      <vt:variant>
        <vt:lpwstr/>
      </vt:variant>
      <vt:variant>
        <vt:lpwstr>_Toc80798307</vt:lpwstr>
      </vt:variant>
      <vt:variant>
        <vt:i4>1769527</vt:i4>
      </vt:variant>
      <vt:variant>
        <vt:i4>170</vt:i4>
      </vt:variant>
      <vt:variant>
        <vt:i4>0</vt:i4>
      </vt:variant>
      <vt:variant>
        <vt:i4>5</vt:i4>
      </vt:variant>
      <vt:variant>
        <vt:lpwstr/>
      </vt:variant>
      <vt:variant>
        <vt:lpwstr>_Toc80798306</vt:lpwstr>
      </vt:variant>
      <vt:variant>
        <vt:i4>1572919</vt:i4>
      </vt:variant>
      <vt:variant>
        <vt:i4>164</vt:i4>
      </vt:variant>
      <vt:variant>
        <vt:i4>0</vt:i4>
      </vt:variant>
      <vt:variant>
        <vt:i4>5</vt:i4>
      </vt:variant>
      <vt:variant>
        <vt:lpwstr/>
      </vt:variant>
      <vt:variant>
        <vt:lpwstr>_Toc80798305</vt:lpwstr>
      </vt:variant>
      <vt:variant>
        <vt:i4>1638455</vt:i4>
      </vt:variant>
      <vt:variant>
        <vt:i4>158</vt:i4>
      </vt:variant>
      <vt:variant>
        <vt:i4>0</vt:i4>
      </vt:variant>
      <vt:variant>
        <vt:i4>5</vt:i4>
      </vt:variant>
      <vt:variant>
        <vt:lpwstr/>
      </vt:variant>
      <vt:variant>
        <vt:lpwstr>_Toc80798304</vt:lpwstr>
      </vt:variant>
      <vt:variant>
        <vt:i4>1966135</vt:i4>
      </vt:variant>
      <vt:variant>
        <vt:i4>152</vt:i4>
      </vt:variant>
      <vt:variant>
        <vt:i4>0</vt:i4>
      </vt:variant>
      <vt:variant>
        <vt:i4>5</vt:i4>
      </vt:variant>
      <vt:variant>
        <vt:lpwstr/>
      </vt:variant>
      <vt:variant>
        <vt:lpwstr>_Toc80798303</vt:lpwstr>
      </vt:variant>
      <vt:variant>
        <vt:i4>2031671</vt:i4>
      </vt:variant>
      <vt:variant>
        <vt:i4>146</vt:i4>
      </vt:variant>
      <vt:variant>
        <vt:i4>0</vt:i4>
      </vt:variant>
      <vt:variant>
        <vt:i4>5</vt:i4>
      </vt:variant>
      <vt:variant>
        <vt:lpwstr/>
      </vt:variant>
      <vt:variant>
        <vt:lpwstr>_Toc80798302</vt:lpwstr>
      </vt:variant>
      <vt:variant>
        <vt:i4>1835063</vt:i4>
      </vt:variant>
      <vt:variant>
        <vt:i4>140</vt:i4>
      </vt:variant>
      <vt:variant>
        <vt:i4>0</vt:i4>
      </vt:variant>
      <vt:variant>
        <vt:i4>5</vt:i4>
      </vt:variant>
      <vt:variant>
        <vt:lpwstr/>
      </vt:variant>
      <vt:variant>
        <vt:lpwstr>_Toc80798301</vt:lpwstr>
      </vt:variant>
      <vt:variant>
        <vt:i4>1900599</vt:i4>
      </vt:variant>
      <vt:variant>
        <vt:i4>134</vt:i4>
      </vt:variant>
      <vt:variant>
        <vt:i4>0</vt:i4>
      </vt:variant>
      <vt:variant>
        <vt:i4>5</vt:i4>
      </vt:variant>
      <vt:variant>
        <vt:lpwstr/>
      </vt:variant>
      <vt:variant>
        <vt:lpwstr>_Toc80798300</vt:lpwstr>
      </vt:variant>
      <vt:variant>
        <vt:i4>1376318</vt:i4>
      </vt:variant>
      <vt:variant>
        <vt:i4>128</vt:i4>
      </vt:variant>
      <vt:variant>
        <vt:i4>0</vt:i4>
      </vt:variant>
      <vt:variant>
        <vt:i4>5</vt:i4>
      </vt:variant>
      <vt:variant>
        <vt:lpwstr/>
      </vt:variant>
      <vt:variant>
        <vt:lpwstr>_Toc80798299</vt:lpwstr>
      </vt:variant>
      <vt:variant>
        <vt:i4>1310782</vt:i4>
      </vt:variant>
      <vt:variant>
        <vt:i4>122</vt:i4>
      </vt:variant>
      <vt:variant>
        <vt:i4>0</vt:i4>
      </vt:variant>
      <vt:variant>
        <vt:i4>5</vt:i4>
      </vt:variant>
      <vt:variant>
        <vt:lpwstr/>
      </vt:variant>
      <vt:variant>
        <vt:lpwstr>_Toc80798298</vt:lpwstr>
      </vt:variant>
      <vt:variant>
        <vt:i4>1769534</vt:i4>
      </vt:variant>
      <vt:variant>
        <vt:i4>116</vt:i4>
      </vt:variant>
      <vt:variant>
        <vt:i4>0</vt:i4>
      </vt:variant>
      <vt:variant>
        <vt:i4>5</vt:i4>
      </vt:variant>
      <vt:variant>
        <vt:lpwstr/>
      </vt:variant>
      <vt:variant>
        <vt:lpwstr>_Toc80798297</vt:lpwstr>
      </vt:variant>
      <vt:variant>
        <vt:i4>1703998</vt:i4>
      </vt:variant>
      <vt:variant>
        <vt:i4>110</vt:i4>
      </vt:variant>
      <vt:variant>
        <vt:i4>0</vt:i4>
      </vt:variant>
      <vt:variant>
        <vt:i4>5</vt:i4>
      </vt:variant>
      <vt:variant>
        <vt:lpwstr/>
      </vt:variant>
      <vt:variant>
        <vt:lpwstr>_Toc80798296</vt:lpwstr>
      </vt:variant>
      <vt:variant>
        <vt:i4>1638462</vt:i4>
      </vt:variant>
      <vt:variant>
        <vt:i4>104</vt:i4>
      </vt:variant>
      <vt:variant>
        <vt:i4>0</vt:i4>
      </vt:variant>
      <vt:variant>
        <vt:i4>5</vt:i4>
      </vt:variant>
      <vt:variant>
        <vt:lpwstr/>
      </vt:variant>
      <vt:variant>
        <vt:lpwstr>_Toc80798295</vt:lpwstr>
      </vt:variant>
      <vt:variant>
        <vt:i4>1572926</vt:i4>
      </vt:variant>
      <vt:variant>
        <vt:i4>98</vt:i4>
      </vt:variant>
      <vt:variant>
        <vt:i4>0</vt:i4>
      </vt:variant>
      <vt:variant>
        <vt:i4>5</vt:i4>
      </vt:variant>
      <vt:variant>
        <vt:lpwstr/>
      </vt:variant>
      <vt:variant>
        <vt:lpwstr>_Toc80798294</vt:lpwstr>
      </vt:variant>
      <vt:variant>
        <vt:i4>2031678</vt:i4>
      </vt:variant>
      <vt:variant>
        <vt:i4>92</vt:i4>
      </vt:variant>
      <vt:variant>
        <vt:i4>0</vt:i4>
      </vt:variant>
      <vt:variant>
        <vt:i4>5</vt:i4>
      </vt:variant>
      <vt:variant>
        <vt:lpwstr/>
      </vt:variant>
      <vt:variant>
        <vt:lpwstr>_Toc80798293</vt:lpwstr>
      </vt:variant>
      <vt:variant>
        <vt:i4>1966142</vt:i4>
      </vt:variant>
      <vt:variant>
        <vt:i4>86</vt:i4>
      </vt:variant>
      <vt:variant>
        <vt:i4>0</vt:i4>
      </vt:variant>
      <vt:variant>
        <vt:i4>5</vt:i4>
      </vt:variant>
      <vt:variant>
        <vt:lpwstr/>
      </vt:variant>
      <vt:variant>
        <vt:lpwstr>_Toc80798292</vt:lpwstr>
      </vt:variant>
      <vt:variant>
        <vt:i4>1900606</vt:i4>
      </vt:variant>
      <vt:variant>
        <vt:i4>80</vt:i4>
      </vt:variant>
      <vt:variant>
        <vt:i4>0</vt:i4>
      </vt:variant>
      <vt:variant>
        <vt:i4>5</vt:i4>
      </vt:variant>
      <vt:variant>
        <vt:lpwstr/>
      </vt:variant>
      <vt:variant>
        <vt:lpwstr>_Toc80798291</vt:lpwstr>
      </vt:variant>
      <vt:variant>
        <vt:i4>1835070</vt:i4>
      </vt:variant>
      <vt:variant>
        <vt:i4>74</vt:i4>
      </vt:variant>
      <vt:variant>
        <vt:i4>0</vt:i4>
      </vt:variant>
      <vt:variant>
        <vt:i4>5</vt:i4>
      </vt:variant>
      <vt:variant>
        <vt:lpwstr/>
      </vt:variant>
      <vt:variant>
        <vt:lpwstr>_Toc80798290</vt:lpwstr>
      </vt:variant>
      <vt:variant>
        <vt:i4>1376319</vt:i4>
      </vt:variant>
      <vt:variant>
        <vt:i4>68</vt:i4>
      </vt:variant>
      <vt:variant>
        <vt:i4>0</vt:i4>
      </vt:variant>
      <vt:variant>
        <vt:i4>5</vt:i4>
      </vt:variant>
      <vt:variant>
        <vt:lpwstr/>
      </vt:variant>
      <vt:variant>
        <vt:lpwstr>_Toc80798289</vt:lpwstr>
      </vt:variant>
      <vt:variant>
        <vt:i4>1507384</vt:i4>
      </vt:variant>
      <vt:variant>
        <vt:i4>59</vt:i4>
      </vt:variant>
      <vt:variant>
        <vt:i4>0</vt:i4>
      </vt:variant>
      <vt:variant>
        <vt:i4>5</vt:i4>
      </vt:variant>
      <vt:variant>
        <vt:lpwstr/>
      </vt:variant>
      <vt:variant>
        <vt:lpwstr>_Toc80797801</vt:lpwstr>
      </vt:variant>
      <vt:variant>
        <vt:i4>1441848</vt:i4>
      </vt:variant>
      <vt:variant>
        <vt:i4>53</vt:i4>
      </vt:variant>
      <vt:variant>
        <vt:i4>0</vt:i4>
      </vt:variant>
      <vt:variant>
        <vt:i4>5</vt:i4>
      </vt:variant>
      <vt:variant>
        <vt:lpwstr/>
      </vt:variant>
      <vt:variant>
        <vt:lpwstr>_Toc80797800</vt:lpwstr>
      </vt:variant>
      <vt:variant>
        <vt:i4>1048625</vt:i4>
      </vt:variant>
      <vt:variant>
        <vt:i4>47</vt:i4>
      </vt:variant>
      <vt:variant>
        <vt:i4>0</vt:i4>
      </vt:variant>
      <vt:variant>
        <vt:i4>5</vt:i4>
      </vt:variant>
      <vt:variant>
        <vt:lpwstr/>
      </vt:variant>
      <vt:variant>
        <vt:lpwstr>_Toc80797799</vt:lpwstr>
      </vt:variant>
      <vt:variant>
        <vt:i4>1114161</vt:i4>
      </vt:variant>
      <vt:variant>
        <vt:i4>41</vt:i4>
      </vt:variant>
      <vt:variant>
        <vt:i4>0</vt:i4>
      </vt:variant>
      <vt:variant>
        <vt:i4>5</vt:i4>
      </vt:variant>
      <vt:variant>
        <vt:lpwstr/>
      </vt:variant>
      <vt:variant>
        <vt:lpwstr>_Toc80797798</vt:lpwstr>
      </vt:variant>
      <vt:variant>
        <vt:i4>1769520</vt:i4>
      </vt:variant>
      <vt:variant>
        <vt:i4>32</vt:i4>
      </vt:variant>
      <vt:variant>
        <vt:i4>0</vt:i4>
      </vt:variant>
      <vt:variant>
        <vt:i4>5</vt:i4>
      </vt:variant>
      <vt:variant>
        <vt:lpwstr/>
      </vt:variant>
      <vt:variant>
        <vt:lpwstr>_Toc80797580</vt:lpwstr>
      </vt:variant>
      <vt:variant>
        <vt:i4>1179711</vt:i4>
      </vt:variant>
      <vt:variant>
        <vt:i4>26</vt:i4>
      </vt:variant>
      <vt:variant>
        <vt:i4>0</vt:i4>
      </vt:variant>
      <vt:variant>
        <vt:i4>5</vt:i4>
      </vt:variant>
      <vt:variant>
        <vt:lpwstr/>
      </vt:variant>
      <vt:variant>
        <vt:lpwstr>_Toc80797579</vt:lpwstr>
      </vt:variant>
      <vt:variant>
        <vt:i4>1245247</vt:i4>
      </vt:variant>
      <vt:variant>
        <vt:i4>20</vt:i4>
      </vt:variant>
      <vt:variant>
        <vt:i4>0</vt:i4>
      </vt:variant>
      <vt:variant>
        <vt:i4>5</vt:i4>
      </vt:variant>
      <vt:variant>
        <vt:lpwstr/>
      </vt:variant>
      <vt:variant>
        <vt:lpwstr>_Toc80797578</vt:lpwstr>
      </vt:variant>
      <vt:variant>
        <vt:i4>1835071</vt:i4>
      </vt:variant>
      <vt:variant>
        <vt:i4>14</vt:i4>
      </vt:variant>
      <vt:variant>
        <vt:i4>0</vt:i4>
      </vt:variant>
      <vt:variant>
        <vt:i4>5</vt:i4>
      </vt:variant>
      <vt:variant>
        <vt:lpwstr/>
      </vt:variant>
      <vt:variant>
        <vt:lpwstr>_Toc80797577</vt:lpwstr>
      </vt:variant>
      <vt:variant>
        <vt:i4>1900607</vt:i4>
      </vt:variant>
      <vt:variant>
        <vt:i4>8</vt:i4>
      </vt:variant>
      <vt:variant>
        <vt:i4>0</vt:i4>
      </vt:variant>
      <vt:variant>
        <vt:i4>5</vt:i4>
      </vt:variant>
      <vt:variant>
        <vt:lpwstr/>
      </vt:variant>
      <vt:variant>
        <vt:lpwstr>_Toc80797576</vt:lpwstr>
      </vt:variant>
      <vt:variant>
        <vt:i4>1966143</vt:i4>
      </vt:variant>
      <vt:variant>
        <vt:i4>2</vt:i4>
      </vt:variant>
      <vt:variant>
        <vt:i4>0</vt:i4>
      </vt:variant>
      <vt:variant>
        <vt:i4>5</vt:i4>
      </vt:variant>
      <vt:variant>
        <vt:lpwstr/>
      </vt:variant>
      <vt:variant>
        <vt:lpwstr>_Toc80797575</vt:lpwstr>
      </vt:variant>
      <vt:variant>
        <vt:i4>458795</vt:i4>
      </vt:variant>
      <vt:variant>
        <vt:i4>0</vt:i4>
      </vt:variant>
      <vt:variant>
        <vt:i4>0</vt:i4>
      </vt:variant>
      <vt:variant>
        <vt:i4>5</vt:i4>
      </vt:variant>
      <vt:variant>
        <vt:lpwstr>https://ec.europa.eu/info/sites/info/files/food-farming-fisheries/events/improving-access-to-funding-young-farmers_en.pdf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Marie Šimpachová Pechrová</dc:creator>
  <cp:keywords/>
  <dc:description/>
  <cp:lastModifiedBy>Kvasničková Simona</cp:lastModifiedBy>
  <cp:revision>5</cp:revision>
  <cp:lastPrinted>2021-09-05T13:02:00Z</cp:lastPrinted>
  <dcterms:created xsi:type="dcterms:W3CDTF">2022-01-27T09:33:00Z</dcterms:created>
  <dcterms:modified xsi:type="dcterms:W3CDTF">2022-01-27T12:15:00Z</dcterms:modified>
</cp:coreProperties>
</file>